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B7AA" w14:textId="777FB8BA" w:rsidR="00BD1257" w:rsidRDefault="00BD1257" w:rsidP="00CC0CF1">
      <w:pPr>
        <w:pStyle w:val="Heading1"/>
        <w:spacing w:before="120" w:beforeAutospacing="0" w:after="0" w:afterAutospacing="0" w:line="276" w:lineRule="auto"/>
        <w:jc w:val="center"/>
        <w:rPr>
          <w:rFonts w:ascii="Calibri" w:hAnsi="Calibri" w:cs="Calibri"/>
          <w:color w:val="000000"/>
          <w:sz w:val="22"/>
          <w:szCs w:val="22"/>
        </w:rPr>
      </w:pPr>
      <w:r>
        <w:rPr>
          <w:rFonts w:ascii="Calibri" w:hAnsi="Calibri" w:cs="Calibri"/>
          <w:color w:val="000000"/>
          <w:sz w:val="22"/>
          <w:szCs w:val="22"/>
        </w:rPr>
        <w:t>Getchell Gold Corp</w:t>
      </w:r>
      <w:r w:rsidR="00776987">
        <w:rPr>
          <w:rFonts w:ascii="Calibri" w:hAnsi="Calibri" w:cs="Calibri"/>
          <w:color w:val="000000"/>
          <w:sz w:val="22"/>
          <w:szCs w:val="22"/>
        </w:rPr>
        <w:t xml:space="preserve">.  </w:t>
      </w:r>
      <w:r w:rsidR="00D917A6">
        <w:rPr>
          <w:rFonts w:ascii="Calibri" w:hAnsi="Calibri" w:cs="Calibri"/>
          <w:color w:val="000000"/>
          <w:sz w:val="22"/>
          <w:szCs w:val="22"/>
        </w:rPr>
        <w:t>Announces</w:t>
      </w:r>
      <w:r w:rsidR="005861E6">
        <w:rPr>
          <w:rFonts w:ascii="Calibri" w:hAnsi="Calibri" w:cs="Calibri"/>
          <w:color w:val="000000"/>
          <w:sz w:val="22"/>
          <w:szCs w:val="22"/>
        </w:rPr>
        <w:t xml:space="preserve"> </w:t>
      </w:r>
      <w:r w:rsidR="00BE402D">
        <w:rPr>
          <w:rFonts w:ascii="Calibri" w:hAnsi="Calibri" w:cs="Calibri"/>
          <w:color w:val="000000"/>
          <w:sz w:val="22"/>
          <w:szCs w:val="22"/>
        </w:rPr>
        <w:t>Non-Brokered Private Placement</w:t>
      </w:r>
    </w:p>
    <w:p w14:paraId="6D464A32" w14:textId="69F50741" w:rsidR="005861E6" w:rsidRPr="005861E6" w:rsidRDefault="005A121E" w:rsidP="005861E6">
      <w:pPr>
        <w:spacing w:before="240" w:after="180" w:line="264" w:lineRule="auto"/>
        <w:jc w:val="both"/>
        <w:rPr>
          <w:color w:val="000000"/>
        </w:rPr>
      </w:pPr>
      <w:r>
        <w:rPr>
          <w:b/>
          <w:bCs/>
          <w:color w:val="000000"/>
        </w:rPr>
        <w:t xml:space="preserve">Vancouver, BC – </w:t>
      </w:r>
      <w:r w:rsidR="00DD2705">
        <w:rPr>
          <w:b/>
          <w:bCs/>
          <w:color w:val="000000"/>
        </w:rPr>
        <w:t xml:space="preserve">June </w:t>
      </w:r>
      <w:r w:rsidR="000A6669">
        <w:rPr>
          <w:b/>
          <w:bCs/>
          <w:color w:val="000000"/>
        </w:rPr>
        <w:t>5</w:t>
      </w:r>
      <w:r>
        <w:rPr>
          <w:b/>
          <w:bCs/>
          <w:color w:val="000000"/>
        </w:rPr>
        <w:t>, 202</w:t>
      </w:r>
      <w:r w:rsidR="00D917A6">
        <w:rPr>
          <w:b/>
          <w:bCs/>
          <w:color w:val="000000"/>
        </w:rPr>
        <w:t>3</w:t>
      </w:r>
      <w:r>
        <w:rPr>
          <w:b/>
          <w:bCs/>
          <w:color w:val="000000"/>
        </w:rPr>
        <w:t xml:space="preserve"> </w:t>
      </w:r>
      <w:r w:rsidR="00BD1257">
        <w:rPr>
          <w:b/>
          <w:bCs/>
          <w:color w:val="000000"/>
        </w:rPr>
        <w:t>– Getchell Gold Corp</w:t>
      </w:r>
      <w:r w:rsidR="00776987">
        <w:rPr>
          <w:b/>
          <w:bCs/>
          <w:color w:val="000000"/>
        </w:rPr>
        <w:t xml:space="preserve">.  </w:t>
      </w:r>
      <w:r w:rsidR="00BD1257">
        <w:rPr>
          <w:b/>
          <w:bCs/>
          <w:color w:val="000000"/>
        </w:rPr>
        <w:t xml:space="preserve">(CSE: GTCH) (OTCQB: GGLDF) </w:t>
      </w:r>
      <w:r w:rsidR="00BD1257" w:rsidRPr="00096D36">
        <w:rPr>
          <w:color w:val="000000"/>
        </w:rPr>
        <w:t>(</w:t>
      </w:r>
      <w:r w:rsidR="00BD1257">
        <w:rPr>
          <w:b/>
          <w:bCs/>
          <w:color w:val="000000"/>
        </w:rPr>
        <w:t>"Getchell" or the "Company</w:t>
      </w:r>
      <w:r w:rsidR="00BD1257" w:rsidRPr="00096D36">
        <w:rPr>
          <w:color w:val="000000"/>
        </w:rPr>
        <w:t>")</w:t>
      </w:r>
      <w:r w:rsidR="00BD1257">
        <w:rPr>
          <w:color w:val="000000"/>
        </w:rPr>
        <w:t xml:space="preserve"> </w:t>
      </w:r>
      <w:r w:rsidR="005861E6" w:rsidRPr="005861E6">
        <w:rPr>
          <w:color w:val="000000"/>
        </w:rPr>
        <w:t xml:space="preserve">is pleased to announce </w:t>
      </w:r>
      <w:r w:rsidR="00D917A6">
        <w:rPr>
          <w:color w:val="000000"/>
        </w:rPr>
        <w:t xml:space="preserve">that it is conducting a </w:t>
      </w:r>
      <w:r w:rsidR="005861E6" w:rsidRPr="005861E6">
        <w:rPr>
          <w:color w:val="000000"/>
        </w:rPr>
        <w:t>non-brokered private placement</w:t>
      </w:r>
      <w:r w:rsidR="00D917A6">
        <w:rPr>
          <w:color w:val="000000"/>
        </w:rPr>
        <w:t xml:space="preserve"> offering of up to </w:t>
      </w:r>
      <w:r w:rsidR="0098538D">
        <w:rPr>
          <w:color w:val="000000"/>
        </w:rPr>
        <w:t>12,</w:t>
      </w:r>
      <w:r w:rsidR="007503F4">
        <w:rPr>
          <w:color w:val="000000"/>
        </w:rPr>
        <w:t>500,000</w:t>
      </w:r>
      <w:r w:rsidR="00D917A6">
        <w:rPr>
          <w:color w:val="000000"/>
        </w:rPr>
        <w:t xml:space="preserve"> </w:t>
      </w:r>
      <w:r w:rsidR="007503F4">
        <w:rPr>
          <w:color w:val="000000"/>
        </w:rPr>
        <w:t>U</w:t>
      </w:r>
      <w:r w:rsidR="00D917A6">
        <w:rPr>
          <w:color w:val="000000"/>
        </w:rPr>
        <w:t>nits (the “</w:t>
      </w:r>
      <w:r w:rsidR="00D917A6" w:rsidRPr="00D917A6">
        <w:rPr>
          <w:b/>
          <w:bCs/>
          <w:color w:val="000000"/>
        </w:rPr>
        <w:t>Units</w:t>
      </w:r>
      <w:r w:rsidR="00D917A6">
        <w:rPr>
          <w:color w:val="000000"/>
        </w:rPr>
        <w:t>”) at a price of $0.</w:t>
      </w:r>
      <w:r w:rsidR="007503F4">
        <w:rPr>
          <w:color w:val="000000"/>
        </w:rPr>
        <w:t>20</w:t>
      </w:r>
      <w:r w:rsidR="00D917A6">
        <w:rPr>
          <w:color w:val="000000"/>
        </w:rPr>
        <w:t xml:space="preserve"> per Unit </w:t>
      </w:r>
      <w:r w:rsidR="005861E6" w:rsidRPr="005861E6">
        <w:rPr>
          <w:color w:val="000000"/>
        </w:rPr>
        <w:t xml:space="preserve">for aggregate gross proceeds of </w:t>
      </w:r>
      <w:r w:rsidR="00D917A6">
        <w:rPr>
          <w:color w:val="000000"/>
        </w:rPr>
        <w:t xml:space="preserve">up to </w:t>
      </w:r>
      <w:r w:rsidR="005861E6" w:rsidRPr="005861E6">
        <w:rPr>
          <w:color w:val="000000"/>
        </w:rPr>
        <w:t>$</w:t>
      </w:r>
      <w:r w:rsidR="00BC7F06">
        <w:rPr>
          <w:color w:val="000000"/>
        </w:rPr>
        <w:t>2,</w:t>
      </w:r>
      <w:r w:rsidR="000B22AE">
        <w:rPr>
          <w:color w:val="000000"/>
        </w:rPr>
        <w:t>500,000</w:t>
      </w:r>
      <w:r w:rsidR="00AF0EF3">
        <w:rPr>
          <w:color w:val="000000"/>
        </w:rPr>
        <w:t xml:space="preserve"> </w:t>
      </w:r>
      <w:r w:rsidR="005861E6" w:rsidRPr="005861E6">
        <w:rPr>
          <w:color w:val="000000"/>
        </w:rPr>
        <w:t>(the “</w:t>
      </w:r>
      <w:r w:rsidR="005861E6" w:rsidRPr="005861E6">
        <w:rPr>
          <w:b/>
          <w:bCs/>
          <w:color w:val="000000"/>
        </w:rPr>
        <w:t>Private Placement</w:t>
      </w:r>
      <w:r w:rsidR="005861E6" w:rsidRPr="005861E6">
        <w:rPr>
          <w:color w:val="000000"/>
        </w:rPr>
        <w:t>”).</w:t>
      </w:r>
      <w:r w:rsidR="00F62C65">
        <w:rPr>
          <w:color w:val="000000"/>
        </w:rPr>
        <w:t xml:space="preserve"> </w:t>
      </w:r>
    </w:p>
    <w:p w14:paraId="62B3EC3C" w14:textId="479D1383" w:rsidR="005861E6" w:rsidRPr="005861E6" w:rsidRDefault="005861E6" w:rsidP="005861E6">
      <w:pPr>
        <w:spacing w:before="240" w:after="180" w:line="264" w:lineRule="auto"/>
        <w:jc w:val="both"/>
        <w:rPr>
          <w:color w:val="000000"/>
        </w:rPr>
      </w:pPr>
      <w:r w:rsidRPr="005861E6">
        <w:rPr>
          <w:color w:val="000000"/>
        </w:rPr>
        <w:t>Each Unit consists of one common share and one-half of one warrant (each whole warrant, a “</w:t>
      </w:r>
      <w:r w:rsidRPr="005861E6">
        <w:rPr>
          <w:b/>
          <w:bCs/>
          <w:color w:val="000000"/>
        </w:rPr>
        <w:t>Warrant</w:t>
      </w:r>
      <w:r w:rsidRPr="005861E6">
        <w:rPr>
          <w:color w:val="000000"/>
        </w:rPr>
        <w:t>”) of the Company</w:t>
      </w:r>
      <w:r w:rsidR="00776987">
        <w:rPr>
          <w:color w:val="000000"/>
        </w:rPr>
        <w:t xml:space="preserve">.  </w:t>
      </w:r>
      <w:r w:rsidRPr="005861E6">
        <w:rPr>
          <w:color w:val="000000"/>
        </w:rPr>
        <w:t xml:space="preserve">Each Warrant entitles the holder to acquire one additional common share </w:t>
      </w:r>
      <w:bookmarkStart w:id="0" w:name="_Hlk136519084"/>
      <w:r w:rsidRPr="005861E6">
        <w:rPr>
          <w:color w:val="000000"/>
        </w:rPr>
        <w:t>at a price of $0.</w:t>
      </w:r>
      <w:r w:rsidR="00D917A6">
        <w:rPr>
          <w:color w:val="000000"/>
        </w:rPr>
        <w:t>35</w:t>
      </w:r>
      <w:r w:rsidRPr="005861E6">
        <w:rPr>
          <w:color w:val="000000"/>
        </w:rPr>
        <w:t xml:space="preserve"> per share for a period of two years from the date of </w:t>
      </w:r>
      <w:r>
        <w:rPr>
          <w:color w:val="000000"/>
        </w:rPr>
        <w:t>closing.</w:t>
      </w:r>
      <w:bookmarkEnd w:id="0"/>
    </w:p>
    <w:p w14:paraId="1DA60A87" w14:textId="08728CFA" w:rsidR="005861E6" w:rsidRPr="005861E6" w:rsidRDefault="005861E6" w:rsidP="005861E6">
      <w:pPr>
        <w:spacing w:before="240" w:after="180" w:line="264" w:lineRule="auto"/>
        <w:jc w:val="both"/>
        <w:rPr>
          <w:color w:val="000000"/>
        </w:rPr>
      </w:pPr>
      <w:r w:rsidRPr="00F62C65">
        <w:rPr>
          <w:color w:val="000000"/>
        </w:rPr>
        <w:t>The proceeds from the Private Placement will be used for exploration and development of the Company’s properties and general working capital.</w:t>
      </w:r>
      <w:r w:rsidR="00394EF1">
        <w:rPr>
          <w:color w:val="000000"/>
        </w:rPr>
        <w:t xml:space="preserve"> </w:t>
      </w:r>
    </w:p>
    <w:p w14:paraId="301642DB" w14:textId="638EA81D" w:rsidR="005861E6" w:rsidRPr="005861E6" w:rsidRDefault="005861E6" w:rsidP="005861E6">
      <w:pPr>
        <w:spacing w:before="240" w:after="180" w:line="264" w:lineRule="auto"/>
        <w:jc w:val="both"/>
        <w:rPr>
          <w:color w:val="000000"/>
        </w:rPr>
      </w:pPr>
      <w:r w:rsidRPr="006B65EF">
        <w:rPr>
          <w:color w:val="000000"/>
        </w:rPr>
        <w:t xml:space="preserve">In connection with the Private Placement, the Company </w:t>
      </w:r>
      <w:r w:rsidR="00D917A6">
        <w:rPr>
          <w:color w:val="000000"/>
        </w:rPr>
        <w:t>may</w:t>
      </w:r>
      <w:r w:rsidRPr="006B65EF">
        <w:rPr>
          <w:color w:val="000000"/>
        </w:rPr>
        <w:t xml:space="preserve"> pay finder’s fees </w:t>
      </w:r>
      <w:r w:rsidR="00D917A6">
        <w:rPr>
          <w:color w:val="000000"/>
        </w:rPr>
        <w:t>of up to 8% cash</w:t>
      </w:r>
      <w:r w:rsidR="00A32649">
        <w:rPr>
          <w:color w:val="000000"/>
        </w:rPr>
        <w:t>,</w:t>
      </w:r>
      <w:r w:rsidR="00D917A6">
        <w:rPr>
          <w:color w:val="000000"/>
        </w:rPr>
        <w:t xml:space="preserve"> 8% warrants</w:t>
      </w:r>
      <w:r w:rsidRPr="006B65EF">
        <w:rPr>
          <w:color w:val="000000"/>
        </w:rPr>
        <w:t xml:space="preserve"> (the “</w:t>
      </w:r>
      <w:r w:rsidRPr="006B65EF">
        <w:rPr>
          <w:b/>
          <w:bCs/>
          <w:color w:val="000000"/>
        </w:rPr>
        <w:t>Finder’s Warrants</w:t>
      </w:r>
      <w:r w:rsidRPr="006B65EF">
        <w:rPr>
          <w:color w:val="000000"/>
        </w:rPr>
        <w:t>”)</w:t>
      </w:r>
      <w:r w:rsidR="00A32649">
        <w:rPr>
          <w:color w:val="000000"/>
        </w:rPr>
        <w:t>, and up to 8% units (the “</w:t>
      </w:r>
      <w:r w:rsidR="00A32649" w:rsidRPr="0078166D">
        <w:rPr>
          <w:b/>
          <w:bCs/>
          <w:color w:val="000000"/>
        </w:rPr>
        <w:t>Finder’s Units</w:t>
      </w:r>
      <w:r w:rsidR="00A32649">
        <w:rPr>
          <w:color w:val="000000"/>
        </w:rPr>
        <w:t>”)</w:t>
      </w:r>
      <w:r w:rsidR="00776987">
        <w:rPr>
          <w:color w:val="000000"/>
        </w:rPr>
        <w:t>.</w:t>
      </w:r>
      <w:r w:rsidR="008C1D43">
        <w:rPr>
          <w:color w:val="000000"/>
        </w:rPr>
        <w:t xml:space="preserve"> </w:t>
      </w:r>
      <w:r w:rsidR="00A32649">
        <w:rPr>
          <w:color w:val="000000"/>
        </w:rPr>
        <w:t>Each Finder’s Unit will be comprised of one common share and one half of one warrant (each whole warrant a “</w:t>
      </w:r>
      <w:r w:rsidR="00A32649" w:rsidRPr="00096D36">
        <w:rPr>
          <w:b/>
          <w:bCs/>
          <w:color w:val="000000"/>
        </w:rPr>
        <w:t>Finder’s Unit Warrant</w:t>
      </w:r>
      <w:r w:rsidR="00A32649">
        <w:rPr>
          <w:color w:val="000000"/>
        </w:rPr>
        <w:t>”).</w:t>
      </w:r>
      <w:r w:rsidR="008C1D43">
        <w:rPr>
          <w:color w:val="000000"/>
        </w:rPr>
        <w:t xml:space="preserve"> </w:t>
      </w:r>
      <w:r w:rsidR="00A32649">
        <w:rPr>
          <w:color w:val="000000"/>
        </w:rPr>
        <w:t>Each Finder’s Warrant and Finder’s Unit Warrant</w:t>
      </w:r>
      <w:r w:rsidR="00A32649" w:rsidRPr="00A32649">
        <w:rPr>
          <w:color w:val="000000"/>
        </w:rPr>
        <w:t xml:space="preserve"> </w:t>
      </w:r>
      <w:r w:rsidR="00A32649">
        <w:rPr>
          <w:color w:val="000000"/>
        </w:rPr>
        <w:t xml:space="preserve">will entitle the holder to acquire one additional common share </w:t>
      </w:r>
      <w:r w:rsidR="0078166D">
        <w:rPr>
          <w:color w:val="000000"/>
        </w:rPr>
        <w:t xml:space="preserve">of the Company </w:t>
      </w:r>
      <w:r w:rsidR="0078166D" w:rsidRPr="0078166D">
        <w:rPr>
          <w:color w:val="000000"/>
        </w:rPr>
        <w:t>at a price of $0.35 per share for a period of two years from the date of closing.</w:t>
      </w:r>
    </w:p>
    <w:p w14:paraId="50B17614" w14:textId="416C84A8" w:rsidR="005861E6" w:rsidRDefault="005861E6" w:rsidP="00665AEA">
      <w:pPr>
        <w:spacing w:before="240" w:after="180" w:line="264" w:lineRule="auto"/>
        <w:jc w:val="both"/>
        <w:rPr>
          <w:color w:val="000000"/>
        </w:rPr>
      </w:pPr>
      <w:r w:rsidRPr="005861E6">
        <w:rPr>
          <w:color w:val="000000"/>
        </w:rPr>
        <w:t>The securities</w:t>
      </w:r>
      <w:r w:rsidR="00D917A6">
        <w:rPr>
          <w:color w:val="000000"/>
        </w:rPr>
        <w:t xml:space="preserve"> to be</w:t>
      </w:r>
      <w:r w:rsidRPr="005861E6">
        <w:rPr>
          <w:color w:val="000000"/>
        </w:rPr>
        <w:t xml:space="preserve"> issued in connection with the Private Placement are subject to a statutory </w:t>
      </w:r>
      <w:r w:rsidR="00D96267" w:rsidRPr="005861E6">
        <w:rPr>
          <w:color w:val="000000"/>
        </w:rPr>
        <w:t>four-month</w:t>
      </w:r>
      <w:r w:rsidRPr="005861E6">
        <w:rPr>
          <w:color w:val="000000"/>
        </w:rPr>
        <w:t xml:space="preserve"> hold</w:t>
      </w:r>
      <w:r w:rsidR="00D81BFF">
        <w:rPr>
          <w:color w:val="000000"/>
        </w:rPr>
        <w:t xml:space="preserve"> period</w:t>
      </w:r>
      <w:r w:rsidRPr="005861E6">
        <w:rPr>
          <w:color w:val="000000"/>
        </w:rPr>
        <w:t>, in accordance with applicable securities laws.</w:t>
      </w:r>
    </w:p>
    <w:p w14:paraId="1B786956" w14:textId="34156695" w:rsidR="0056612B" w:rsidRDefault="00665AEA" w:rsidP="00665AEA">
      <w:pPr>
        <w:spacing w:before="240" w:after="180" w:line="264" w:lineRule="auto"/>
        <w:jc w:val="both"/>
        <w:rPr>
          <w:color w:val="000000"/>
        </w:rPr>
      </w:pPr>
      <w:r w:rsidRPr="00665AEA">
        <w:rPr>
          <w:color w:val="000000"/>
        </w:rPr>
        <w:t>The securities offered have not been and will not be registered under the United States Securities Act of 1933, as amended, and may not be offered or sold in the United States absent registration or applicable exemption from the registration requirements.</w:t>
      </w:r>
    </w:p>
    <w:p w14:paraId="4EE1AB08" w14:textId="3D8CFD3B" w:rsidR="00200FA4" w:rsidRPr="002B164D" w:rsidRDefault="00200FA4" w:rsidP="00DF4008">
      <w:pPr>
        <w:pStyle w:val="NormalWeb"/>
        <w:shd w:val="clear" w:color="auto" w:fill="FFFFFF"/>
        <w:spacing w:before="240" w:beforeAutospacing="0" w:after="180" w:afterAutospacing="0" w:line="276" w:lineRule="auto"/>
        <w:jc w:val="both"/>
        <w:rPr>
          <w:rFonts w:asciiTheme="minorHAnsi" w:hAnsiTheme="minorHAnsi" w:cstheme="minorHAnsi"/>
          <w:b/>
          <w:bCs/>
          <w:color w:val="000000" w:themeColor="text1"/>
          <w:sz w:val="22"/>
          <w:szCs w:val="22"/>
        </w:rPr>
      </w:pPr>
      <w:r w:rsidRPr="002B164D">
        <w:rPr>
          <w:rFonts w:asciiTheme="minorHAnsi" w:hAnsiTheme="minorHAnsi" w:cstheme="minorHAnsi"/>
          <w:b/>
          <w:bCs/>
          <w:color w:val="000000" w:themeColor="text1"/>
          <w:sz w:val="22"/>
          <w:szCs w:val="22"/>
        </w:rPr>
        <w:t>About Getch</w:t>
      </w:r>
      <w:r w:rsidR="008E209D" w:rsidRPr="002B164D">
        <w:rPr>
          <w:rFonts w:asciiTheme="minorHAnsi" w:hAnsiTheme="minorHAnsi" w:cstheme="minorHAnsi"/>
          <w:b/>
          <w:bCs/>
          <w:color w:val="000000" w:themeColor="text1"/>
          <w:sz w:val="22"/>
          <w:szCs w:val="22"/>
        </w:rPr>
        <w:t>e</w:t>
      </w:r>
      <w:r w:rsidRPr="002B164D">
        <w:rPr>
          <w:rFonts w:asciiTheme="minorHAnsi" w:hAnsiTheme="minorHAnsi" w:cstheme="minorHAnsi"/>
          <w:b/>
          <w:bCs/>
          <w:color w:val="000000" w:themeColor="text1"/>
          <w:sz w:val="22"/>
          <w:szCs w:val="22"/>
        </w:rPr>
        <w:t>ll Gold Corp</w:t>
      </w:r>
      <w:r w:rsidR="008E209D" w:rsidRPr="002B164D">
        <w:rPr>
          <w:rFonts w:asciiTheme="minorHAnsi" w:hAnsiTheme="minorHAnsi" w:cstheme="minorHAnsi"/>
          <w:b/>
          <w:bCs/>
          <w:color w:val="000000" w:themeColor="text1"/>
          <w:sz w:val="22"/>
          <w:szCs w:val="22"/>
        </w:rPr>
        <w:t>.</w:t>
      </w:r>
    </w:p>
    <w:p w14:paraId="7F237023" w14:textId="774DD91B" w:rsidR="005A121E" w:rsidRPr="002B164D" w:rsidRDefault="005A121E" w:rsidP="005A121E">
      <w:pPr>
        <w:spacing w:after="180"/>
        <w:jc w:val="both"/>
        <w:rPr>
          <w:rFonts w:cstheme="minorHAnsi"/>
          <w:iCs/>
        </w:rPr>
      </w:pPr>
      <w:r w:rsidRPr="002B164D">
        <w:rPr>
          <w:rFonts w:cstheme="minorHAnsi"/>
          <w:iCs/>
        </w:rPr>
        <w:t>The Company is a Nevada focused gold and copper exploration company trading on the CSE: GTCH and OTCQB: GGLDF</w:t>
      </w:r>
      <w:r w:rsidR="00776987">
        <w:rPr>
          <w:rFonts w:cstheme="minorHAnsi"/>
          <w:iCs/>
        </w:rPr>
        <w:t xml:space="preserve">.  </w:t>
      </w:r>
      <w:r w:rsidRPr="002B164D">
        <w:rPr>
          <w:rFonts w:cstheme="minorHAnsi"/>
          <w:iCs/>
        </w:rPr>
        <w:t xml:space="preserve"> Getchell Gold is primarily directing its efforts on its most advanced stage asset, Fondaway Canyon, a past gold producer with a significant in-the-ground historic resource estimate</w:t>
      </w:r>
      <w:r w:rsidR="00776987">
        <w:rPr>
          <w:rFonts w:cstheme="minorHAnsi"/>
          <w:iCs/>
        </w:rPr>
        <w:t xml:space="preserve">.  </w:t>
      </w:r>
      <w:r w:rsidRPr="002B164D">
        <w:rPr>
          <w:rFonts w:cstheme="minorHAnsi"/>
          <w:iCs/>
        </w:rPr>
        <w:t xml:space="preserve"> Complementing Getchell’s asset portfolio is Dixie Comstock, a past gold producer with a historic resource and two earlier stage exploration projects, Star </w:t>
      </w:r>
      <w:r>
        <w:rPr>
          <w:rFonts w:cstheme="minorHAnsi"/>
          <w:iCs/>
        </w:rPr>
        <w:t>(</w:t>
      </w:r>
      <w:r w:rsidRPr="005C1E87">
        <w:rPr>
          <w:rFonts w:cstheme="minorHAnsi"/>
          <w:iCs/>
        </w:rPr>
        <w:t>Cu-Au-Ag</w:t>
      </w:r>
      <w:r>
        <w:rPr>
          <w:rFonts w:cstheme="minorHAnsi"/>
          <w:iCs/>
        </w:rPr>
        <w:t>)</w:t>
      </w:r>
      <w:r w:rsidRPr="005C1E87">
        <w:rPr>
          <w:rFonts w:cstheme="minorHAnsi"/>
          <w:iCs/>
        </w:rPr>
        <w:t xml:space="preserve"> </w:t>
      </w:r>
      <w:r w:rsidRPr="002B164D">
        <w:rPr>
          <w:rFonts w:cstheme="minorHAnsi"/>
          <w:iCs/>
        </w:rPr>
        <w:t>and Hot Springs Peak</w:t>
      </w:r>
      <w:r>
        <w:rPr>
          <w:rFonts w:cstheme="minorHAnsi"/>
          <w:iCs/>
        </w:rPr>
        <w:t xml:space="preserve"> (Au)</w:t>
      </w:r>
      <w:r w:rsidR="00776987">
        <w:rPr>
          <w:rFonts w:cstheme="minorHAnsi"/>
          <w:iCs/>
        </w:rPr>
        <w:t xml:space="preserve">.  </w:t>
      </w:r>
      <w:r w:rsidRPr="002B164D">
        <w:rPr>
          <w:rFonts w:cstheme="minorHAnsi"/>
          <w:iCs/>
        </w:rPr>
        <w:t>Getchell has the option to acquire 100% of the Fondaway Canyon and Dixie Comstock properties, Churchill County, Nevada.</w:t>
      </w:r>
    </w:p>
    <w:p w14:paraId="6E087AFD" w14:textId="00B0FAFA" w:rsidR="004E0FFC" w:rsidRDefault="005839E9" w:rsidP="005861E6">
      <w:pPr>
        <w:spacing w:after="180"/>
        <w:jc w:val="both"/>
        <w:rPr>
          <w:rFonts w:eastAsia="Times New Roman" w:cstheme="minorHAnsi"/>
          <w:color w:val="000000"/>
        </w:rPr>
      </w:pPr>
      <w:r w:rsidRPr="002B164D">
        <w:rPr>
          <w:rFonts w:eastAsia="Times New Roman" w:cstheme="minorHAnsi"/>
          <w:color w:val="000000"/>
        </w:rPr>
        <w:t xml:space="preserve">For further information please visit the Company’s website at </w:t>
      </w:r>
      <w:hyperlink r:id="rId7" w:history="1">
        <w:r w:rsidRPr="002B164D">
          <w:rPr>
            <w:rStyle w:val="Hyperlink"/>
            <w:rFonts w:eastAsia="Times New Roman" w:cstheme="minorHAnsi"/>
          </w:rPr>
          <w:t>www.getchellgold.com</w:t>
        </w:r>
      </w:hyperlink>
      <w:r w:rsidRPr="002B164D">
        <w:rPr>
          <w:rFonts w:eastAsia="Times New Roman" w:cstheme="minorHAnsi"/>
          <w:color w:val="000000"/>
        </w:rPr>
        <w:t xml:space="preserve"> or contact</w:t>
      </w:r>
      <w:r w:rsidRPr="002B164D">
        <w:rPr>
          <w:rFonts w:cstheme="minorHAnsi"/>
        </w:rPr>
        <w:t xml:space="preserve"> </w:t>
      </w:r>
      <w:r w:rsidRPr="002B164D">
        <w:rPr>
          <w:rFonts w:eastAsia="Times New Roman" w:cstheme="minorHAnsi"/>
          <w:color w:val="000000"/>
        </w:rPr>
        <w:t xml:space="preserve">the Company at </w:t>
      </w:r>
      <w:hyperlink r:id="rId8" w:history="1">
        <w:r w:rsidRPr="002B164D">
          <w:rPr>
            <w:rStyle w:val="Hyperlink"/>
            <w:rFonts w:eastAsia="Times New Roman" w:cstheme="minorHAnsi"/>
          </w:rPr>
          <w:t>info@getchellgold.com</w:t>
        </w:r>
      </w:hyperlink>
      <w:r w:rsidRPr="002B164D">
        <w:rPr>
          <w:rFonts w:eastAsia="Times New Roman" w:cstheme="minorHAnsi"/>
          <w:color w:val="000000"/>
        </w:rPr>
        <w:t>.</w:t>
      </w:r>
    </w:p>
    <w:p w14:paraId="41BF1746" w14:textId="3C0A4A5D" w:rsidR="006C4620" w:rsidRPr="002B164D" w:rsidRDefault="006D001F" w:rsidP="004E0FFC">
      <w:pPr>
        <w:spacing w:after="180"/>
        <w:rPr>
          <w:rFonts w:eastAsia="Times New Roman" w:cstheme="minorHAnsi"/>
          <w:color w:val="000000"/>
        </w:rPr>
      </w:pPr>
      <w:r>
        <w:rPr>
          <w:rFonts w:eastAsia="Times New Roman" w:cstheme="minorHAnsi"/>
          <w:color w:val="000000"/>
        </w:rPr>
        <w:br w:type="column"/>
      </w:r>
      <w:r w:rsidR="006C4620" w:rsidRPr="002B164D">
        <w:rPr>
          <w:rFonts w:eastAsia="Times New Roman" w:cstheme="minorHAnsi"/>
          <w:color w:val="000000"/>
        </w:rPr>
        <w:lastRenderedPageBreak/>
        <w:t>Mr</w:t>
      </w:r>
      <w:r w:rsidR="00776987">
        <w:rPr>
          <w:rFonts w:eastAsia="Times New Roman" w:cstheme="minorHAnsi"/>
          <w:color w:val="000000"/>
        </w:rPr>
        <w:t xml:space="preserve">.  </w:t>
      </w:r>
      <w:r w:rsidR="005839E9" w:rsidRPr="002B164D">
        <w:rPr>
          <w:rFonts w:eastAsia="Times New Roman" w:cstheme="minorHAnsi"/>
          <w:color w:val="000000"/>
        </w:rPr>
        <w:t>William Wagener, Chairman &amp; CEO</w:t>
      </w:r>
    </w:p>
    <w:p w14:paraId="420748F6" w14:textId="5A7B238A" w:rsidR="008D6EF6" w:rsidRPr="002B164D" w:rsidRDefault="006C4620" w:rsidP="001E0F79">
      <w:pPr>
        <w:spacing w:after="0"/>
        <w:rPr>
          <w:rFonts w:eastAsia="Times New Roman" w:cstheme="minorHAnsi"/>
          <w:color w:val="000000"/>
        </w:rPr>
      </w:pPr>
      <w:r w:rsidRPr="002B164D">
        <w:rPr>
          <w:rFonts w:eastAsia="Times New Roman" w:cstheme="minorHAnsi"/>
          <w:color w:val="000000"/>
        </w:rPr>
        <w:t>Getchell Gold Corp.</w:t>
      </w:r>
      <w:r w:rsidR="005839E9" w:rsidRPr="002B164D">
        <w:rPr>
          <w:rFonts w:eastAsia="Times New Roman" w:cstheme="minorHAnsi"/>
          <w:color w:val="000000"/>
        </w:rPr>
        <w:br/>
      </w:r>
      <w:r w:rsidR="006E298F" w:rsidRPr="006E298F">
        <w:rPr>
          <w:rFonts w:ascii="Calibri" w:hAnsi="Calibri" w:cs="Calibri"/>
          <w:b/>
          <w:bCs/>
          <w:color w:val="666666"/>
          <w:shd w:val="clear" w:color="auto" w:fill="FFFFFF"/>
        </w:rPr>
        <w:t>1-647-249-4798</w:t>
      </w:r>
      <w:r w:rsidR="005839E9" w:rsidRPr="002B164D">
        <w:rPr>
          <w:rFonts w:eastAsia="Times New Roman" w:cstheme="minorHAnsi"/>
          <w:color w:val="000000"/>
        </w:rPr>
        <w:br/>
      </w:r>
      <w:r w:rsidR="005839E9" w:rsidRPr="002B164D">
        <w:rPr>
          <w:rFonts w:eastAsia="Times New Roman" w:cstheme="minorHAnsi"/>
          <w:color w:val="1122CC"/>
          <w:u w:val="single"/>
        </w:rPr>
        <w:t>info@getchellgold.com</w:t>
      </w:r>
    </w:p>
    <w:p w14:paraId="2C86D0F9" w14:textId="77777777" w:rsidR="008D6EF6" w:rsidRPr="002B164D" w:rsidRDefault="008D6EF6" w:rsidP="008D6EF6">
      <w:pPr>
        <w:spacing w:after="0" w:line="240" w:lineRule="auto"/>
        <w:rPr>
          <w:rFonts w:eastAsia="Times New Roman" w:cstheme="minorHAnsi"/>
          <w:i/>
          <w:iCs/>
          <w:color w:val="000000"/>
        </w:rPr>
      </w:pPr>
    </w:p>
    <w:p w14:paraId="4B0B9E7F" w14:textId="5DF5A252"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The Canadian Securities Exchange has not reviewed this press release and does not accept responsibility for the adequacy or accuracy of this news release</w:t>
      </w:r>
      <w:r w:rsidR="00776987">
        <w:rPr>
          <w:rFonts w:asciiTheme="minorHAnsi" w:hAnsiTheme="minorHAnsi" w:cstheme="minorHAnsi"/>
          <w:i/>
          <w:iCs/>
          <w:color w:val="404040" w:themeColor="text1" w:themeTint="BF"/>
          <w:sz w:val="21"/>
          <w:szCs w:val="21"/>
        </w:rPr>
        <w:t xml:space="preserve">.  </w:t>
      </w:r>
    </w:p>
    <w:p w14:paraId="17CC5744" w14:textId="77777777" w:rsidR="008D6EF6" w:rsidRPr="00FB0B55" w:rsidRDefault="008D6EF6"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p>
    <w:p w14:paraId="153C791D" w14:textId="6DEE8B8C" w:rsidR="008D6EF6" w:rsidRPr="00FB0B55" w:rsidRDefault="005839E9" w:rsidP="00E11E1A">
      <w:pPr>
        <w:pStyle w:val="NormalWeb"/>
        <w:shd w:val="clear" w:color="auto" w:fill="FFFFFF"/>
        <w:spacing w:before="0" w:beforeAutospacing="0" w:after="0" w:afterAutospacing="0"/>
        <w:jc w:val="both"/>
        <w:rPr>
          <w:rFonts w:asciiTheme="minorHAnsi" w:hAnsiTheme="minorHAnsi" w:cstheme="minorHAnsi"/>
          <w:i/>
          <w:iCs/>
          <w:color w:val="404040" w:themeColor="text1" w:themeTint="BF"/>
          <w:sz w:val="21"/>
          <w:szCs w:val="21"/>
        </w:rPr>
      </w:pPr>
      <w:r w:rsidRPr="00FB0B55">
        <w:rPr>
          <w:rFonts w:asciiTheme="minorHAnsi" w:hAnsiTheme="minorHAnsi" w:cstheme="minorHAnsi"/>
          <w:i/>
          <w:iCs/>
          <w:color w:val="404040" w:themeColor="text1" w:themeTint="BF"/>
          <w:sz w:val="21"/>
          <w:szCs w:val="21"/>
        </w:rPr>
        <w:t>Certain information contained herein constitutes “forward-looking information” under Canadian securities legislation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Forward-looking information includes, but is not limited to, statements with respect to the use of proceeds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Generally, forward-looking information can be identified by the use of forward-looking terminology such as “will” or variations of such words and phrases or statements that certain actions, events or results “will” occur</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Forward-looking statements are based on the opinions and estimates of management as of the date such statements are made and they are subject to known and unknown risks, uncertainties and other factors that may cause the actual results to be materially different from those expressed or implied by such forward-looking statements or forward-looking information, including: use of proceeds from the financing</w:t>
      </w:r>
      <w:r w:rsidR="00D468B3">
        <w:rPr>
          <w:rFonts w:asciiTheme="minorHAnsi" w:hAnsiTheme="minorHAnsi" w:cstheme="minorHAnsi"/>
          <w:i/>
          <w:iCs/>
          <w:color w:val="404040" w:themeColor="text1" w:themeTint="BF"/>
          <w:sz w:val="21"/>
          <w:szCs w:val="21"/>
        </w:rPr>
        <w:t>.</w:t>
      </w:r>
      <w:r w:rsidR="00A87608">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Although management of Getchell have attempted to identify important factors that could cause actual results to differ materially from those contained in forward-looking statements or forward-looking information, there may be other factors that cause results not to be as anticipated, estimated or intended</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There can be no assurance that such statements will prove to be accurate, as actual results and future events could differ materially from those anticipated in such statements</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 xml:space="preserve">Accordingly, readers should not place undue reliance on forward-looking statements and </w:t>
      </w:r>
      <w:r w:rsidR="00794A07" w:rsidRPr="00FB0B55">
        <w:rPr>
          <w:rFonts w:asciiTheme="minorHAnsi" w:hAnsiTheme="minorHAnsi" w:cstheme="minorHAnsi"/>
          <w:i/>
          <w:iCs/>
          <w:color w:val="404040" w:themeColor="text1" w:themeTint="BF"/>
          <w:sz w:val="21"/>
          <w:szCs w:val="21"/>
        </w:rPr>
        <w:t>forward-looking</w:t>
      </w:r>
      <w:r w:rsidRPr="00FB0B55">
        <w:rPr>
          <w:rFonts w:asciiTheme="minorHAnsi" w:hAnsiTheme="minorHAnsi" w:cstheme="minorHAnsi"/>
          <w:i/>
          <w:iCs/>
          <w:color w:val="404040" w:themeColor="text1" w:themeTint="BF"/>
          <w:sz w:val="21"/>
          <w:szCs w:val="21"/>
        </w:rPr>
        <w:t xml:space="preserve"> information</w:t>
      </w:r>
      <w:r w:rsidR="00776987">
        <w:rPr>
          <w:rFonts w:asciiTheme="minorHAnsi" w:hAnsiTheme="minorHAnsi" w:cstheme="minorHAnsi"/>
          <w:i/>
          <w:iCs/>
          <w:color w:val="404040" w:themeColor="text1" w:themeTint="BF"/>
          <w:sz w:val="21"/>
          <w:szCs w:val="21"/>
        </w:rPr>
        <w:t xml:space="preserve">.  </w:t>
      </w:r>
      <w:r w:rsidRPr="00FB0B55">
        <w:rPr>
          <w:rFonts w:asciiTheme="minorHAnsi" w:hAnsiTheme="minorHAnsi" w:cstheme="minorHAnsi"/>
          <w:i/>
          <w:iCs/>
          <w:color w:val="404040" w:themeColor="text1" w:themeTint="BF"/>
          <w:sz w:val="21"/>
          <w:szCs w:val="21"/>
        </w:rPr>
        <w:t>The Company will not update any forward-looking statements or forward-looking information that are incorporated by reference herein, except as required by applicable securities laws.</w:t>
      </w:r>
    </w:p>
    <w:sectPr w:rsidR="008D6EF6" w:rsidRPr="00FB0B55" w:rsidSect="006D001F">
      <w:headerReference w:type="even" r:id="rId9"/>
      <w:headerReference w:type="default" r:id="rId10"/>
      <w:footerReference w:type="even" r:id="rId11"/>
      <w:footerReference w:type="default" r:id="rId12"/>
      <w:headerReference w:type="first" r:id="rId13"/>
      <w:footerReference w:type="first" r:id="rId14"/>
      <w:pgSz w:w="12240" w:h="15840"/>
      <w:pgMar w:top="2269" w:right="1440" w:bottom="1276" w:left="1440" w:header="426"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FD51" w14:textId="77777777" w:rsidR="006B4A89" w:rsidRDefault="006B4A89">
      <w:pPr>
        <w:spacing w:after="0" w:line="240" w:lineRule="auto"/>
      </w:pPr>
      <w:r>
        <w:separator/>
      </w:r>
    </w:p>
  </w:endnote>
  <w:endnote w:type="continuationSeparator" w:id="0">
    <w:p w14:paraId="19E6F52B" w14:textId="77777777" w:rsidR="006B4A89" w:rsidRDefault="006B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E00"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E4F" w14:textId="5BE49DEA" w:rsidR="008D6EF6" w:rsidRPr="00D917A6" w:rsidRDefault="00826313" w:rsidP="00D917A6">
    <w:pPr>
      <w:pStyle w:val="Footer"/>
      <w:rPr>
        <w:vanish/>
      </w:rPr>
    </w:pPr>
    <w:r w:rsidRPr="00826313">
      <w:rPr>
        <w:noProof/>
        <w:sz w:val="16"/>
      </w:rPr>
      <w:t>{00028512:1}</w:t>
    </w:r>
    <w:r w:rsidR="00D917A6" w:rsidRPr="00D917A6">
      <w:tab/>
    </w:r>
  </w:p>
  <w:p w14:paraId="14B048DD" w14:textId="77777777" w:rsidR="008D6EF6" w:rsidRPr="00D917A6" w:rsidRDefault="008D6EF6" w:rsidP="008D6EF6">
    <w:pPr>
      <w:pStyle w:val="Footer"/>
      <w:rPr>
        <w:rFonts w:ascii="Times New Roman" w:hAnsi="Times New Roman" w:cs="Times New Roman"/>
        <w:vanish/>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E2A3" w14:textId="77777777" w:rsidR="008D6EF6" w:rsidRPr="000C1A9A" w:rsidRDefault="008D6EF6" w:rsidP="008D6EF6">
    <w:pPr>
      <w:pStyle w:val="Footer"/>
    </w:pPr>
    <w:r w:rsidRPr="003C54BF">
      <w:rPr>
        <w:noProof/>
      </w:rPr>
      <w:t>4634106.pp037</w:t>
    </w:r>
    <w:r>
      <w:rPr>
        <w:noProof/>
        <w:sz w:val="16"/>
      </w:rPr>
      <w:t xml:space="preserve"> Jan XX News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965E" w14:textId="77777777" w:rsidR="006B4A89" w:rsidRDefault="006B4A89">
      <w:pPr>
        <w:spacing w:after="0" w:line="240" w:lineRule="auto"/>
      </w:pPr>
      <w:r>
        <w:separator/>
      </w:r>
    </w:p>
  </w:footnote>
  <w:footnote w:type="continuationSeparator" w:id="0">
    <w:p w14:paraId="42AF9AFE" w14:textId="77777777" w:rsidR="006B4A89" w:rsidRDefault="006B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91E" w14:textId="77777777" w:rsidR="00826313" w:rsidRDefault="0082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4AA3" w14:textId="089D1908" w:rsidR="008D6EF6" w:rsidRDefault="005A121E" w:rsidP="008D6EF6">
    <w:pPr>
      <w:pStyle w:val="Header"/>
      <w:jc w:val="center"/>
    </w:pPr>
    <w:r>
      <w:rPr>
        <w:noProof/>
      </w:rPr>
      <w:drawing>
        <wp:anchor distT="0" distB="0" distL="114300" distR="114300" simplePos="0" relativeHeight="251658240" behindDoc="0" locked="0" layoutInCell="1" allowOverlap="1" wp14:anchorId="0DD60739" wp14:editId="36CD2A45">
          <wp:simplePos x="0" y="0"/>
          <wp:positionH relativeFrom="column">
            <wp:posOffset>-9462</wp:posOffset>
          </wp:positionH>
          <wp:positionV relativeFrom="paragraph">
            <wp:posOffset>43815</wp:posOffset>
          </wp:positionV>
          <wp:extent cx="942975" cy="965264"/>
          <wp:effectExtent l="0" t="0" r="0" b="635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2975" cy="965264"/>
                  </a:xfrm>
                  <a:prstGeom prst="rect">
                    <a:avLst/>
                  </a:prstGeom>
                </pic:spPr>
              </pic:pic>
            </a:graphicData>
          </a:graphic>
        </wp:anchor>
      </w:drawing>
    </w:r>
  </w:p>
  <w:p w14:paraId="6CA114BE" w14:textId="4CB6B642" w:rsidR="008D6EF6" w:rsidRPr="005A121E" w:rsidRDefault="0052247D" w:rsidP="0052247D">
    <w:pPr>
      <w:pStyle w:val="Header"/>
      <w:tabs>
        <w:tab w:val="left" w:pos="8193"/>
      </w:tabs>
      <w:jc w:val="center"/>
      <w:rPr>
        <w:b/>
        <w:bCs/>
        <w:color w:val="B49200"/>
        <w:sz w:val="24"/>
        <w:szCs w:val="24"/>
      </w:rPr>
    </w:pPr>
    <w:r>
      <w:tab/>
    </w:r>
    <w:r>
      <w:tab/>
    </w:r>
    <w:r w:rsidRPr="005A121E">
      <w:rPr>
        <w:b/>
        <w:bCs/>
        <w:color w:val="B49200"/>
        <w:sz w:val="24"/>
        <w:szCs w:val="24"/>
      </w:rPr>
      <w:t>CSE: GTCH</w:t>
    </w:r>
  </w:p>
  <w:p w14:paraId="4AA59FC2" w14:textId="0F46B6E0" w:rsidR="0052247D" w:rsidRPr="005A121E" w:rsidRDefault="0052247D" w:rsidP="0052247D">
    <w:pPr>
      <w:pStyle w:val="Header"/>
      <w:jc w:val="center"/>
      <w:rPr>
        <w:sz w:val="24"/>
        <w:szCs w:val="24"/>
      </w:rPr>
    </w:pPr>
    <w:r w:rsidRPr="005A121E">
      <w:rPr>
        <w:sz w:val="24"/>
        <w:szCs w:val="24"/>
      </w:rPr>
      <w:tab/>
    </w:r>
    <w:r w:rsidRPr="005A121E">
      <w:rPr>
        <w:sz w:val="24"/>
        <w:szCs w:val="24"/>
      </w:rPr>
      <w:tab/>
    </w:r>
    <w:r w:rsidRPr="005A121E">
      <w:rPr>
        <w:b/>
        <w:bCs/>
        <w:color w:val="B49200"/>
        <w:sz w:val="24"/>
        <w:szCs w:val="24"/>
      </w:rPr>
      <w:t>OTCQB: GGLDF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265" w14:textId="77777777" w:rsidR="00826313" w:rsidRDefault="0082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F18"/>
    <w:multiLevelType w:val="hybridMultilevel"/>
    <w:tmpl w:val="68D05EAC"/>
    <w:lvl w:ilvl="0" w:tplc="44C0E1A6">
      <w:start w:val="1"/>
      <w:numFmt w:val="decimal"/>
      <w:lvlText w:val="%1."/>
      <w:lvlJc w:val="left"/>
      <w:pPr>
        <w:ind w:left="720" w:hanging="360"/>
      </w:pPr>
    </w:lvl>
    <w:lvl w:ilvl="1" w:tplc="3FB0C098" w:tentative="1">
      <w:start w:val="1"/>
      <w:numFmt w:val="lowerLetter"/>
      <w:lvlText w:val="%2."/>
      <w:lvlJc w:val="left"/>
      <w:pPr>
        <w:ind w:left="1440" w:hanging="360"/>
      </w:pPr>
    </w:lvl>
    <w:lvl w:ilvl="2" w:tplc="36C458E0" w:tentative="1">
      <w:start w:val="1"/>
      <w:numFmt w:val="lowerRoman"/>
      <w:lvlText w:val="%3."/>
      <w:lvlJc w:val="right"/>
      <w:pPr>
        <w:ind w:left="2160" w:hanging="180"/>
      </w:pPr>
    </w:lvl>
    <w:lvl w:ilvl="3" w:tplc="FC7E24A8" w:tentative="1">
      <w:start w:val="1"/>
      <w:numFmt w:val="decimal"/>
      <w:lvlText w:val="%4."/>
      <w:lvlJc w:val="left"/>
      <w:pPr>
        <w:ind w:left="2880" w:hanging="360"/>
      </w:pPr>
    </w:lvl>
    <w:lvl w:ilvl="4" w:tplc="C9041E88" w:tentative="1">
      <w:start w:val="1"/>
      <w:numFmt w:val="lowerLetter"/>
      <w:lvlText w:val="%5."/>
      <w:lvlJc w:val="left"/>
      <w:pPr>
        <w:ind w:left="3600" w:hanging="360"/>
      </w:pPr>
    </w:lvl>
    <w:lvl w:ilvl="5" w:tplc="BA3E7FB4" w:tentative="1">
      <w:start w:val="1"/>
      <w:numFmt w:val="lowerRoman"/>
      <w:lvlText w:val="%6."/>
      <w:lvlJc w:val="right"/>
      <w:pPr>
        <w:ind w:left="4320" w:hanging="180"/>
      </w:pPr>
    </w:lvl>
    <w:lvl w:ilvl="6" w:tplc="A0DA44B0" w:tentative="1">
      <w:start w:val="1"/>
      <w:numFmt w:val="decimal"/>
      <w:lvlText w:val="%7."/>
      <w:lvlJc w:val="left"/>
      <w:pPr>
        <w:ind w:left="5040" w:hanging="360"/>
      </w:pPr>
    </w:lvl>
    <w:lvl w:ilvl="7" w:tplc="8C4E00B2" w:tentative="1">
      <w:start w:val="1"/>
      <w:numFmt w:val="lowerLetter"/>
      <w:lvlText w:val="%8."/>
      <w:lvlJc w:val="left"/>
      <w:pPr>
        <w:ind w:left="5760" w:hanging="360"/>
      </w:pPr>
    </w:lvl>
    <w:lvl w:ilvl="8" w:tplc="0E7E7E3A" w:tentative="1">
      <w:start w:val="1"/>
      <w:numFmt w:val="lowerRoman"/>
      <w:lvlText w:val="%9."/>
      <w:lvlJc w:val="right"/>
      <w:pPr>
        <w:ind w:left="6480" w:hanging="180"/>
      </w:pPr>
    </w:lvl>
  </w:abstractNum>
  <w:abstractNum w:abstractNumId="1" w15:restartNumberingAfterBreak="0">
    <w:nsid w:val="06BF7EA9"/>
    <w:multiLevelType w:val="hybridMultilevel"/>
    <w:tmpl w:val="6BCC0BF4"/>
    <w:lvl w:ilvl="0" w:tplc="C8E6ADA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913E4"/>
    <w:multiLevelType w:val="hybridMultilevel"/>
    <w:tmpl w:val="16A2CE3A"/>
    <w:lvl w:ilvl="0" w:tplc="35D22C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F54EB"/>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D06E52"/>
    <w:multiLevelType w:val="hybridMultilevel"/>
    <w:tmpl w:val="2C2850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21322D"/>
    <w:multiLevelType w:val="hybridMultilevel"/>
    <w:tmpl w:val="4A260384"/>
    <w:lvl w:ilvl="0" w:tplc="DE9A45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AB2C29"/>
    <w:multiLevelType w:val="hybridMultilevel"/>
    <w:tmpl w:val="DC706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5D1C36"/>
    <w:multiLevelType w:val="hybridMultilevel"/>
    <w:tmpl w:val="E05A7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9728EE"/>
    <w:multiLevelType w:val="hybridMultilevel"/>
    <w:tmpl w:val="E74A875E"/>
    <w:lvl w:ilvl="0" w:tplc="6E2C0154">
      <w:start w:val="1"/>
      <w:numFmt w:val="decimal"/>
      <w:lvlText w:val="%1."/>
      <w:lvlJc w:val="left"/>
      <w:pPr>
        <w:ind w:left="781" w:hanging="360"/>
      </w:pPr>
    </w:lvl>
    <w:lvl w:ilvl="1" w:tplc="610C7BF4" w:tentative="1">
      <w:start w:val="1"/>
      <w:numFmt w:val="lowerLetter"/>
      <w:lvlText w:val="%2."/>
      <w:lvlJc w:val="left"/>
      <w:pPr>
        <w:ind w:left="1501" w:hanging="360"/>
      </w:pPr>
    </w:lvl>
    <w:lvl w:ilvl="2" w:tplc="E43A0B00" w:tentative="1">
      <w:start w:val="1"/>
      <w:numFmt w:val="lowerRoman"/>
      <w:lvlText w:val="%3."/>
      <w:lvlJc w:val="right"/>
      <w:pPr>
        <w:ind w:left="2221" w:hanging="180"/>
      </w:pPr>
    </w:lvl>
    <w:lvl w:ilvl="3" w:tplc="802CB414" w:tentative="1">
      <w:start w:val="1"/>
      <w:numFmt w:val="decimal"/>
      <w:lvlText w:val="%4."/>
      <w:lvlJc w:val="left"/>
      <w:pPr>
        <w:ind w:left="2941" w:hanging="360"/>
      </w:pPr>
    </w:lvl>
    <w:lvl w:ilvl="4" w:tplc="D152E86A" w:tentative="1">
      <w:start w:val="1"/>
      <w:numFmt w:val="lowerLetter"/>
      <w:lvlText w:val="%5."/>
      <w:lvlJc w:val="left"/>
      <w:pPr>
        <w:ind w:left="3661" w:hanging="360"/>
      </w:pPr>
    </w:lvl>
    <w:lvl w:ilvl="5" w:tplc="D41CC69C" w:tentative="1">
      <w:start w:val="1"/>
      <w:numFmt w:val="lowerRoman"/>
      <w:lvlText w:val="%6."/>
      <w:lvlJc w:val="right"/>
      <w:pPr>
        <w:ind w:left="4381" w:hanging="180"/>
      </w:pPr>
    </w:lvl>
    <w:lvl w:ilvl="6" w:tplc="F53E134C" w:tentative="1">
      <w:start w:val="1"/>
      <w:numFmt w:val="decimal"/>
      <w:lvlText w:val="%7."/>
      <w:lvlJc w:val="left"/>
      <w:pPr>
        <w:ind w:left="5101" w:hanging="360"/>
      </w:pPr>
    </w:lvl>
    <w:lvl w:ilvl="7" w:tplc="CFE63AA6" w:tentative="1">
      <w:start w:val="1"/>
      <w:numFmt w:val="lowerLetter"/>
      <w:lvlText w:val="%8."/>
      <w:lvlJc w:val="left"/>
      <w:pPr>
        <w:ind w:left="5821" w:hanging="360"/>
      </w:pPr>
    </w:lvl>
    <w:lvl w:ilvl="8" w:tplc="5A42227C" w:tentative="1">
      <w:start w:val="1"/>
      <w:numFmt w:val="lowerRoman"/>
      <w:lvlText w:val="%9."/>
      <w:lvlJc w:val="right"/>
      <w:pPr>
        <w:ind w:left="6541" w:hanging="180"/>
      </w:pPr>
    </w:lvl>
  </w:abstractNum>
  <w:abstractNum w:abstractNumId="9" w15:restartNumberingAfterBreak="0">
    <w:nsid w:val="2E505C05"/>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31011D"/>
    <w:multiLevelType w:val="hybridMultilevel"/>
    <w:tmpl w:val="E31C632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51336F"/>
    <w:multiLevelType w:val="hybridMultilevel"/>
    <w:tmpl w:val="ED00D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2B2DDE"/>
    <w:multiLevelType w:val="hybridMultilevel"/>
    <w:tmpl w:val="4798ECC0"/>
    <w:lvl w:ilvl="0" w:tplc="8FE4B8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721E0D"/>
    <w:multiLevelType w:val="hybridMultilevel"/>
    <w:tmpl w:val="B0AC396C"/>
    <w:lvl w:ilvl="0" w:tplc="036A64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4F6CB0"/>
    <w:multiLevelType w:val="hybridMultilevel"/>
    <w:tmpl w:val="E6840824"/>
    <w:lvl w:ilvl="0" w:tplc="F1F8661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0A79A5"/>
    <w:multiLevelType w:val="hybridMultilevel"/>
    <w:tmpl w:val="0804CEE2"/>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A677EF"/>
    <w:multiLevelType w:val="hybridMultilevel"/>
    <w:tmpl w:val="DF32FE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115116"/>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2F3681"/>
    <w:multiLevelType w:val="hybridMultilevel"/>
    <w:tmpl w:val="80025B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895DCE"/>
    <w:multiLevelType w:val="hybridMultilevel"/>
    <w:tmpl w:val="6B4223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B1A54"/>
    <w:multiLevelType w:val="hybridMultilevel"/>
    <w:tmpl w:val="80BE92FA"/>
    <w:lvl w:ilvl="0" w:tplc="3C18CB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4B57AA"/>
    <w:multiLevelType w:val="hybridMultilevel"/>
    <w:tmpl w:val="B1E42DAC"/>
    <w:lvl w:ilvl="0" w:tplc="EB1658B6">
      <w:start w:val="1"/>
      <w:numFmt w:val="bullet"/>
      <w:lvlText w:val=""/>
      <w:lvlJc w:val="left"/>
      <w:pPr>
        <w:ind w:left="720" w:hanging="360"/>
      </w:pPr>
      <w:rPr>
        <w:rFonts w:ascii="Symbol" w:hAnsi="Symbol" w:hint="default"/>
      </w:rPr>
    </w:lvl>
    <w:lvl w:ilvl="1" w:tplc="A5BE0C4C" w:tentative="1">
      <w:start w:val="1"/>
      <w:numFmt w:val="bullet"/>
      <w:lvlText w:val="o"/>
      <w:lvlJc w:val="left"/>
      <w:pPr>
        <w:ind w:left="1440" w:hanging="360"/>
      </w:pPr>
      <w:rPr>
        <w:rFonts w:ascii="Courier New" w:hAnsi="Courier New" w:cs="Courier New" w:hint="default"/>
      </w:rPr>
    </w:lvl>
    <w:lvl w:ilvl="2" w:tplc="235E2FB6" w:tentative="1">
      <w:start w:val="1"/>
      <w:numFmt w:val="bullet"/>
      <w:lvlText w:val=""/>
      <w:lvlJc w:val="left"/>
      <w:pPr>
        <w:ind w:left="2160" w:hanging="360"/>
      </w:pPr>
      <w:rPr>
        <w:rFonts w:ascii="Wingdings" w:hAnsi="Wingdings" w:hint="default"/>
      </w:rPr>
    </w:lvl>
    <w:lvl w:ilvl="3" w:tplc="E7207C40" w:tentative="1">
      <w:start w:val="1"/>
      <w:numFmt w:val="bullet"/>
      <w:lvlText w:val=""/>
      <w:lvlJc w:val="left"/>
      <w:pPr>
        <w:ind w:left="2880" w:hanging="360"/>
      </w:pPr>
      <w:rPr>
        <w:rFonts w:ascii="Symbol" w:hAnsi="Symbol" w:hint="default"/>
      </w:rPr>
    </w:lvl>
    <w:lvl w:ilvl="4" w:tplc="4B44C5B4" w:tentative="1">
      <w:start w:val="1"/>
      <w:numFmt w:val="bullet"/>
      <w:lvlText w:val="o"/>
      <w:lvlJc w:val="left"/>
      <w:pPr>
        <w:ind w:left="3600" w:hanging="360"/>
      </w:pPr>
      <w:rPr>
        <w:rFonts w:ascii="Courier New" w:hAnsi="Courier New" w:cs="Courier New" w:hint="default"/>
      </w:rPr>
    </w:lvl>
    <w:lvl w:ilvl="5" w:tplc="3FA62A64" w:tentative="1">
      <w:start w:val="1"/>
      <w:numFmt w:val="bullet"/>
      <w:lvlText w:val=""/>
      <w:lvlJc w:val="left"/>
      <w:pPr>
        <w:ind w:left="4320" w:hanging="360"/>
      </w:pPr>
      <w:rPr>
        <w:rFonts w:ascii="Wingdings" w:hAnsi="Wingdings" w:hint="default"/>
      </w:rPr>
    </w:lvl>
    <w:lvl w:ilvl="6" w:tplc="97CE25BE" w:tentative="1">
      <w:start w:val="1"/>
      <w:numFmt w:val="bullet"/>
      <w:lvlText w:val=""/>
      <w:lvlJc w:val="left"/>
      <w:pPr>
        <w:ind w:left="5040" w:hanging="360"/>
      </w:pPr>
      <w:rPr>
        <w:rFonts w:ascii="Symbol" w:hAnsi="Symbol" w:hint="default"/>
      </w:rPr>
    </w:lvl>
    <w:lvl w:ilvl="7" w:tplc="742C5ED2" w:tentative="1">
      <w:start w:val="1"/>
      <w:numFmt w:val="bullet"/>
      <w:lvlText w:val="o"/>
      <w:lvlJc w:val="left"/>
      <w:pPr>
        <w:ind w:left="5760" w:hanging="360"/>
      </w:pPr>
      <w:rPr>
        <w:rFonts w:ascii="Courier New" w:hAnsi="Courier New" w:cs="Courier New" w:hint="default"/>
      </w:rPr>
    </w:lvl>
    <w:lvl w:ilvl="8" w:tplc="06F663CA" w:tentative="1">
      <w:start w:val="1"/>
      <w:numFmt w:val="bullet"/>
      <w:lvlText w:val=""/>
      <w:lvlJc w:val="left"/>
      <w:pPr>
        <w:ind w:left="6480" w:hanging="360"/>
      </w:pPr>
      <w:rPr>
        <w:rFonts w:ascii="Wingdings" w:hAnsi="Wingdings" w:hint="default"/>
      </w:rPr>
    </w:lvl>
  </w:abstractNum>
  <w:abstractNum w:abstractNumId="22" w15:restartNumberingAfterBreak="0">
    <w:nsid w:val="6D5702C6"/>
    <w:multiLevelType w:val="hybridMultilevel"/>
    <w:tmpl w:val="21169DEA"/>
    <w:lvl w:ilvl="0" w:tplc="9482D572">
      <w:start w:val="1"/>
      <w:numFmt w:val="bullet"/>
      <w:lvlText w:val=""/>
      <w:lvlJc w:val="left"/>
      <w:pPr>
        <w:ind w:left="781" w:hanging="360"/>
      </w:pPr>
      <w:rPr>
        <w:rFonts w:ascii="Symbol" w:hAnsi="Symbol" w:hint="default"/>
      </w:rPr>
    </w:lvl>
    <w:lvl w:ilvl="1" w:tplc="F63E5DE2" w:tentative="1">
      <w:start w:val="1"/>
      <w:numFmt w:val="bullet"/>
      <w:lvlText w:val="o"/>
      <w:lvlJc w:val="left"/>
      <w:pPr>
        <w:ind w:left="1501" w:hanging="360"/>
      </w:pPr>
      <w:rPr>
        <w:rFonts w:ascii="Courier New" w:hAnsi="Courier New" w:cs="Courier New" w:hint="default"/>
      </w:rPr>
    </w:lvl>
    <w:lvl w:ilvl="2" w:tplc="3F9249B8" w:tentative="1">
      <w:start w:val="1"/>
      <w:numFmt w:val="bullet"/>
      <w:lvlText w:val=""/>
      <w:lvlJc w:val="left"/>
      <w:pPr>
        <w:ind w:left="2221" w:hanging="360"/>
      </w:pPr>
      <w:rPr>
        <w:rFonts w:ascii="Wingdings" w:hAnsi="Wingdings" w:hint="default"/>
      </w:rPr>
    </w:lvl>
    <w:lvl w:ilvl="3" w:tplc="66289F10" w:tentative="1">
      <w:start w:val="1"/>
      <w:numFmt w:val="bullet"/>
      <w:lvlText w:val=""/>
      <w:lvlJc w:val="left"/>
      <w:pPr>
        <w:ind w:left="2941" w:hanging="360"/>
      </w:pPr>
      <w:rPr>
        <w:rFonts w:ascii="Symbol" w:hAnsi="Symbol" w:hint="default"/>
      </w:rPr>
    </w:lvl>
    <w:lvl w:ilvl="4" w:tplc="A5CC373A" w:tentative="1">
      <w:start w:val="1"/>
      <w:numFmt w:val="bullet"/>
      <w:lvlText w:val="o"/>
      <w:lvlJc w:val="left"/>
      <w:pPr>
        <w:ind w:left="3661" w:hanging="360"/>
      </w:pPr>
      <w:rPr>
        <w:rFonts w:ascii="Courier New" w:hAnsi="Courier New" w:cs="Courier New" w:hint="default"/>
      </w:rPr>
    </w:lvl>
    <w:lvl w:ilvl="5" w:tplc="2146D7F2" w:tentative="1">
      <w:start w:val="1"/>
      <w:numFmt w:val="bullet"/>
      <w:lvlText w:val=""/>
      <w:lvlJc w:val="left"/>
      <w:pPr>
        <w:ind w:left="4381" w:hanging="360"/>
      </w:pPr>
      <w:rPr>
        <w:rFonts w:ascii="Wingdings" w:hAnsi="Wingdings" w:hint="default"/>
      </w:rPr>
    </w:lvl>
    <w:lvl w:ilvl="6" w:tplc="10AE443E" w:tentative="1">
      <w:start w:val="1"/>
      <w:numFmt w:val="bullet"/>
      <w:lvlText w:val=""/>
      <w:lvlJc w:val="left"/>
      <w:pPr>
        <w:ind w:left="5101" w:hanging="360"/>
      </w:pPr>
      <w:rPr>
        <w:rFonts w:ascii="Symbol" w:hAnsi="Symbol" w:hint="default"/>
      </w:rPr>
    </w:lvl>
    <w:lvl w:ilvl="7" w:tplc="50D2EF0C" w:tentative="1">
      <w:start w:val="1"/>
      <w:numFmt w:val="bullet"/>
      <w:lvlText w:val="o"/>
      <w:lvlJc w:val="left"/>
      <w:pPr>
        <w:ind w:left="5821" w:hanging="360"/>
      </w:pPr>
      <w:rPr>
        <w:rFonts w:ascii="Courier New" w:hAnsi="Courier New" w:cs="Courier New" w:hint="default"/>
      </w:rPr>
    </w:lvl>
    <w:lvl w:ilvl="8" w:tplc="242E82AC" w:tentative="1">
      <w:start w:val="1"/>
      <w:numFmt w:val="bullet"/>
      <w:lvlText w:val=""/>
      <w:lvlJc w:val="left"/>
      <w:pPr>
        <w:ind w:left="6541" w:hanging="360"/>
      </w:pPr>
      <w:rPr>
        <w:rFonts w:ascii="Wingdings" w:hAnsi="Wingdings" w:hint="default"/>
      </w:rPr>
    </w:lvl>
  </w:abstractNum>
  <w:abstractNum w:abstractNumId="23" w15:restartNumberingAfterBreak="0">
    <w:nsid w:val="6F026FB0"/>
    <w:multiLevelType w:val="hybridMultilevel"/>
    <w:tmpl w:val="6786D72A"/>
    <w:lvl w:ilvl="0" w:tplc="AA983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1B1D37"/>
    <w:multiLevelType w:val="hybridMultilevel"/>
    <w:tmpl w:val="24E86052"/>
    <w:lvl w:ilvl="0" w:tplc="3B2A28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9424642">
    <w:abstractNumId w:val="0"/>
  </w:num>
  <w:num w:numId="2" w16cid:durableId="613365891">
    <w:abstractNumId w:val="21"/>
  </w:num>
  <w:num w:numId="3" w16cid:durableId="1783574878">
    <w:abstractNumId w:val="8"/>
  </w:num>
  <w:num w:numId="4" w16cid:durableId="1434667078">
    <w:abstractNumId w:val="22"/>
  </w:num>
  <w:num w:numId="5" w16cid:durableId="1884900611">
    <w:abstractNumId w:val="1"/>
  </w:num>
  <w:num w:numId="6" w16cid:durableId="1586383262">
    <w:abstractNumId w:val="13"/>
  </w:num>
  <w:num w:numId="7" w16cid:durableId="953899864">
    <w:abstractNumId w:val="15"/>
  </w:num>
  <w:num w:numId="8" w16cid:durableId="1985616839">
    <w:abstractNumId w:val="18"/>
  </w:num>
  <w:num w:numId="9" w16cid:durableId="1105806235">
    <w:abstractNumId w:val="6"/>
  </w:num>
  <w:num w:numId="10" w16cid:durableId="1663049730">
    <w:abstractNumId w:val="16"/>
  </w:num>
  <w:num w:numId="11" w16cid:durableId="1237788133">
    <w:abstractNumId w:val="4"/>
  </w:num>
  <w:num w:numId="12" w16cid:durableId="1457873491">
    <w:abstractNumId w:val="10"/>
  </w:num>
  <w:num w:numId="13" w16cid:durableId="1135366133">
    <w:abstractNumId w:val="11"/>
  </w:num>
  <w:num w:numId="14" w16cid:durableId="1064372739">
    <w:abstractNumId w:val="19"/>
  </w:num>
  <w:num w:numId="15" w16cid:durableId="848561746">
    <w:abstractNumId w:val="23"/>
  </w:num>
  <w:num w:numId="16" w16cid:durableId="1596744396">
    <w:abstractNumId w:val="11"/>
  </w:num>
  <w:num w:numId="17" w16cid:durableId="1616715207">
    <w:abstractNumId w:val="7"/>
  </w:num>
  <w:num w:numId="18" w16cid:durableId="1035665844">
    <w:abstractNumId w:val="5"/>
  </w:num>
  <w:num w:numId="19" w16cid:durableId="539558639">
    <w:abstractNumId w:val="2"/>
  </w:num>
  <w:num w:numId="20" w16cid:durableId="237322451">
    <w:abstractNumId w:val="9"/>
  </w:num>
  <w:num w:numId="21" w16cid:durableId="1229263173">
    <w:abstractNumId w:val="20"/>
  </w:num>
  <w:num w:numId="22" w16cid:durableId="1932658016">
    <w:abstractNumId w:val="7"/>
  </w:num>
  <w:num w:numId="23" w16cid:durableId="205798270">
    <w:abstractNumId w:val="17"/>
  </w:num>
  <w:num w:numId="24" w16cid:durableId="1947301836">
    <w:abstractNumId w:val="3"/>
  </w:num>
  <w:num w:numId="25" w16cid:durableId="2087190944">
    <w:abstractNumId w:val="14"/>
  </w:num>
  <w:num w:numId="26" w16cid:durableId="1536113558">
    <w:abstractNumId w:val="24"/>
  </w:num>
  <w:num w:numId="27" w16cid:durableId="545802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20"/>
    <w:rsid w:val="0001370E"/>
    <w:rsid w:val="00014038"/>
    <w:rsid w:val="00016D16"/>
    <w:rsid w:val="00017ACD"/>
    <w:rsid w:val="000200EF"/>
    <w:rsid w:val="00021BC1"/>
    <w:rsid w:val="00023128"/>
    <w:rsid w:val="000233E4"/>
    <w:rsid w:val="00031A3A"/>
    <w:rsid w:val="00031F25"/>
    <w:rsid w:val="00035FB4"/>
    <w:rsid w:val="0004649B"/>
    <w:rsid w:val="00052D42"/>
    <w:rsid w:val="000533BD"/>
    <w:rsid w:val="000763E8"/>
    <w:rsid w:val="00080290"/>
    <w:rsid w:val="000947F2"/>
    <w:rsid w:val="00096D36"/>
    <w:rsid w:val="00096F2F"/>
    <w:rsid w:val="00097AA7"/>
    <w:rsid w:val="000A15B0"/>
    <w:rsid w:val="000A5AF8"/>
    <w:rsid w:val="000A6669"/>
    <w:rsid w:val="000B1C04"/>
    <w:rsid w:val="000B22AE"/>
    <w:rsid w:val="000B48BF"/>
    <w:rsid w:val="000B63DB"/>
    <w:rsid w:val="000B670D"/>
    <w:rsid w:val="000B7103"/>
    <w:rsid w:val="000B75B6"/>
    <w:rsid w:val="000B7AF3"/>
    <w:rsid w:val="000C2D37"/>
    <w:rsid w:val="000C7F29"/>
    <w:rsid w:val="000D4D6D"/>
    <w:rsid w:val="000E1989"/>
    <w:rsid w:val="000E648B"/>
    <w:rsid w:val="000F0B47"/>
    <w:rsid w:val="000F4063"/>
    <w:rsid w:val="000F53ED"/>
    <w:rsid w:val="000F71C5"/>
    <w:rsid w:val="001016E3"/>
    <w:rsid w:val="00103561"/>
    <w:rsid w:val="00103CE2"/>
    <w:rsid w:val="00103DE2"/>
    <w:rsid w:val="00104309"/>
    <w:rsid w:val="00112765"/>
    <w:rsid w:val="00116D84"/>
    <w:rsid w:val="00120596"/>
    <w:rsid w:val="0012125F"/>
    <w:rsid w:val="00123433"/>
    <w:rsid w:val="00123B5D"/>
    <w:rsid w:val="00127469"/>
    <w:rsid w:val="001274BD"/>
    <w:rsid w:val="00127632"/>
    <w:rsid w:val="00134032"/>
    <w:rsid w:val="001358CC"/>
    <w:rsid w:val="001367B8"/>
    <w:rsid w:val="00140AC6"/>
    <w:rsid w:val="001509EA"/>
    <w:rsid w:val="00150A08"/>
    <w:rsid w:val="0015280B"/>
    <w:rsid w:val="00153972"/>
    <w:rsid w:val="001540B4"/>
    <w:rsid w:val="001543C7"/>
    <w:rsid w:val="00155B8D"/>
    <w:rsid w:val="00157290"/>
    <w:rsid w:val="00157D27"/>
    <w:rsid w:val="001611BC"/>
    <w:rsid w:val="00162B50"/>
    <w:rsid w:val="00165F01"/>
    <w:rsid w:val="001667AF"/>
    <w:rsid w:val="00167BD5"/>
    <w:rsid w:val="001700CD"/>
    <w:rsid w:val="00172689"/>
    <w:rsid w:val="0017292F"/>
    <w:rsid w:val="0018055C"/>
    <w:rsid w:val="001833A6"/>
    <w:rsid w:val="0019020F"/>
    <w:rsid w:val="00194B90"/>
    <w:rsid w:val="001955F8"/>
    <w:rsid w:val="001956FE"/>
    <w:rsid w:val="001A27A5"/>
    <w:rsid w:val="001A3DEE"/>
    <w:rsid w:val="001A4917"/>
    <w:rsid w:val="001B2BA6"/>
    <w:rsid w:val="001B4138"/>
    <w:rsid w:val="001B4D75"/>
    <w:rsid w:val="001B56DB"/>
    <w:rsid w:val="001B7179"/>
    <w:rsid w:val="001B79D0"/>
    <w:rsid w:val="001C3FF4"/>
    <w:rsid w:val="001C5719"/>
    <w:rsid w:val="001C6640"/>
    <w:rsid w:val="001D1225"/>
    <w:rsid w:val="001D29A7"/>
    <w:rsid w:val="001D2AE0"/>
    <w:rsid w:val="001D4527"/>
    <w:rsid w:val="001D7605"/>
    <w:rsid w:val="001D7893"/>
    <w:rsid w:val="001E07FC"/>
    <w:rsid w:val="001E0F79"/>
    <w:rsid w:val="001E1F11"/>
    <w:rsid w:val="001E2E7D"/>
    <w:rsid w:val="001E343D"/>
    <w:rsid w:val="001E5A21"/>
    <w:rsid w:val="001E5C15"/>
    <w:rsid w:val="001E6142"/>
    <w:rsid w:val="001E7FD2"/>
    <w:rsid w:val="001F0A73"/>
    <w:rsid w:val="001F17BD"/>
    <w:rsid w:val="001F2728"/>
    <w:rsid w:val="001F7324"/>
    <w:rsid w:val="00200D1F"/>
    <w:rsid w:val="00200FA4"/>
    <w:rsid w:val="00203476"/>
    <w:rsid w:val="00203CC9"/>
    <w:rsid w:val="00207F54"/>
    <w:rsid w:val="002139B3"/>
    <w:rsid w:val="002149E9"/>
    <w:rsid w:val="00216951"/>
    <w:rsid w:val="0022186F"/>
    <w:rsid w:val="00221CB9"/>
    <w:rsid w:val="00223576"/>
    <w:rsid w:val="00223EC2"/>
    <w:rsid w:val="0022538F"/>
    <w:rsid w:val="00227A6C"/>
    <w:rsid w:val="00234CB8"/>
    <w:rsid w:val="0023616A"/>
    <w:rsid w:val="002377FF"/>
    <w:rsid w:val="00241CF9"/>
    <w:rsid w:val="002433E1"/>
    <w:rsid w:val="002504E0"/>
    <w:rsid w:val="00255D50"/>
    <w:rsid w:val="00260F6A"/>
    <w:rsid w:val="00262DE6"/>
    <w:rsid w:val="00264C81"/>
    <w:rsid w:val="00265B95"/>
    <w:rsid w:val="00266760"/>
    <w:rsid w:val="0026692D"/>
    <w:rsid w:val="0027100E"/>
    <w:rsid w:val="00272C4C"/>
    <w:rsid w:val="00274179"/>
    <w:rsid w:val="0027432D"/>
    <w:rsid w:val="0027466A"/>
    <w:rsid w:val="002768C0"/>
    <w:rsid w:val="00277AF9"/>
    <w:rsid w:val="00280882"/>
    <w:rsid w:val="00282845"/>
    <w:rsid w:val="002831F0"/>
    <w:rsid w:val="00290F1C"/>
    <w:rsid w:val="00294B57"/>
    <w:rsid w:val="002A0D55"/>
    <w:rsid w:val="002A1160"/>
    <w:rsid w:val="002A2FFF"/>
    <w:rsid w:val="002B009E"/>
    <w:rsid w:val="002B0492"/>
    <w:rsid w:val="002B164D"/>
    <w:rsid w:val="002B6468"/>
    <w:rsid w:val="002B744C"/>
    <w:rsid w:val="002C0621"/>
    <w:rsid w:val="002C09AA"/>
    <w:rsid w:val="002C31FE"/>
    <w:rsid w:val="002C36FE"/>
    <w:rsid w:val="002C7727"/>
    <w:rsid w:val="002D0230"/>
    <w:rsid w:val="002D1936"/>
    <w:rsid w:val="002D732C"/>
    <w:rsid w:val="002E048D"/>
    <w:rsid w:val="002E2DD6"/>
    <w:rsid w:val="002F2206"/>
    <w:rsid w:val="002F630E"/>
    <w:rsid w:val="002F70BA"/>
    <w:rsid w:val="002F7F27"/>
    <w:rsid w:val="003004D3"/>
    <w:rsid w:val="003026A3"/>
    <w:rsid w:val="00304021"/>
    <w:rsid w:val="00304514"/>
    <w:rsid w:val="003063FE"/>
    <w:rsid w:val="00307846"/>
    <w:rsid w:val="00313FBA"/>
    <w:rsid w:val="00316140"/>
    <w:rsid w:val="003176DF"/>
    <w:rsid w:val="00321996"/>
    <w:rsid w:val="003262B7"/>
    <w:rsid w:val="00326B7B"/>
    <w:rsid w:val="003322EE"/>
    <w:rsid w:val="00332914"/>
    <w:rsid w:val="00341832"/>
    <w:rsid w:val="00342BF9"/>
    <w:rsid w:val="003448CA"/>
    <w:rsid w:val="0034550B"/>
    <w:rsid w:val="00354DD8"/>
    <w:rsid w:val="0037208E"/>
    <w:rsid w:val="0037692A"/>
    <w:rsid w:val="00380A51"/>
    <w:rsid w:val="00380CDB"/>
    <w:rsid w:val="00384FD9"/>
    <w:rsid w:val="00391EBE"/>
    <w:rsid w:val="0039472E"/>
    <w:rsid w:val="00394EF1"/>
    <w:rsid w:val="003A0172"/>
    <w:rsid w:val="003A2366"/>
    <w:rsid w:val="003A2BB8"/>
    <w:rsid w:val="003A33F5"/>
    <w:rsid w:val="003A3600"/>
    <w:rsid w:val="003A571C"/>
    <w:rsid w:val="003B1612"/>
    <w:rsid w:val="003B2FF0"/>
    <w:rsid w:val="003C129C"/>
    <w:rsid w:val="003C256A"/>
    <w:rsid w:val="003D14CB"/>
    <w:rsid w:val="003D1CD0"/>
    <w:rsid w:val="003D53D2"/>
    <w:rsid w:val="003D6E74"/>
    <w:rsid w:val="003E030D"/>
    <w:rsid w:val="003E032E"/>
    <w:rsid w:val="003E0B1B"/>
    <w:rsid w:val="003E45E0"/>
    <w:rsid w:val="003E4AA1"/>
    <w:rsid w:val="003E717A"/>
    <w:rsid w:val="003F6EA0"/>
    <w:rsid w:val="004028E7"/>
    <w:rsid w:val="004043E0"/>
    <w:rsid w:val="00405DFF"/>
    <w:rsid w:val="00406623"/>
    <w:rsid w:val="004100AC"/>
    <w:rsid w:val="00412CC2"/>
    <w:rsid w:val="00414B09"/>
    <w:rsid w:val="00415CAF"/>
    <w:rsid w:val="00421BB6"/>
    <w:rsid w:val="00425059"/>
    <w:rsid w:val="00430C6B"/>
    <w:rsid w:val="00431473"/>
    <w:rsid w:val="00433283"/>
    <w:rsid w:val="0044089E"/>
    <w:rsid w:val="00441855"/>
    <w:rsid w:val="00441FB5"/>
    <w:rsid w:val="00453791"/>
    <w:rsid w:val="00456B9D"/>
    <w:rsid w:val="004623E0"/>
    <w:rsid w:val="00463D14"/>
    <w:rsid w:val="004641D6"/>
    <w:rsid w:val="00466E81"/>
    <w:rsid w:val="0047107F"/>
    <w:rsid w:val="004713C2"/>
    <w:rsid w:val="0047565F"/>
    <w:rsid w:val="00475E89"/>
    <w:rsid w:val="0047672D"/>
    <w:rsid w:val="00484C70"/>
    <w:rsid w:val="004853D3"/>
    <w:rsid w:val="00485934"/>
    <w:rsid w:val="00486EA3"/>
    <w:rsid w:val="004905C4"/>
    <w:rsid w:val="00494292"/>
    <w:rsid w:val="0049442B"/>
    <w:rsid w:val="0049496D"/>
    <w:rsid w:val="004A0813"/>
    <w:rsid w:val="004A14EB"/>
    <w:rsid w:val="004A2B25"/>
    <w:rsid w:val="004A2B9B"/>
    <w:rsid w:val="004A5008"/>
    <w:rsid w:val="004A6517"/>
    <w:rsid w:val="004A7D68"/>
    <w:rsid w:val="004B3795"/>
    <w:rsid w:val="004B3C78"/>
    <w:rsid w:val="004B3CA2"/>
    <w:rsid w:val="004B4C35"/>
    <w:rsid w:val="004B4F82"/>
    <w:rsid w:val="004C0820"/>
    <w:rsid w:val="004C2752"/>
    <w:rsid w:val="004C517F"/>
    <w:rsid w:val="004C6CBD"/>
    <w:rsid w:val="004C7800"/>
    <w:rsid w:val="004D120C"/>
    <w:rsid w:val="004D4DB3"/>
    <w:rsid w:val="004D5710"/>
    <w:rsid w:val="004D5D11"/>
    <w:rsid w:val="004E0FFC"/>
    <w:rsid w:val="004F2016"/>
    <w:rsid w:val="004F3839"/>
    <w:rsid w:val="004F4265"/>
    <w:rsid w:val="004F6645"/>
    <w:rsid w:val="004F6C86"/>
    <w:rsid w:val="004F6CFC"/>
    <w:rsid w:val="005003B5"/>
    <w:rsid w:val="00500957"/>
    <w:rsid w:val="005028BE"/>
    <w:rsid w:val="00502DD0"/>
    <w:rsid w:val="005033F0"/>
    <w:rsid w:val="00512527"/>
    <w:rsid w:val="00513CF0"/>
    <w:rsid w:val="00515F03"/>
    <w:rsid w:val="005174E9"/>
    <w:rsid w:val="00522141"/>
    <w:rsid w:val="0052247D"/>
    <w:rsid w:val="0052292D"/>
    <w:rsid w:val="005242C4"/>
    <w:rsid w:val="005242C5"/>
    <w:rsid w:val="005321CC"/>
    <w:rsid w:val="0054356F"/>
    <w:rsid w:val="00543FF6"/>
    <w:rsid w:val="005509C6"/>
    <w:rsid w:val="0055191D"/>
    <w:rsid w:val="00552DC3"/>
    <w:rsid w:val="0056101C"/>
    <w:rsid w:val="00565BAF"/>
    <w:rsid w:val="0056612B"/>
    <w:rsid w:val="0056653C"/>
    <w:rsid w:val="00567F9A"/>
    <w:rsid w:val="00571293"/>
    <w:rsid w:val="005739A2"/>
    <w:rsid w:val="005748C7"/>
    <w:rsid w:val="00574B18"/>
    <w:rsid w:val="00581255"/>
    <w:rsid w:val="005815CC"/>
    <w:rsid w:val="0058392E"/>
    <w:rsid w:val="005839E9"/>
    <w:rsid w:val="005861CE"/>
    <w:rsid w:val="005861E6"/>
    <w:rsid w:val="00586458"/>
    <w:rsid w:val="0059073A"/>
    <w:rsid w:val="0059136A"/>
    <w:rsid w:val="00595170"/>
    <w:rsid w:val="005A0389"/>
    <w:rsid w:val="005A121E"/>
    <w:rsid w:val="005B2CD4"/>
    <w:rsid w:val="005B3497"/>
    <w:rsid w:val="005B6433"/>
    <w:rsid w:val="005B6818"/>
    <w:rsid w:val="005C1363"/>
    <w:rsid w:val="005C2554"/>
    <w:rsid w:val="005C4BED"/>
    <w:rsid w:val="005C5962"/>
    <w:rsid w:val="005D30C7"/>
    <w:rsid w:val="005D6A78"/>
    <w:rsid w:val="005E38AD"/>
    <w:rsid w:val="005E516E"/>
    <w:rsid w:val="005F1AE5"/>
    <w:rsid w:val="005F324C"/>
    <w:rsid w:val="005F337E"/>
    <w:rsid w:val="005F33E9"/>
    <w:rsid w:val="005F6717"/>
    <w:rsid w:val="005F6835"/>
    <w:rsid w:val="005F7654"/>
    <w:rsid w:val="005F77CC"/>
    <w:rsid w:val="00601D4C"/>
    <w:rsid w:val="00605E6A"/>
    <w:rsid w:val="006103BE"/>
    <w:rsid w:val="00610F38"/>
    <w:rsid w:val="0061240B"/>
    <w:rsid w:val="00613555"/>
    <w:rsid w:val="006145E1"/>
    <w:rsid w:val="0062587B"/>
    <w:rsid w:val="00627294"/>
    <w:rsid w:val="006307B0"/>
    <w:rsid w:val="006318CC"/>
    <w:rsid w:val="00635717"/>
    <w:rsid w:val="00637649"/>
    <w:rsid w:val="0064102D"/>
    <w:rsid w:val="006423BF"/>
    <w:rsid w:val="006432D6"/>
    <w:rsid w:val="006453C8"/>
    <w:rsid w:val="006517E9"/>
    <w:rsid w:val="006522E6"/>
    <w:rsid w:val="00652AB9"/>
    <w:rsid w:val="00652F1A"/>
    <w:rsid w:val="00654E7A"/>
    <w:rsid w:val="00655505"/>
    <w:rsid w:val="00660060"/>
    <w:rsid w:val="006609B5"/>
    <w:rsid w:val="00665AEA"/>
    <w:rsid w:val="006739F7"/>
    <w:rsid w:val="00673A7B"/>
    <w:rsid w:val="00675A22"/>
    <w:rsid w:val="00675EA2"/>
    <w:rsid w:val="00686195"/>
    <w:rsid w:val="00686935"/>
    <w:rsid w:val="006873BE"/>
    <w:rsid w:val="0069023E"/>
    <w:rsid w:val="00690EB1"/>
    <w:rsid w:val="00691C25"/>
    <w:rsid w:val="00691FDA"/>
    <w:rsid w:val="006A29B9"/>
    <w:rsid w:val="006B0C2F"/>
    <w:rsid w:val="006B2EE3"/>
    <w:rsid w:val="006B3AC3"/>
    <w:rsid w:val="006B4A89"/>
    <w:rsid w:val="006B65EF"/>
    <w:rsid w:val="006B6A45"/>
    <w:rsid w:val="006C0C7A"/>
    <w:rsid w:val="006C4122"/>
    <w:rsid w:val="006C4620"/>
    <w:rsid w:val="006C4705"/>
    <w:rsid w:val="006C53BC"/>
    <w:rsid w:val="006D001F"/>
    <w:rsid w:val="006D1953"/>
    <w:rsid w:val="006D1FF8"/>
    <w:rsid w:val="006D20A6"/>
    <w:rsid w:val="006D520C"/>
    <w:rsid w:val="006D6C32"/>
    <w:rsid w:val="006E0B8E"/>
    <w:rsid w:val="006E2501"/>
    <w:rsid w:val="006E298F"/>
    <w:rsid w:val="006E2E8D"/>
    <w:rsid w:val="006F0EBB"/>
    <w:rsid w:val="006F421A"/>
    <w:rsid w:val="006F63A7"/>
    <w:rsid w:val="006F6C66"/>
    <w:rsid w:val="00701B83"/>
    <w:rsid w:val="00702DDC"/>
    <w:rsid w:val="00705435"/>
    <w:rsid w:val="00712ACC"/>
    <w:rsid w:val="00714E2B"/>
    <w:rsid w:val="00714E6A"/>
    <w:rsid w:val="0071568A"/>
    <w:rsid w:val="00717526"/>
    <w:rsid w:val="00720E0B"/>
    <w:rsid w:val="00722FBD"/>
    <w:rsid w:val="00724B49"/>
    <w:rsid w:val="00725842"/>
    <w:rsid w:val="00727F7A"/>
    <w:rsid w:val="00730D8E"/>
    <w:rsid w:val="00731408"/>
    <w:rsid w:val="00731C5D"/>
    <w:rsid w:val="00731E66"/>
    <w:rsid w:val="00733E5A"/>
    <w:rsid w:val="00735A81"/>
    <w:rsid w:val="00736824"/>
    <w:rsid w:val="007422E1"/>
    <w:rsid w:val="0074403F"/>
    <w:rsid w:val="007503F4"/>
    <w:rsid w:val="00750D31"/>
    <w:rsid w:val="0075121B"/>
    <w:rsid w:val="00752A37"/>
    <w:rsid w:val="007602C0"/>
    <w:rsid w:val="00760711"/>
    <w:rsid w:val="00760933"/>
    <w:rsid w:val="00760E98"/>
    <w:rsid w:val="00764B22"/>
    <w:rsid w:val="00773A6F"/>
    <w:rsid w:val="00776987"/>
    <w:rsid w:val="007776C8"/>
    <w:rsid w:val="0078166D"/>
    <w:rsid w:val="007939E9"/>
    <w:rsid w:val="007947E5"/>
    <w:rsid w:val="00794A07"/>
    <w:rsid w:val="00795B7A"/>
    <w:rsid w:val="007A02A7"/>
    <w:rsid w:val="007A1C98"/>
    <w:rsid w:val="007A2BA3"/>
    <w:rsid w:val="007A7D48"/>
    <w:rsid w:val="007B1B6E"/>
    <w:rsid w:val="007B2B0E"/>
    <w:rsid w:val="007B331F"/>
    <w:rsid w:val="007B7A6C"/>
    <w:rsid w:val="007C1818"/>
    <w:rsid w:val="007C68C5"/>
    <w:rsid w:val="007C7BCA"/>
    <w:rsid w:val="007D0EB2"/>
    <w:rsid w:val="007D4624"/>
    <w:rsid w:val="007D4FAF"/>
    <w:rsid w:val="007E0545"/>
    <w:rsid w:val="007E446A"/>
    <w:rsid w:val="007F156F"/>
    <w:rsid w:val="0080143F"/>
    <w:rsid w:val="00802F9E"/>
    <w:rsid w:val="008034CD"/>
    <w:rsid w:val="0080511C"/>
    <w:rsid w:val="00806821"/>
    <w:rsid w:val="00810DB4"/>
    <w:rsid w:val="008137C0"/>
    <w:rsid w:val="008177C3"/>
    <w:rsid w:val="00821CDC"/>
    <w:rsid w:val="0082352D"/>
    <w:rsid w:val="00826313"/>
    <w:rsid w:val="00830B29"/>
    <w:rsid w:val="00837A31"/>
    <w:rsid w:val="00843352"/>
    <w:rsid w:val="008450BC"/>
    <w:rsid w:val="00846FAC"/>
    <w:rsid w:val="00852CFA"/>
    <w:rsid w:val="008546CE"/>
    <w:rsid w:val="00857D05"/>
    <w:rsid w:val="00860823"/>
    <w:rsid w:val="00860D88"/>
    <w:rsid w:val="00863A92"/>
    <w:rsid w:val="00865359"/>
    <w:rsid w:val="00865EB5"/>
    <w:rsid w:val="008676E7"/>
    <w:rsid w:val="008715C9"/>
    <w:rsid w:val="00872899"/>
    <w:rsid w:val="008756F5"/>
    <w:rsid w:val="00875A7E"/>
    <w:rsid w:val="008767CB"/>
    <w:rsid w:val="00880C7D"/>
    <w:rsid w:val="008827A6"/>
    <w:rsid w:val="0088796D"/>
    <w:rsid w:val="008919A4"/>
    <w:rsid w:val="00891E83"/>
    <w:rsid w:val="00892BC0"/>
    <w:rsid w:val="00893C55"/>
    <w:rsid w:val="008950FD"/>
    <w:rsid w:val="00897120"/>
    <w:rsid w:val="008A07F7"/>
    <w:rsid w:val="008B5658"/>
    <w:rsid w:val="008C0095"/>
    <w:rsid w:val="008C075E"/>
    <w:rsid w:val="008C14C2"/>
    <w:rsid w:val="008C1D43"/>
    <w:rsid w:val="008C5FB9"/>
    <w:rsid w:val="008C784F"/>
    <w:rsid w:val="008D295A"/>
    <w:rsid w:val="008D3014"/>
    <w:rsid w:val="008D4758"/>
    <w:rsid w:val="008D4E71"/>
    <w:rsid w:val="008D61BC"/>
    <w:rsid w:val="008D6EF6"/>
    <w:rsid w:val="008D7C58"/>
    <w:rsid w:val="008D7D88"/>
    <w:rsid w:val="008E209D"/>
    <w:rsid w:val="008E5559"/>
    <w:rsid w:val="008E58C0"/>
    <w:rsid w:val="008E6A47"/>
    <w:rsid w:val="008E7434"/>
    <w:rsid w:val="008F1A98"/>
    <w:rsid w:val="008F52FD"/>
    <w:rsid w:val="008F6758"/>
    <w:rsid w:val="008F7765"/>
    <w:rsid w:val="008F7C47"/>
    <w:rsid w:val="00906038"/>
    <w:rsid w:val="00906A22"/>
    <w:rsid w:val="009079D1"/>
    <w:rsid w:val="0091506C"/>
    <w:rsid w:val="00915929"/>
    <w:rsid w:val="009207B2"/>
    <w:rsid w:val="00923979"/>
    <w:rsid w:val="00924F99"/>
    <w:rsid w:val="00926C86"/>
    <w:rsid w:val="00927D65"/>
    <w:rsid w:val="0093214B"/>
    <w:rsid w:val="009327BD"/>
    <w:rsid w:val="009351F0"/>
    <w:rsid w:val="009358D5"/>
    <w:rsid w:val="00946D73"/>
    <w:rsid w:val="00947868"/>
    <w:rsid w:val="00947B8A"/>
    <w:rsid w:val="00951EE1"/>
    <w:rsid w:val="00953511"/>
    <w:rsid w:val="009560A1"/>
    <w:rsid w:val="00957020"/>
    <w:rsid w:val="00957339"/>
    <w:rsid w:val="00962F49"/>
    <w:rsid w:val="00965304"/>
    <w:rsid w:val="009660C0"/>
    <w:rsid w:val="00966CE2"/>
    <w:rsid w:val="0096762B"/>
    <w:rsid w:val="00970D5C"/>
    <w:rsid w:val="009719AB"/>
    <w:rsid w:val="00971DEC"/>
    <w:rsid w:val="00973FF3"/>
    <w:rsid w:val="009753F7"/>
    <w:rsid w:val="00976692"/>
    <w:rsid w:val="0098538D"/>
    <w:rsid w:val="009856DC"/>
    <w:rsid w:val="00987658"/>
    <w:rsid w:val="00994031"/>
    <w:rsid w:val="00996288"/>
    <w:rsid w:val="009A1859"/>
    <w:rsid w:val="009A1DEA"/>
    <w:rsid w:val="009A3708"/>
    <w:rsid w:val="009A3FB1"/>
    <w:rsid w:val="009A4F20"/>
    <w:rsid w:val="009A7E64"/>
    <w:rsid w:val="009B0481"/>
    <w:rsid w:val="009B211A"/>
    <w:rsid w:val="009B4470"/>
    <w:rsid w:val="009B4DD2"/>
    <w:rsid w:val="009C0D6F"/>
    <w:rsid w:val="009C1298"/>
    <w:rsid w:val="009C1ABD"/>
    <w:rsid w:val="009C6816"/>
    <w:rsid w:val="009D4962"/>
    <w:rsid w:val="009E1D37"/>
    <w:rsid w:val="009E2080"/>
    <w:rsid w:val="009E2C91"/>
    <w:rsid w:val="009E4061"/>
    <w:rsid w:val="009E40E1"/>
    <w:rsid w:val="009E43BA"/>
    <w:rsid w:val="009E5EFA"/>
    <w:rsid w:val="009F62D3"/>
    <w:rsid w:val="009F652D"/>
    <w:rsid w:val="009F779A"/>
    <w:rsid w:val="00A028FD"/>
    <w:rsid w:val="00A03F3B"/>
    <w:rsid w:val="00A05218"/>
    <w:rsid w:val="00A1070D"/>
    <w:rsid w:val="00A1744A"/>
    <w:rsid w:val="00A24B43"/>
    <w:rsid w:val="00A257FB"/>
    <w:rsid w:val="00A26884"/>
    <w:rsid w:val="00A31BC5"/>
    <w:rsid w:val="00A31D89"/>
    <w:rsid w:val="00A32649"/>
    <w:rsid w:val="00A343C2"/>
    <w:rsid w:val="00A364D4"/>
    <w:rsid w:val="00A3681D"/>
    <w:rsid w:val="00A37B69"/>
    <w:rsid w:val="00A449BB"/>
    <w:rsid w:val="00A45FE6"/>
    <w:rsid w:val="00A505FA"/>
    <w:rsid w:val="00A53902"/>
    <w:rsid w:val="00A55200"/>
    <w:rsid w:val="00A557C4"/>
    <w:rsid w:val="00A5593E"/>
    <w:rsid w:val="00A55992"/>
    <w:rsid w:val="00A5697C"/>
    <w:rsid w:val="00A5778E"/>
    <w:rsid w:val="00A60512"/>
    <w:rsid w:val="00A60684"/>
    <w:rsid w:val="00A61F1C"/>
    <w:rsid w:val="00A622C3"/>
    <w:rsid w:val="00A623C7"/>
    <w:rsid w:val="00A662B5"/>
    <w:rsid w:val="00A74EA4"/>
    <w:rsid w:val="00A803F2"/>
    <w:rsid w:val="00A85817"/>
    <w:rsid w:val="00A85ADC"/>
    <w:rsid w:val="00A862E7"/>
    <w:rsid w:val="00A8666E"/>
    <w:rsid w:val="00A87519"/>
    <w:rsid w:val="00A87608"/>
    <w:rsid w:val="00A8784A"/>
    <w:rsid w:val="00A928D0"/>
    <w:rsid w:val="00A949F4"/>
    <w:rsid w:val="00A96627"/>
    <w:rsid w:val="00A97483"/>
    <w:rsid w:val="00AA0761"/>
    <w:rsid w:val="00AA17D2"/>
    <w:rsid w:val="00AA18F8"/>
    <w:rsid w:val="00AA36CA"/>
    <w:rsid w:val="00AA50BB"/>
    <w:rsid w:val="00AA64D9"/>
    <w:rsid w:val="00AB0362"/>
    <w:rsid w:val="00AB083C"/>
    <w:rsid w:val="00AB2940"/>
    <w:rsid w:val="00AB6DEB"/>
    <w:rsid w:val="00AB7BAA"/>
    <w:rsid w:val="00AC44A2"/>
    <w:rsid w:val="00AC7322"/>
    <w:rsid w:val="00AD1138"/>
    <w:rsid w:val="00AD4D5A"/>
    <w:rsid w:val="00AE2F70"/>
    <w:rsid w:val="00AE4573"/>
    <w:rsid w:val="00AE7CA6"/>
    <w:rsid w:val="00AF0261"/>
    <w:rsid w:val="00AF0EF3"/>
    <w:rsid w:val="00AF15F9"/>
    <w:rsid w:val="00AF1FA0"/>
    <w:rsid w:val="00AF75F9"/>
    <w:rsid w:val="00B056C5"/>
    <w:rsid w:val="00B06459"/>
    <w:rsid w:val="00B071D3"/>
    <w:rsid w:val="00B14529"/>
    <w:rsid w:val="00B14800"/>
    <w:rsid w:val="00B14BA8"/>
    <w:rsid w:val="00B17340"/>
    <w:rsid w:val="00B17DB7"/>
    <w:rsid w:val="00B25669"/>
    <w:rsid w:val="00B26E97"/>
    <w:rsid w:val="00B27A13"/>
    <w:rsid w:val="00B31E27"/>
    <w:rsid w:val="00B343CD"/>
    <w:rsid w:val="00B34F8C"/>
    <w:rsid w:val="00B36A47"/>
    <w:rsid w:val="00B41D75"/>
    <w:rsid w:val="00B46235"/>
    <w:rsid w:val="00B517DA"/>
    <w:rsid w:val="00B5387C"/>
    <w:rsid w:val="00B6062D"/>
    <w:rsid w:val="00B648A7"/>
    <w:rsid w:val="00B64DC3"/>
    <w:rsid w:val="00B66948"/>
    <w:rsid w:val="00B67C00"/>
    <w:rsid w:val="00B71009"/>
    <w:rsid w:val="00B734FF"/>
    <w:rsid w:val="00B774BE"/>
    <w:rsid w:val="00B825E1"/>
    <w:rsid w:val="00B84446"/>
    <w:rsid w:val="00B9421E"/>
    <w:rsid w:val="00B94F3B"/>
    <w:rsid w:val="00B950DC"/>
    <w:rsid w:val="00B96B9C"/>
    <w:rsid w:val="00BA0F23"/>
    <w:rsid w:val="00BA1D6D"/>
    <w:rsid w:val="00BA2B21"/>
    <w:rsid w:val="00BA4897"/>
    <w:rsid w:val="00BB157D"/>
    <w:rsid w:val="00BB2F79"/>
    <w:rsid w:val="00BB3BA3"/>
    <w:rsid w:val="00BB56E5"/>
    <w:rsid w:val="00BC1FEC"/>
    <w:rsid w:val="00BC4ED6"/>
    <w:rsid w:val="00BC7F06"/>
    <w:rsid w:val="00BD1257"/>
    <w:rsid w:val="00BD3860"/>
    <w:rsid w:val="00BD4232"/>
    <w:rsid w:val="00BD5C76"/>
    <w:rsid w:val="00BD6D0F"/>
    <w:rsid w:val="00BE338F"/>
    <w:rsid w:val="00BE402D"/>
    <w:rsid w:val="00BE403A"/>
    <w:rsid w:val="00BE696C"/>
    <w:rsid w:val="00BF3276"/>
    <w:rsid w:val="00BF648C"/>
    <w:rsid w:val="00C028E8"/>
    <w:rsid w:val="00C02954"/>
    <w:rsid w:val="00C05196"/>
    <w:rsid w:val="00C27A59"/>
    <w:rsid w:val="00C27D9B"/>
    <w:rsid w:val="00C301B8"/>
    <w:rsid w:val="00C3038B"/>
    <w:rsid w:val="00C32FE2"/>
    <w:rsid w:val="00C35A99"/>
    <w:rsid w:val="00C36286"/>
    <w:rsid w:val="00C37174"/>
    <w:rsid w:val="00C40727"/>
    <w:rsid w:val="00C408D7"/>
    <w:rsid w:val="00C43B92"/>
    <w:rsid w:val="00C45974"/>
    <w:rsid w:val="00C506A8"/>
    <w:rsid w:val="00C54BCF"/>
    <w:rsid w:val="00C55674"/>
    <w:rsid w:val="00C57A19"/>
    <w:rsid w:val="00C60C10"/>
    <w:rsid w:val="00C617B5"/>
    <w:rsid w:val="00C627F5"/>
    <w:rsid w:val="00C636A5"/>
    <w:rsid w:val="00C6576E"/>
    <w:rsid w:val="00C65FCA"/>
    <w:rsid w:val="00C67BE3"/>
    <w:rsid w:val="00C77082"/>
    <w:rsid w:val="00C8099A"/>
    <w:rsid w:val="00C84F22"/>
    <w:rsid w:val="00C8596D"/>
    <w:rsid w:val="00C87E7C"/>
    <w:rsid w:val="00C905EB"/>
    <w:rsid w:val="00C92C1B"/>
    <w:rsid w:val="00C92CDB"/>
    <w:rsid w:val="00C967AD"/>
    <w:rsid w:val="00CA29ED"/>
    <w:rsid w:val="00CA2C74"/>
    <w:rsid w:val="00CA4371"/>
    <w:rsid w:val="00CA4591"/>
    <w:rsid w:val="00CA64CE"/>
    <w:rsid w:val="00CA7504"/>
    <w:rsid w:val="00CB2220"/>
    <w:rsid w:val="00CB3486"/>
    <w:rsid w:val="00CB4CBC"/>
    <w:rsid w:val="00CB5306"/>
    <w:rsid w:val="00CB7F6C"/>
    <w:rsid w:val="00CC09FE"/>
    <w:rsid w:val="00CC0CF1"/>
    <w:rsid w:val="00CC3681"/>
    <w:rsid w:val="00CC542D"/>
    <w:rsid w:val="00CD4CAA"/>
    <w:rsid w:val="00CD516B"/>
    <w:rsid w:val="00CD523B"/>
    <w:rsid w:val="00CD7633"/>
    <w:rsid w:val="00CD7D53"/>
    <w:rsid w:val="00CE05CD"/>
    <w:rsid w:val="00CE35A6"/>
    <w:rsid w:val="00CE4903"/>
    <w:rsid w:val="00CE529F"/>
    <w:rsid w:val="00CE68A8"/>
    <w:rsid w:val="00CE6D0C"/>
    <w:rsid w:val="00CF1761"/>
    <w:rsid w:val="00CF1907"/>
    <w:rsid w:val="00CF6762"/>
    <w:rsid w:val="00CF778C"/>
    <w:rsid w:val="00D0054C"/>
    <w:rsid w:val="00D01682"/>
    <w:rsid w:val="00D03D40"/>
    <w:rsid w:val="00D03E8F"/>
    <w:rsid w:val="00D13855"/>
    <w:rsid w:val="00D148A4"/>
    <w:rsid w:val="00D22944"/>
    <w:rsid w:val="00D23B08"/>
    <w:rsid w:val="00D245B9"/>
    <w:rsid w:val="00D2654D"/>
    <w:rsid w:val="00D30660"/>
    <w:rsid w:val="00D31F05"/>
    <w:rsid w:val="00D422D6"/>
    <w:rsid w:val="00D453BD"/>
    <w:rsid w:val="00D468B3"/>
    <w:rsid w:val="00D50A34"/>
    <w:rsid w:val="00D50B95"/>
    <w:rsid w:val="00D50E2B"/>
    <w:rsid w:val="00D52097"/>
    <w:rsid w:val="00D52290"/>
    <w:rsid w:val="00D53EEC"/>
    <w:rsid w:val="00D56EE3"/>
    <w:rsid w:val="00D670C6"/>
    <w:rsid w:val="00D70528"/>
    <w:rsid w:val="00D71BF7"/>
    <w:rsid w:val="00D743A6"/>
    <w:rsid w:val="00D750FF"/>
    <w:rsid w:val="00D75130"/>
    <w:rsid w:val="00D7530F"/>
    <w:rsid w:val="00D76575"/>
    <w:rsid w:val="00D80515"/>
    <w:rsid w:val="00D81053"/>
    <w:rsid w:val="00D81BFF"/>
    <w:rsid w:val="00D81C0F"/>
    <w:rsid w:val="00D85E4C"/>
    <w:rsid w:val="00D86315"/>
    <w:rsid w:val="00D9092F"/>
    <w:rsid w:val="00D90E44"/>
    <w:rsid w:val="00D917A6"/>
    <w:rsid w:val="00D9355F"/>
    <w:rsid w:val="00D93D14"/>
    <w:rsid w:val="00D96267"/>
    <w:rsid w:val="00DA1507"/>
    <w:rsid w:val="00DA4B50"/>
    <w:rsid w:val="00DA5111"/>
    <w:rsid w:val="00DA5D7E"/>
    <w:rsid w:val="00DB2209"/>
    <w:rsid w:val="00DB443F"/>
    <w:rsid w:val="00DB578B"/>
    <w:rsid w:val="00DC1606"/>
    <w:rsid w:val="00DC3384"/>
    <w:rsid w:val="00DC4764"/>
    <w:rsid w:val="00DC6DCC"/>
    <w:rsid w:val="00DC7586"/>
    <w:rsid w:val="00DD249E"/>
    <w:rsid w:val="00DD2705"/>
    <w:rsid w:val="00DD71B7"/>
    <w:rsid w:val="00DD7222"/>
    <w:rsid w:val="00DE120E"/>
    <w:rsid w:val="00DE6694"/>
    <w:rsid w:val="00DE768B"/>
    <w:rsid w:val="00DF1FB3"/>
    <w:rsid w:val="00DF332E"/>
    <w:rsid w:val="00DF3942"/>
    <w:rsid w:val="00DF4008"/>
    <w:rsid w:val="00E00F9B"/>
    <w:rsid w:val="00E01852"/>
    <w:rsid w:val="00E1120A"/>
    <w:rsid w:val="00E11882"/>
    <w:rsid w:val="00E11E1A"/>
    <w:rsid w:val="00E12018"/>
    <w:rsid w:val="00E1419F"/>
    <w:rsid w:val="00E22616"/>
    <w:rsid w:val="00E25975"/>
    <w:rsid w:val="00E26977"/>
    <w:rsid w:val="00E33753"/>
    <w:rsid w:val="00E33CAD"/>
    <w:rsid w:val="00E33D75"/>
    <w:rsid w:val="00E357A8"/>
    <w:rsid w:val="00E37367"/>
    <w:rsid w:val="00E402C6"/>
    <w:rsid w:val="00E41AB0"/>
    <w:rsid w:val="00E44307"/>
    <w:rsid w:val="00E534B6"/>
    <w:rsid w:val="00E53A64"/>
    <w:rsid w:val="00E57139"/>
    <w:rsid w:val="00E576BC"/>
    <w:rsid w:val="00E67D92"/>
    <w:rsid w:val="00E71089"/>
    <w:rsid w:val="00E71D1D"/>
    <w:rsid w:val="00E72E45"/>
    <w:rsid w:val="00E7713A"/>
    <w:rsid w:val="00E804C7"/>
    <w:rsid w:val="00E836D6"/>
    <w:rsid w:val="00E83712"/>
    <w:rsid w:val="00E85D1B"/>
    <w:rsid w:val="00E86CB1"/>
    <w:rsid w:val="00E86D86"/>
    <w:rsid w:val="00E9074E"/>
    <w:rsid w:val="00E91124"/>
    <w:rsid w:val="00E91A22"/>
    <w:rsid w:val="00E91D7F"/>
    <w:rsid w:val="00E93818"/>
    <w:rsid w:val="00E9562B"/>
    <w:rsid w:val="00E97574"/>
    <w:rsid w:val="00E97AEC"/>
    <w:rsid w:val="00EA107D"/>
    <w:rsid w:val="00EA16FA"/>
    <w:rsid w:val="00EA3262"/>
    <w:rsid w:val="00EB5977"/>
    <w:rsid w:val="00EB5F37"/>
    <w:rsid w:val="00EC2297"/>
    <w:rsid w:val="00EC24E8"/>
    <w:rsid w:val="00EC37A8"/>
    <w:rsid w:val="00ED1491"/>
    <w:rsid w:val="00ED5970"/>
    <w:rsid w:val="00ED5EE0"/>
    <w:rsid w:val="00EE10A8"/>
    <w:rsid w:val="00EE1E32"/>
    <w:rsid w:val="00EE33A5"/>
    <w:rsid w:val="00EE551C"/>
    <w:rsid w:val="00EE564C"/>
    <w:rsid w:val="00EE56B0"/>
    <w:rsid w:val="00EE6A78"/>
    <w:rsid w:val="00EF2330"/>
    <w:rsid w:val="00EF2D38"/>
    <w:rsid w:val="00EF47E2"/>
    <w:rsid w:val="00EF66F3"/>
    <w:rsid w:val="00EF7D58"/>
    <w:rsid w:val="00F0043A"/>
    <w:rsid w:val="00F00B28"/>
    <w:rsid w:val="00F02995"/>
    <w:rsid w:val="00F07A51"/>
    <w:rsid w:val="00F1494B"/>
    <w:rsid w:val="00F14E21"/>
    <w:rsid w:val="00F1504F"/>
    <w:rsid w:val="00F153F4"/>
    <w:rsid w:val="00F1641A"/>
    <w:rsid w:val="00F167F2"/>
    <w:rsid w:val="00F1743F"/>
    <w:rsid w:val="00F20378"/>
    <w:rsid w:val="00F208C1"/>
    <w:rsid w:val="00F226E4"/>
    <w:rsid w:val="00F22F6A"/>
    <w:rsid w:val="00F23E80"/>
    <w:rsid w:val="00F314C2"/>
    <w:rsid w:val="00F32226"/>
    <w:rsid w:val="00F333F9"/>
    <w:rsid w:val="00F3562B"/>
    <w:rsid w:val="00F369CC"/>
    <w:rsid w:val="00F37FDA"/>
    <w:rsid w:val="00F40540"/>
    <w:rsid w:val="00F4258A"/>
    <w:rsid w:val="00F47CF6"/>
    <w:rsid w:val="00F62C65"/>
    <w:rsid w:val="00F6435B"/>
    <w:rsid w:val="00F66C7B"/>
    <w:rsid w:val="00F67D55"/>
    <w:rsid w:val="00F7162C"/>
    <w:rsid w:val="00F73CD9"/>
    <w:rsid w:val="00F75675"/>
    <w:rsid w:val="00F758BD"/>
    <w:rsid w:val="00F776F7"/>
    <w:rsid w:val="00F8189A"/>
    <w:rsid w:val="00F86C3B"/>
    <w:rsid w:val="00F937AD"/>
    <w:rsid w:val="00F93E7A"/>
    <w:rsid w:val="00FA160F"/>
    <w:rsid w:val="00FA2A8B"/>
    <w:rsid w:val="00FA3C97"/>
    <w:rsid w:val="00FA41FC"/>
    <w:rsid w:val="00FA528A"/>
    <w:rsid w:val="00FA7BCF"/>
    <w:rsid w:val="00FA7BF3"/>
    <w:rsid w:val="00FA7E6C"/>
    <w:rsid w:val="00FB0B55"/>
    <w:rsid w:val="00FB1A6A"/>
    <w:rsid w:val="00FB21B7"/>
    <w:rsid w:val="00FB3D9E"/>
    <w:rsid w:val="00FB4C6A"/>
    <w:rsid w:val="00FB6AA8"/>
    <w:rsid w:val="00FC1425"/>
    <w:rsid w:val="00FC3474"/>
    <w:rsid w:val="00FC36F6"/>
    <w:rsid w:val="00FC69BF"/>
    <w:rsid w:val="00FD72D3"/>
    <w:rsid w:val="00FE3208"/>
    <w:rsid w:val="00FE438F"/>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304A7"/>
  <w15:docId w15:val="{1EC42AFD-82DB-BB4A-8055-32189F5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0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7D"/>
    <w:pPr>
      <w:ind w:left="720"/>
      <w:contextualSpacing/>
    </w:pPr>
  </w:style>
  <w:style w:type="paragraph" w:styleId="NormalWeb">
    <w:name w:val="Normal (Web)"/>
    <w:basedOn w:val="Normal"/>
    <w:uiPriority w:val="99"/>
    <w:unhideWhenUsed/>
    <w:rsid w:val="00490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06CD"/>
  </w:style>
  <w:style w:type="character" w:styleId="Strong">
    <w:name w:val="Strong"/>
    <w:basedOn w:val="DefaultParagraphFont"/>
    <w:uiPriority w:val="22"/>
    <w:qFormat/>
    <w:rsid w:val="004906CD"/>
    <w:rPr>
      <w:b/>
      <w:bCs/>
    </w:rPr>
  </w:style>
  <w:style w:type="paragraph" w:styleId="BalloonText">
    <w:name w:val="Balloon Text"/>
    <w:basedOn w:val="Normal"/>
    <w:link w:val="BalloonTextChar"/>
    <w:uiPriority w:val="99"/>
    <w:semiHidden/>
    <w:unhideWhenUsed/>
    <w:rsid w:val="00D51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BF"/>
    <w:rPr>
      <w:rFonts w:ascii="Segoe UI" w:hAnsi="Segoe UI" w:cs="Segoe UI"/>
      <w:sz w:val="18"/>
      <w:szCs w:val="18"/>
    </w:rPr>
  </w:style>
  <w:style w:type="character" w:styleId="CommentReference">
    <w:name w:val="annotation reference"/>
    <w:basedOn w:val="DefaultParagraphFont"/>
    <w:uiPriority w:val="99"/>
    <w:semiHidden/>
    <w:unhideWhenUsed/>
    <w:rsid w:val="00E658DB"/>
    <w:rPr>
      <w:sz w:val="16"/>
      <w:szCs w:val="16"/>
    </w:rPr>
  </w:style>
  <w:style w:type="paragraph" w:styleId="CommentText">
    <w:name w:val="annotation text"/>
    <w:basedOn w:val="Normal"/>
    <w:link w:val="CommentTextChar"/>
    <w:uiPriority w:val="99"/>
    <w:semiHidden/>
    <w:unhideWhenUsed/>
    <w:rsid w:val="00E658DB"/>
    <w:pPr>
      <w:spacing w:line="240" w:lineRule="auto"/>
    </w:pPr>
    <w:rPr>
      <w:sz w:val="20"/>
      <w:szCs w:val="20"/>
    </w:rPr>
  </w:style>
  <w:style w:type="character" w:customStyle="1" w:styleId="CommentTextChar">
    <w:name w:val="Comment Text Char"/>
    <w:basedOn w:val="DefaultParagraphFont"/>
    <w:link w:val="CommentText"/>
    <w:uiPriority w:val="99"/>
    <w:semiHidden/>
    <w:rsid w:val="00E658DB"/>
    <w:rPr>
      <w:sz w:val="20"/>
      <w:szCs w:val="20"/>
    </w:rPr>
  </w:style>
  <w:style w:type="paragraph" w:styleId="CommentSubject">
    <w:name w:val="annotation subject"/>
    <w:basedOn w:val="CommentText"/>
    <w:next w:val="CommentText"/>
    <w:link w:val="CommentSubjectChar"/>
    <w:uiPriority w:val="99"/>
    <w:semiHidden/>
    <w:unhideWhenUsed/>
    <w:rsid w:val="00E658DB"/>
    <w:rPr>
      <w:b/>
      <w:bCs/>
    </w:rPr>
  </w:style>
  <w:style w:type="character" w:customStyle="1" w:styleId="CommentSubjectChar">
    <w:name w:val="Comment Subject Char"/>
    <w:basedOn w:val="CommentTextChar"/>
    <w:link w:val="CommentSubject"/>
    <w:uiPriority w:val="99"/>
    <w:semiHidden/>
    <w:rsid w:val="00E658DB"/>
    <w:rPr>
      <w:b/>
      <w:bCs/>
      <w:sz w:val="20"/>
      <w:szCs w:val="20"/>
    </w:rPr>
  </w:style>
  <w:style w:type="paragraph" w:styleId="Header">
    <w:name w:val="header"/>
    <w:basedOn w:val="Normal"/>
    <w:link w:val="HeaderChar"/>
    <w:uiPriority w:val="99"/>
    <w:unhideWhenUsed/>
    <w:rsid w:val="00AE4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9C"/>
  </w:style>
  <w:style w:type="paragraph" w:styleId="Footer">
    <w:name w:val="footer"/>
    <w:basedOn w:val="Normal"/>
    <w:link w:val="FooterChar"/>
    <w:uiPriority w:val="99"/>
    <w:unhideWhenUsed/>
    <w:rsid w:val="00AE4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9C"/>
  </w:style>
  <w:style w:type="character" w:styleId="Hyperlink">
    <w:name w:val="Hyperlink"/>
    <w:basedOn w:val="DefaultParagraphFont"/>
    <w:uiPriority w:val="99"/>
    <w:unhideWhenUsed/>
    <w:rsid w:val="00A7471E"/>
    <w:rPr>
      <w:color w:val="0000FF" w:themeColor="hyperlink"/>
      <w:u w:val="single"/>
    </w:rPr>
  </w:style>
  <w:style w:type="character" w:customStyle="1" w:styleId="UnresolvedMention1">
    <w:name w:val="Unresolved Mention1"/>
    <w:basedOn w:val="DefaultParagraphFont"/>
    <w:uiPriority w:val="99"/>
    <w:semiHidden/>
    <w:unhideWhenUsed/>
    <w:rsid w:val="00A7471E"/>
    <w:rPr>
      <w:color w:val="605E5C"/>
      <w:shd w:val="clear" w:color="auto" w:fill="E1DFDD"/>
    </w:rPr>
  </w:style>
  <w:style w:type="character" w:styleId="UnresolvedMention">
    <w:name w:val="Unresolved Mention"/>
    <w:basedOn w:val="DefaultParagraphFont"/>
    <w:uiPriority w:val="99"/>
    <w:semiHidden/>
    <w:unhideWhenUsed/>
    <w:rsid w:val="005F324C"/>
    <w:rPr>
      <w:color w:val="605E5C"/>
      <w:shd w:val="clear" w:color="auto" w:fill="E1DFDD"/>
    </w:rPr>
  </w:style>
  <w:style w:type="character" w:styleId="FollowedHyperlink">
    <w:name w:val="FollowedHyperlink"/>
    <w:basedOn w:val="DefaultParagraphFont"/>
    <w:uiPriority w:val="99"/>
    <w:semiHidden/>
    <w:unhideWhenUsed/>
    <w:rsid w:val="00FF54F6"/>
    <w:rPr>
      <w:color w:val="800080" w:themeColor="followedHyperlink"/>
      <w:u w:val="single"/>
    </w:rPr>
  </w:style>
  <w:style w:type="character" w:customStyle="1" w:styleId="Heading1Char">
    <w:name w:val="Heading 1 Char"/>
    <w:basedOn w:val="DefaultParagraphFont"/>
    <w:link w:val="Heading1"/>
    <w:uiPriority w:val="9"/>
    <w:rsid w:val="00200FA4"/>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47107F"/>
    <w:rPr>
      <w:rFonts w:ascii="OpenSans-Regular" w:hAnsi="OpenSans-Regular" w:hint="default"/>
      <w:b w:val="0"/>
      <w:bCs w:val="0"/>
      <w:i w:val="0"/>
      <w:iCs w:val="0"/>
      <w:color w:val="474747"/>
    </w:rPr>
  </w:style>
  <w:style w:type="paragraph" w:styleId="Revision">
    <w:name w:val="Revision"/>
    <w:hidden/>
    <w:uiPriority w:val="99"/>
    <w:semiHidden/>
    <w:rsid w:val="00A87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560">
      <w:bodyDiv w:val="1"/>
      <w:marLeft w:val="0"/>
      <w:marRight w:val="0"/>
      <w:marTop w:val="0"/>
      <w:marBottom w:val="0"/>
      <w:divBdr>
        <w:top w:val="none" w:sz="0" w:space="0" w:color="auto"/>
        <w:left w:val="none" w:sz="0" w:space="0" w:color="auto"/>
        <w:bottom w:val="none" w:sz="0" w:space="0" w:color="auto"/>
        <w:right w:val="none" w:sz="0" w:space="0" w:color="auto"/>
      </w:divBdr>
    </w:div>
    <w:div w:id="114064023">
      <w:bodyDiv w:val="1"/>
      <w:marLeft w:val="0"/>
      <w:marRight w:val="0"/>
      <w:marTop w:val="0"/>
      <w:marBottom w:val="0"/>
      <w:divBdr>
        <w:top w:val="none" w:sz="0" w:space="0" w:color="auto"/>
        <w:left w:val="none" w:sz="0" w:space="0" w:color="auto"/>
        <w:bottom w:val="none" w:sz="0" w:space="0" w:color="auto"/>
        <w:right w:val="none" w:sz="0" w:space="0" w:color="auto"/>
      </w:divBdr>
    </w:div>
    <w:div w:id="505288204">
      <w:bodyDiv w:val="1"/>
      <w:marLeft w:val="0"/>
      <w:marRight w:val="0"/>
      <w:marTop w:val="0"/>
      <w:marBottom w:val="0"/>
      <w:divBdr>
        <w:top w:val="none" w:sz="0" w:space="0" w:color="auto"/>
        <w:left w:val="none" w:sz="0" w:space="0" w:color="auto"/>
        <w:bottom w:val="none" w:sz="0" w:space="0" w:color="auto"/>
        <w:right w:val="none" w:sz="0" w:space="0" w:color="auto"/>
      </w:divBdr>
    </w:div>
    <w:div w:id="577404554">
      <w:bodyDiv w:val="1"/>
      <w:marLeft w:val="0"/>
      <w:marRight w:val="0"/>
      <w:marTop w:val="0"/>
      <w:marBottom w:val="0"/>
      <w:divBdr>
        <w:top w:val="none" w:sz="0" w:space="0" w:color="auto"/>
        <w:left w:val="none" w:sz="0" w:space="0" w:color="auto"/>
        <w:bottom w:val="none" w:sz="0" w:space="0" w:color="auto"/>
        <w:right w:val="none" w:sz="0" w:space="0" w:color="auto"/>
      </w:divBdr>
    </w:div>
    <w:div w:id="672730696">
      <w:bodyDiv w:val="1"/>
      <w:marLeft w:val="0"/>
      <w:marRight w:val="0"/>
      <w:marTop w:val="0"/>
      <w:marBottom w:val="0"/>
      <w:divBdr>
        <w:top w:val="none" w:sz="0" w:space="0" w:color="auto"/>
        <w:left w:val="none" w:sz="0" w:space="0" w:color="auto"/>
        <w:bottom w:val="none" w:sz="0" w:space="0" w:color="auto"/>
        <w:right w:val="none" w:sz="0" w:space="0" w:color="auto"/>
      </w:divBdr>
    </w:div>
    <w:div w:id="1013072678">
      <w:bodyDiv w:val="1"/>
      <w:marLeft w:val="0"/>
      <w:marRight w:val="0"/>
      <w:marTop w:val="0"/>
      <w:marBottom w:val="0"/>
      <w:divBdr>
        <w:top w:val="none" w:sz="0" w:space="0" w:color="auto"/>
        <w:left w:val="none" w:sz="0" w:space="0" w:color="auto"/>
        <w:bottom w:val="none" w:sz="0" w:space="0" w:color="auto"/>
        <w:right w:val="none" w:sz="0" w:space="0" w:color="auto"/>
      </w:divBdr>
    </w:div>
    <w:div w:id="1176842416">
      <w:bodyDiv w:val="1"/>
      <w:marLeft w:val="0"/>
      <w:marRight w:val="0"/>
      <w:marTop w:val="0"/>
      <w:marBottom w:val="0"/>
      <w:divBdr>
        <w:top w:val="none" w:sz="0" w:space="0" w:color="auto"/>
        <w:left w:val="none" w:sz="0" w:space="0" w:color="auto"/>
        <w:bottom w:val="none" w:sz="0" w:space="0" w:color="auto"/>
        <w:right w:val="none" w:sz="0" w:space="0" w:color="auto"/>
      </w:divBdr>
    </w:div>
    <w:div w:id="1397510095">
      <w:bodyDiv w:val="1"/>
      <w:marLeft w:val="0"/>
      <w:marRight w:val="0"/>
      <w:marTop w:val="0"/>
      <w:marBottom w:val="0"/>
      <w:divBdr>
        <w:top w:val="none" w:sz="0" w:space="0" w:color="auto"/>
        <w:left w:val="none" w:sz="0" w:space="0" w:color="auto"/>
        <w:bottom w:val="none" w:sz="0" w:space="0" w:color="auto"/>
        <w:right w:val="none" w:sz="0" w:space="0" w:color="auto"/>
      </w:divBdr>
    </w:div>
    <w:div w:id="1425956258">
      <w:bodyDiv w:val="1"/>
      <w:marLeft w:val="0"/>
      <w:marRight w:val="0"/>
      <w:marTop w:val="0"/>
      <w:marBottom w:val="0"/>
      <w:divBdr>
        <w:top w:val="none" w:sz="0" w:space="0" w:color="auto"/>
        <w:left w:val="none" w:sz="0" w:space="0" w:color="auto"/>
        <w:bottom w:val="none" w:sz="0" w:space="0" w:color="auto"/>
        <w:right w:val="none" w:sz="0" w:space="0" w:color="auto"/>
      </w:divBdr>
    </w:div>
    <w:div w:id="1426264884">
      <w:bodyDiv w:val="1"/>
      <w:marLeft w:val="0"/>
      <w:marRight w:val="0"/>
      <w:marTop w:val="0"/>
      <w:marBottom w:val="0"/>
      <w:divBdr>
        <w:top w:val="none" w:sz="0" w:space="0" w:color="auto"/>
        <w:left w:val="none" w:sz="0" w:space="0" w:color="auto"/>
        <w:bottom w:val="none" w:sz="0" w:space="0" w:color="auto"/>
        <w:right w:val="none" w:sz="0" w:space="0" w:color="auto"/>
      </w:divBdr>
    </w:div>
    <w:div w:id="1687829760">
      <w:bodyDiv w:val="1"/>
      <w:marLeft w:val="0"/>
      <w:marRight w:val="0"/>
      <w:marTop w:val="0"/>
      <w:marBottom w:val="0"/>
      <w:divBdr>
        <w:top w:val="none" w:sz="0" w:space="0" w:color="auto"/>
        <w:left w:val="none" w:sz="0" w:space="0" w:color="auto"/>
        <w:bottom w:val="none" w:sz="0" w:space="0" w:color="auto"/>
        <w:right w:val="none" w:sz="0" w:space="0" w:color="auto"/>
      </w:divBdr>
    </w:div>
    <w:div w:id="1713263744">
      <w:bodyDiv w:val="1"/>
      <w:marLeft w:val="0"/>
      <w:marRight w:val="0"/>
      <w:marTop w:val="0"/>
      <w:marBottom w:val="0"/>
      <w:divBdr>
        <w:top w:val="none" w:sz="0" w:space="0" w:color="auto"/>
        <w:left w:val="none" w:sz="0" w:space="0" w:color="auto"/>
        <w:bottom w:val="none" w:sz="0" w:space="0" w:color="auto"/>
        <w:right w:val="none" w:sz="0" w:space="0" w:color="auto"/>
      </w:divBdr>
    </w:div>
    <w:div w:id="1815100730">
      <w:bodyDiv w:val="1"/>
      <w:marLeft w:val="0"/>
      <w:marRight w:val="0"/>
      <w:marTop w:val="0"/>
      <w:marBottom w:val="0"/>
      <w:divBdr>
        <w:top w:val="none" w:sz="0" w:space="0" w:color="auto"/>
        <w:left w:val="none" w:sz="0" w:space="0" w:color="auto"/>
        <w:bottom w:val="none" w:sz="0" w:space="0" w:color="auto"/>
        <w:right w:val="none" w:sz="0" w:space="0" w:color="auto"/>
      </w:divBdr>
    </w:div>
    <w:div w:id="1970160994">
      <w:bodyDiv w:val="1"/>
      <w:marLeft w:val="0"/>
      <w:marRight w:val="0"/>
      <w:marTop w:val="0"/>
      <w:marBottom w:val="0"/>
      <w:divBdr>
        <w:top w:val="none" w:sz="0" w:space="0" w:color="auto"/>
        <w:left w:val="none" w:sz="0" w:space="0" w:color="auto"/>
        <w:bottom w:val="none" w:sz="0" w:space="0" w:color="auto"/>
        <w:right w:val="none" w:sz="0" w:space="0" w:color="auto"/>
      </w:divBdr>
    </w:div>
    <w:div w:id="20888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tchellgol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tchellgol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Draft PP News Release (Morton Comments)  (00028352.DOCX;1)</vt:lpstr>
    </vt:vector>
  </TitlesOfParts>
  <Manager/>
  <Company/>
  <LinksUpToDate>false</LinksUpToDate>
  <CharactersWithSpaces>4508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PP News Release (Morton Comments) -Clean  (00028512.DOCX;1)</dc:title>
  <dc:subject>00028512:1/Font=8</dc:subject>
  <dc:creator>ct</dc:creator>
  <cp:keywords/>
  <dc:description>4634.116.pp</dc:description>
  <cp:lastModifiedBy>justin meiklem</cp:lastModifiedBy>
  <cp:revision>2</cp:revision>
  <cp:lastPrinted>2021-04-19T22:14:00Z</cp:lastPrinted>
  <dcterms:created xsi:type="dcterms:W3CDTF">2023-06-05T13:10:00Z</dcterms:created>
  <dcterms:modified xsi:type="dcterms:W3CDTF">2023-06-05T13:10:00Z</dcterms:modified>
  <cp:category/>
</cp:coreProperties>
</file>