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FCBB" w14:textId="1A3FC5AA" w:rsidR="00640E94" w:rsidRPr="0032035B" w:rsidRDefault="00C228B3">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proofErr w:type="spellStart"/>
      <w:r>
        <w:rPr>
          <w:color w:val="000000"/>
          <w:sz w:val="28"/>
        </w:rPr>
        <w:t>il</w:t>
      </w:r>
      <w:r w:rsidR="00640E94" w:rsidRPr="0032035B">
        <w:rPr>
          <w:color w:val="000000"/>
          <w:sz w:val="28"/>
        </w:rPr>
        <w:t>FORM</w:t>
      </w:r>
      <w:proofErr w:type="spellEnd"/>
      <w:r w:rsidR="00640E94" w:rsidRPr="0032035B">
        <w:rPr>
          <w:color w:val="000000"/>
          <w:sz w:val="28"/>
        </w:rPr>
        <w:t xml:space="preserve"> 7</w:t>
      </w:r>
      <w:r w:rsidR="00640E94" w:rsidRPr="0032035B">
        <w:rPr>
          <w:color w:val="000000"/>
          <w:sz w:val="28"/>
        </w:rPr>
        <w:br/>
      </w:r>
      <w:r w:rsidR="00640E94" w:rsidRPr="0032035B">
        <w:rPr>
          <w:color w:val="000000"/>
          <w:sz w:val="28"/>
        </w:rPr>
        <w:br/>
      </w:r>
      <w:r w:rsidR="00640E94" w:rsidRPr="0032035B">
        <w:rPr>
          <w:color w:val="000000"/>
          <w:sz w:val="28"/>
          <w:u w:val="single"/>
        </w:rPr>
        <w:t>MONTHLY PROGRESS REPORT</w:t>
      </w:r>
      <w:bookmarkEnd w:id="0"/>
      <w:bookmarkEnd w:id="1"/>
      <w:bookmarkEnd w:id="2"/>
      <w:bookmarkEnd w:id="3"/>
    </w:p>
    <w:p w14:paraId="196D4556" w14:textId="77777777" w:rsidR="00640E94" w:rsidRPr="0032035B" w:rsidRDefault="00640E94">
      <w:pPr>
        <w:pStyle w:val="BodyText"/>
        <w:tabs>
          <w:tab w:val="left" w:pos="0"/>
        </w:tabs>
        <w:rPr>
          <w:rFonts w:ascii="Arial" w:hAnsi="Arial"/>
          <w:color w:val="000000"/>
        </w:rPr>
      </w:pPr>
      <w:r w:rsidRPr="0032035B">
        <w:rPr>
          <w:rFonts w:ascii="Arial" w:hAnsi="Arial"/>
          <w:color w:val="000000"/>
        </w:rPr>
        <w:t xml:space="preserve">Name of </w:t>
      </w:r>
      <w:r w:rsidR="003669A9" w:rsidRPr="0032035B">
        <w:rPr>
          <w:rFonts w:ascii="Arial" w:hAnsi="Arial"/>
          <w:color w:val="000000"/>
        </w:rPr>
        <w:t>CNSX</w:t>
      </w:r>
      <w:r w:rsidRPr="0032035B">
        <w:rPr>
          <w:rFonts w:ascii="Arial" w:hAnsi="Arial"/>
          <w:color w:val="000000"/>
        </w:rPr>
        <w:t xml:space="preserve"> Issuer: </w:t>
      </w:r>
      <w:r w:rsidR="008645F1" w:rsidRPr="0032035B">
        <w:rPr>
          <w:rFonts w:ascii="Arial" w:hAnsi="Arial"/>
          <w:color w:val="000000"/>
          <w:u w:val="single"/>
        </w:rPr>
        <w:t>Goldrea Resources Corp.</w:t>
      </w:r>
      <w:r w:rsidRPr="0032035B">
        <w:rPr>
          <w:rFonts w:ascii="Arial" w:hAnsi="Arial"/>
          <w:color w:val="000000"/>
          <w:u w:val="single"/>
        </w:rPr>
        <w:tab/>
      </w:r>
      <w:r w:rsidRPr="0032035B">
        <w:rPr>
          <w:rFonts w:ascii="Arial" w:hAnsi="Arial"/>
          <w:color w:val="000000"/>
          <w:u w:val="single"/>
        </w:rPr>
        <w:tab/>
      </w:r>
      <w:r w:rsidRPr="0032035B">
        <w:rPr>
          <w:rFonts w:ascii="Arial" w:hAnsi="Arial"/>
          <w:color w:val="000000"/>
        </w:rPr>
        <w:t>(the “Issuer”).</w:t>
      </w:r>
    </w:p>
    <w:p w14:paraId="1009BEF3" w14:textId="77777777" w:rsidR="00640E94" w:rsidRPr="0032035B" w:rsidRDefault="00640E94">
      <w:pPr>
        <w:pStyle w:val="BodyText"/>
        <w:tabs>
          <w:tab w:val="left" w:pos="7920"/>
          <w:tab w:val="left" w:pos="9180"/>
        </w:tabs>
        <w:rPr>
          <w:rFonts w:ascii="Arial" w:hAnsi="Arial"/>
          <w:color w:val="000000"/>
        </w:rPr>
      </w:pPr>
      <w:r w:rsidRPr="0032035B">
        <w:rPr>
          <w:rFonts w:ascii="Arial" w:hAnsi="Arial"/>
          <w:color w:val="000000"/>
        </w:rPr>
        <w:t xml:space="preserve">Trading Symbol: </w:t>
      </w:r>
      <w:proofErr w:type="gramStart"/>
      <w:r w:rsidR="008645F1" w:rsidRPr="0032035B">
        <w:rPr>
          <w:rFonts w:ascii="Arial" w:hAnsi="Arial"/>
          <w:color w:val="000000"/>
          <w:u w:val="single"/>
        </w:rPr>
        <w:t>GOR</w:t>
      </w:r>
      <w:r w:rsidR="0024463F" w:rsidRPr="0032035B">
        <w:rPr>
          <w:rFonts w:ascii="Arial" w:hAnsi="Arial"/>
          <w:color w:val="000000"/>
          <w:u w:val="single"/>
        </w:rPr>
        <w:t>:CSE</w:t>
      </w:r>
      <w:proofErr w:type="gramEnd"/>
      <w:r w:rsidRPr="0032035B">
        <w:rPr>
          <w:rFonts w:ascii="Arial" w:hAnsi="Arial"/>
          <w:color w:val="000000"/>
          <w:u w:val="single"/>
        </w:rPr>
        <w:tab/>
      </w:r>
    </w:p>
    <w:p w14:paraId="60EF276C" w14:textId="2C709C4E" w:rsidR="00640E94" w:rsidRPr="0032035B" w:rsidRDefault="00640E94">
      <w:pPr>
        <w:pStyle w:val="BodyText"/>
        <w:tabs>
          <w:tab w:val="left" w:pos="7920"/>
          <w:tab w:val="left" w:pos="9180"/>
        </w:tabs>
        <w:rPr>
          <w:rFonts w:ascii="Arial" w:hAnsi="Arial"/>
          <w:color w:val="000000"/>
        </w:rPr>
      </w:pPr>
      <w:r w:rsidRPr="0032035B">
        <w:rPr>
          <w:rFonts w:ascii="Arial" w:hAnsi="Arial"/>
          <w:color w:val="000000"/>
        </w:rPr>
        <w:t xml:space="preserve">Number of Outstanding </w:t>
      </w:r>
      <w:r w:rsidR="00C27A18" w:rsidRPr="0032035B">
        <w:rPr>
          <w:rFonts w:ascii="Arial" w:hAnsi="Arial"/>
          <w:color w:val="000000"/>
        </w:rPr>
        <w:t>Listed</w:t>
      </w:r>
      <w:r w:rsidRPr="0032035B">
        <w:rPr>
          <w:rFonts w:ascii="Arial" w:hAnsi="Arial"/>
          <w:color w:val="000000"/>
        </w:rPr>
        <w:t xml:space="preserve"> Securities:</w:t>
      </w:r>
      <w:r w:rsidR="00F654EF" w:rsidRPr="00F654EF">
        <w:rPr>
          <w:rFonts w:ascii="Calibri" w:hAnsi="Calibri" w:cs="Calibri"/>
          <w:color w:val="000000"/>
          <w:sz w:val="22"/>
          <w:szCs w:val="22"/>
        </w:rPr>
        <w:t xml:space="preserve"> </w:t>
      </w:r>
      <w:r w:rsidR="00092CC8">
        <w:rPr>
          <w:rFonts w:ascii="Calibri" w:hAnsi="Calibri" w:cs="Calibri"/>
          <w:color w:val="000000"/>
          <w:sz w:val="22"/>
          <w:szCs w:val="22"/>
        </w:rPr>
        <w:t>154,917,110</w:t>
      </w:r>
      <w:r w:rsidR="00F654EF">
        <w:rPr>
          <w:rFonts w:ascii="Calibri" w:hAnsi="Calibri" w:cs="Calibri"/>
          <w:color w:val="000000"/>
          <w:sz w:val="22"/>
          <w:szCs w:val="22"/>
        </w:rPr>
        <w:t> </w:t>
      </w:r>
      <w:r w:rsidRPr="0032035B">
        <w:rPr>
          <w:rFonts w:ascii="Arial" w:hAnsi="Arial"/>
          <w:color w:val="000000"/>
          <w:u w:val="single"/>
        </w:rPr>
        <w:tab/>
      </w:r>
    </w:p>
    <w:p w14:paraId="51C84E73" w14:textId="1970643D" w:rsidR="00640E94" w:rsidRPr="0032035B" w:rsidRDefault="00640E94">
      <w:pPr>
        <w:pStyle w:val="BodyText"/>
        <w:tabs>
          <w:tab w:val="left" w:pos="7920"/>
          <w:tab w:val="left" w:pos="9180"/>
        </w:tabs>
        <w:rPr>
          <w:rFonts w:ascii="Arial" w:hAnsi="Arial"/>
          <w:color w:val="000000"/>
        </w:rPr>
      </w:pPr>
      <w:r w:rsidRPr="0032035B">
        <w:rPr>
          <w:rFonts w:ascii="Arial" w:hAnsi="Arial"/>
          <w:color w:val="000000"/>
        </w:rPr>
        <w:t>Date</w:t>
      </w:r>
      <w:r w:rsidR="00C022A2">
        <w:rPr>
          <w:rFonts w:ascii="Arial" w:hAnsi="Arial"/>
          <w:color w:val="000000"/>
        </w:rPr>
        <w:t xml:space="preserve"> </w:t>
      </w:r>
      <w:r w:rsidR="00FF3DB7">
        <w:rPr>
          <w:rFonts w:ascii="Arial" w:hAnsi="Arial"/>
          <w:color w:val="000000"/>
        </w:rPr>
        <w:t>May</w:t>
      </w:r>
      <w:r w:rsidR="00A00972">
        <w:rPr>
          <w:rFonts w:ascii="Arial" w:hAnsi="Arial"/>
          <w:color w:val="000000"/>
        </w:rPr>
        <w:t xml:space="preserve"> 6</w:t>
      </w:r>
      <w:r w:rsidR="00B834B7">
        <w:rPr>
          <w:rFonts w:ascii="Arial" w:hAnsi="Arial"/>
          <w:color w:val="000000"/>
        </w:rPr>
        <w:t>,</w:t>
      </w:r>
      <w:r w:rsidR="00C5219E">
        <w:rPr>
          <w:rFonts w:ascii="Arial" w:hAnsi="Arial"/>
          <w:color w:val="000000"/>
          <w:u w:val="single"/>
        </w:rPr>
        <w:t xml:space="preserve"> 20</w:t>
      </w:r>
      <w:r w:rsidR="00516247">
        <w:rPr>
          <w:rFonts w:ascii="Arial" w:hAnsi="Arial"/>
          <w:color w:val="000000"/>
          <w:u w:val="single"/>
        </w:rPr>
        <w:t>2</w:t>
      </w:r>
      <w:r w:rsidR="00A00972">
        <w:rPr>
          <w:rFonts w:ascii="Arial" w:hAnsi="Arial"/>
          <w:color w:val="000000"/>
          <w:u w:val="single"/>
        </w:rPr>
        <w:t>6</w:t>
      </w:r>
      <w:r w:rsidRPr="0032035B">
        <w:rPr>
          <w:rFonts w:ascii="Arial" w:hAnsi="Arial"/>
          <w:color w:val="000000"/>
          <w:u w:val="single"/>
        </w:rPr>
        <w:tab/>
      </w:r>
    </w:p>
    <w:p w14:paraId="0C76610E" w14:textId="77777777" w:rsidR="008645F1" w:rsidRPr="0032035B" w:rsidRDefault="008645F1">
      <w:pPr>
        <w:pStyle w:val="BodyText"/>
        <w:tabs>
          <w:tab w:val="left" w:pos="7920"/>
          <w:tab w:val="left" w:pos="9180"/>
        </w:tabs>
        <w:jc w:val="both"/>
        <w:rPr>
          <w:rFonts w:ascii="Arial" w:hAnsi="Arial"/>
          <w:color w:val="000000"/>
        </w:rPr>
      </w:pPr>
    </w:p>
    <w:p w14:paraId="3476104E" w14:textId="77777777" w:rsidR="00640E94" w:rsidRPr="0032035B" w:rsidRDefault="00640E94">
      <w:pPr>
        <w:pStyle w:val="List"/>
        <w:keepLines/>
        <w:spacing w:before="120"/>
        <w:ind w:left="0" w:firstLine="0"/>
        <w:rPr>
          <w:rFonts w:ascii="Arial" w:hAnsi="Arial"/>
          <w:b/>
        </w:rPr>
      </w:pPr>
      <w:r w:rsidRPr="0032035B">
        <w:rPr>
          <w:rFonts w:ascii="Arial" w:hAnsi="Arial"/>
          <w:b/>
        </w:rPr>
        <w:t>Report on Business</w:t>
      </w:r>
    </w:p>
    <w:p w14:paraId="305C5F59" w14:textId="77777777" w:rsidR="0092052A" w:rsidRPr="0032035B" w:rsidRDefault="0092052A">
      <w:pPr>
        <w:pStyle w:val="List"/>
        <w:keepLines/>
        <w:spacing w:before="120"/>
        <w:ind w:left="0" w:firstLine="0"/>
        <w:rPr>
          <w:rFonts w:ascii="Arial" w:hAnsi="Arial"/>
          <w:b/>
        </w:rPr>
      </w:pPr>
    </w:p>
    <w:p w14:paraId="62C29918" w14:textId="77777777" w:rsidR="00284C00" w:rsidRDefault="00640E94" w:rsidP="00284C00">
      <w:pPr>
        <w:pStyle w:val="Default"/>
        <w:jc w:val="center"/>
        <w:rPr>
          <w:b/>
          <w:bCs/>
          <w:sz w:val="22"/>
          <w:szCs w:val="22"/>
        </w:rPr>
      </w:pPr>
      <w:r w:rsidRPr="0032035B">
        <w:rPr>
          <w:b/>
        </w:rPr>
        <w:t>Provide a general overview and discussion of the development of the Issuer’s business and operations over the previous month.  Where the Issuer was inactive disclose this fact.</w:t>
      </w:r>
      <w:r w:rsidR="00C5219E" w:rsidRPr="00C5219E">
        <w:t xml:space="preserve"> </w:t>
      </w:r>
    </w:p>
    <w:p w14:paraId="4116C478" w14:textId="10369C90" w:rsidR="00284C00" w:rsidRDefault="008E0AF4" w:rsidP="00284C00">
      <w:pPr>
        <w:tabs>
          <w:tab w:val="right" w:pos="9360"/>
        </w:tabs>
        <w:rPr>
          <w:rFonts w:cstheme="minorBidi"/>
          <w:sz w:val="22"/>
          <w:szCs w:val="22"/>
        </w:rPr>
      </w:pPr>
      <w:r>
        <w:t>.</w:t>
      </w:r>
      <w:r w:rsidR="00284C00">
        <w:tab/>
      </w:r>
    </w:p>
    <w:p w14:paraId="636F1A8F" w14:textId="77777777" w:rsidR="00092CC8" w:rsidRDefault="00640E94" w:rsidP="00092CC8">
      <w:pPr>
        <w:pStyle w:val="NormalWeb"/>
        <w:rPr>
          <w:b/>
        </w:rPr>
      </w:pPr>
      <w:r w:rsidRPr="0032035B">
        <w:rPr>
          <w:b/>
        </w:rPr>
        <w:t>Provide a general overview and discussion</w:t>
      </w:r>
      <w:r w:rsidR="00B834B7">
        <w:rPr>
          <w:b/>
        </w:rPr>
        <w:t xml:space="preserve"> </w:t>
      </w:r>
      <w:r w:rsidR="00BA3D8F">
        <w:rPr>
          <w:rStyle w:val="Strong"/>
        </w:rPr>
        <w:t xml:space="preserve">Goldrea Resources Corp. </w:t>
      </w:r>
      <w:r w:rsidRPr="0032035B">
        <w:rPr>
          <w:b/>
        </w:rPr>
        <w:t>of the activities</w:t>
      </w:r>
    </w:p>
    <w:p w14:paraId="50E8745A" w14:textId="77777777" w:rsidR="0011271C" w:rsidRPr="0011271C" w:rsidRDefault="0011271C" w:rsidP="0011271C">
      <w:pPr>
        <w:spacing w:before="100" w:beforeAutospacing="1" w:after="100" w:afterAutospacing="1"/>
        <w:rPr>
          <w:rFonts w:ascii="Verdana" w:hAnsi="Verdana"/>
          <w:color w:val="000000"/>
          <w:lang w:val="en-CA" w:eastAsia="en-CA"/>
        </w:rPr>
      </w:pPr>
      <w:proofErr w:type="spellStart"/>
      <w:r w:rsidRPr="0011271C">
        <w:rPr>
          <w:rFonts w:ascii="Verdana" w:hAnsi="Verdana"/>
          <w:color w:val="000000"/>
          <w:lang w:val="en-CA" w:eastAsia="en-CA"/>
        </w:rPr>
        <w:t>Goldrea</w:t>
      </w:r>
      <w:proofErr w:type="spellEnd"/>
      <w:r w:rsidRPr="0011271C">
        <w:rPr>
          <w:rFonts w:ascii="Verdana" w:hAnsi="Verdana"/>
          <w:color w:val="000000"/>
          <w:lang w:val="en-CA" w:eastAsia="en-CA"/>
        </w:rPr>
        <w:t xml:space="preserve"> Resources Corp. has arranged a non-brokered private placement to raise up to $600,000 with the offering of:</w:t>
      </w:r>
    </w:p>
    <w:p w14:paraId="00C47C90" w14:textId="77777777" w:rsidR="0011271C" w:rsidRPr="0011271C" w:rsidRDefault="0011271C" w:rsidP="0011271C">
      <w:pPr>
        <w:numPr>
          <w:ilvl w:val="0"/>
          <w:numId w:val="32"/>
        </w:numPr>
        <w:spacing w:before="100" w:beforeAutospacing="1" w:after="100" w:afterAutospacing="1"/>
        <w:rPr>
          <w:rFonts w:ascii="Verdana" w:hAnsi="Verdana"/>
          <w:color w:val="000000"/>
          <w:lang w:val="en-CA" w:eastAsia="en-CA"/>
        </w:rPr>
      </w:pPr>
      <w:r w:rsidRPr="0011271C">
        <w:rPr>
          <w:rFonts w:ascii="Verdana" w:hAnsi="Verdana"/>
          <w:color w:val="000000"/>
          <w:lang w:val="en-CA" w:eastAsia="en-CA"/>
        </w:rPr>
        <w:t>Up to 6,818,181 flow-through units at 4.4 cents each, with each FT unit composed of one flow-through common share and half of a non-flow-through common share purchase warrant with an exercise price of six cents for a period of two years; and</w:t>
      </w:r>
    </w:p>
    <w:p w14:paraId="0CEB47F4" w14:textId="77777777" w:rsidR="0011271C" w:rsidRPr="0011271C" w:rsidRDefault="0011271C" w:rsidP="0011271C">
      <w:pPr>
        <w:numPr>
          <w:ilvl w:val="0"/>
          <w:numId w:val="32"/>
        </w:numPr>
        <w:spacing w:before="100" w:beforeAutospacing="1" w:after="100" w:afterAutospacing="1"/>
        <w:rPr>
          <w:rFonts w:ascii="Verdana" w:hAnsi="Verdana"/>
          <w:color w:val="000000"/>
          <w:lang w:val="en-CA" w:eastAsia="en-CA"/>
        </w:rPr>
      </w:pPr>
      <w:r w:rsidRPr="0011271C">
        <w:rPr>
          <w:rFonts w:ascii="Verdana" w:hAnsi="Verdana"/>
          <w:color w:val="000000"/>
          <w:lang w:val="en-CA" w:eastAsia="en-CA"/>
        </w:rPr>
        <w:t>Up to 10 million units at three cents each, with each unit composed of one common share and one full common share purchase warrant with an exercise price of six cents for a period of two years.</w:t>
      </w:r>
    </w:p>
    <w:p w14:paraId="3934127D" w14:textId="77777777" w:rsidR="0011271C" w:rsidRPr="0011271C" w:rsidRDefault="0011271C" w:rsidP="0011271C">
      <w:pPr>
        <w:spacing w:before="100" w:beforeAutospacing="1" w:after="100" w:afterAutospacing="1"/>
        <w:rPr>
          <w:rFonts w:ascii="Verdana" w:hAnsi="Verdana"/>
          <w:color w:val="000000"/>
          <w:lang w:val="en-CA" w:eastAsia="en-CA"/>
        </w:rPr>
      </w:pPr>
      <w:r w:rsidRPr="0011271C">
        <w:rPr>
          <w:rFonts w:ascii="Verdana" w:hAnsi="Verdana"/>
          <w:color w:val="000000"/>
          <w:lang w:val="en-CA" w:eastAsia="en-CA"/>
        </w:rPr>
        <w:t>Proceeds from the private placement will be used to finance the company's exploration program, as well as to finance general administration expenses. All securities sold under the private placement will be subject to a four-month hold period. Finders' fees may be paid in connection with the offering.</w:t>
      </w:r>
    </w:p>
    <w:p w14:paraId="1DB62941" w14:textId="7E198CA6" w:rsidR="0011271C" w:rsidRPr="0011271C" w:rsidRDefault="0011271C" w:rsidP="0011271C">
      <w:pPr>
        <w:spacing w:before="100" w:beforeAutospacing="1" w:after="100" w:afterAutospacing="1"/>
        <w:rPr>
          <w:rFonts w:ascii="Verdana" w:hAnsi="Verdana"/>
          <w:color w:val="000000"/>
          <w:lang w:val="en-CA" w:eastAsia="en-CA"/>
        </w:rPr>
      </w:pPr>
      <w:proofErr w:type="spellStart"/>
      <w:r w:rsidRPr="0011271C">
        <w:rPr>
          <w:rFonts w:ascii="Verdana" w:hAnsi="Verdana"/>
          <w:color w:val="000000"/>
          <w:lang w:val="en-CA" w:eastAsia="en-CA"/>
        </w:rPr>
        <w:t>Goldrea</w:t>
      </w:r>
      <w:proofErr w:type="spellEnd"/>
      <w:r w:rsidRPr="0011271C">
        <w:rPr>
          <w:rFonts w:ascii="Verdana" w:hAnsi="Verdana"/>
          <w:color w:val="000000"/>
          <w:lang w:val="en-CA" w:eastAsia="en-CA"/>
        </w:rPr>
        <w:t xml:space="preserve"> has com</w:t>
      </w:r>
      <w:r w:rsidR="00FF3DB7">
        <w:rPr>
          <w:rFonts w:ascii="Verdana" w:hAnsi="Verdana"/>
          <w:color w:val="000000"/>
          <w:lang w:val="en-CA" w:eastAsia="en-CA"/>
        </w:rPr>
        <w:t>pleted</w:t>
      </w:r>
      <w:r w:rsidRPr="0011271C">
        <w:rPr>
          <w:rFonts w:ascii="Verdana" w:hAnsi="Verdana"/>
          <w:color w:val="000000"/>
          <w:lang w:val="en-CA" w:eastAsia="en-CA"/>
        </w:rPr>
        <w:t xml:space="preserve"> a National Instrument 43-101-compliant report about its mineral property in the Golden Triangle area of northwestern British Columbia. This report</w:t>
      </w:r>
      <w:r w:rsidR="00FF3DB7">
        <w:rPr>
          <w:rFonts w:ascii="Verdana" w:hAnsi="Verdana"/>
          <w:color w:val="000000"/>
          <w:lang w:val="en-CA" w:eastAsia="en-CA"/>
        </w:rPr>
        <w:t xml:space="preserve"> </w:t>
      </w:r>
      <w:r w:rsidRPr="0011271C">
        <w:rPr>
          <w:rFonts w:ascii="Verdana" w:hAnsi="Verdana"/>
          <w:color w:val="000000"/>
          <w:lang w:val="en-CA" w:eastAsia="en-CA"/>
        </w:rPr>
        <w:t>provide</w:t>
      </w:r>
      <w:r w:rsidR="00FF3DB7">
        <w:rPr>
          <w:rFonts w:ascii="Verdana" w:hAnsi="Verdana"/>
          <w:color w:val="000000"/>
          <w:lang w:val="en-CA" w:eastAsia="en-CA"/>
        </w:rPr>
        <w:t>s</w:t>
      </w:r>
      <w:r w:rsidRPr="0011271C">
        <w:rPr>
          <w:rFonts w:ascii="Verdana" w:hAnsi="Verdana"/>
          <w:color w:val="000000"/>
          <w:lang w:val="en-CA" w:eastAsia="en-CA"/>
        </w:rPr>
        <w:t xml:space="preserve"> a road map for the company's work programs for the next two seasons. As </w:t>
      </w:r>
      <w:proofErr w:type="spellStart"/>
      <w:r w:rsidRPr="0011271C">
        <w:rPr>
          <w:rFonts w:ascii="Verdana" w:hAnsi="Verdana"/>
          <w:color w:val="000000"/>
          <w:lang w:val="en-CA" w:eastAsia="en-CA"/>
        </w:rPr>
        <w:t>Goldrea's</w:t>
      </w:r>
      <w:proofErr w:type="spellEnd"/>
      <w:r w:rsidRPr="0011271C">
        <w:rPr>
          <w:rFonts w:ascii="Verdana" w:hAnsi="Verdana"/>
          <w:color w:val="000000"/>
          <w:lang w:val="en-CA" w:eastAsia="en-CA"/>
        </w:rPr>
        <w:t xml:space="preserve"> property covers an extensive area (approximately 8500 hectares, including a recently acquired mineral claim with 3,500 hectares bordering Seabridge's Snip North property), certain areas will be prioritized for specific fieldwork. Details about the coming work program </w:t>
      </w:r>
      <w:r w:rsidR="00FF3DB7">
        <w:rPr>
          <w:rFonts w:ascii="Verdana" w:hAnsi="Verdana"/>
          <w:color w:val="000000"/>
          <w:lang w:val="en-CA" w:eastAsia="en-CA"/>
        </w:rPr>
        <w:t>are</w:t>
      </w:r>
      <w:r w:rsidRPr="0011271C">
        <w:rPr>
          <w:rFonts w:ascii="Verdana" w:hAnsi="Verdana"/>
          <w:color w:val="000000"/>
          <w:lang w:val="en-CA" w:eastAsia="en-CA"/>
        </w:rPr>
        <w:t xml:space="preserve"> provided </w:t>
      </w:r>
      <w:r w:rsidR="00FF3DB7">
        <w:rPr>
          <w:rFonts w:ascii="Verdana" w:hAnsi="Verdana"/>
          <w:color w:val="000000"/>
          <w:lang w:val="en-CA" w:eastAsia="en-CA"/>
        </w:rPr>
        <w:t>in the</w:t>
      </w:r>
      <w:r w:rsidRPr="0011271C">
        <w:rPr>
          <w:rFonts w:ascii="Verdana" w:hAnsi="Verdana"/>
          <w:color w:val="000000"/>
          <w:lang w:val="en-CA" w:eastAsia="en-CA"/>
        </w:rPr>
        <w:t xml:space="preserve"> publication of the technical report.</w:t>
      </w:r>
    </w:p>
    <w:p w14:paraId="15583E20" w14:textId="77777777" w:rsidR="0011271C" w:rsidRDefault="0011271C" w:rsidP="0011271C">
      <w:pPr>
        <w:pStyle w:val="NormalWeb"/>
        <w:rPr>
          <w:rFonts w:ascii="Verdana" w:hAnsi="Verdana"/>
          <w:color w:val="000000"/>
          <w:sz w:val="20"/>
          <w:szCs w:val="20"/>
        </w:rPr>
      </w:pPr>
    </w:p>
    <w:p w14:paraId="3334E98A" w14:textId="77777777" w:rsidR="0011271C" w:rsidRDefault="0011271C" w:rsidP="0011271C">
      <w:pPr>
        <w:pStyle w:val="NormalWeb"/>
        <w:rPr>
          <w:rFonts w:ascii="Verdana" w:hAnsi="Verdana"/>
          <w:color w:val="000000"/>
          <w:sz w:val="20"/>
          <w:szCs w:val="20"/>
        </w:rPr>
      </w:pPr>
    </w:p>
    <w:p w14:paraId="563C4209" w14:textId="001AC851" w:rsidR="00355BAB" w:rsidRPr="00355BAB" w:rsidRDefault="00355BAB" w:rsidP="00355BAB">
      <w:pPr>
        <w:pStyle w:val="Default"/>
        <w:rPr>
          <w:rFonts w:ascii="Times New Roman" w:hAnsi="Times New Roman" w:cs="Times New Roman"/>
        </w:rPr>
      </w:pPr>
    </w:p>
    <w:p w14:paraId="096CF804" w14:textId="77777777" w:rsidR="00A00972" w:rsidRDefault="00A00972" w:rsidP="00A00972">
      <w:pPr>
        <w:autoSpaceDE w:val="0"/>
        <w:autoSpaceDN w:val="0"/>
        <w:adjustRightInd w:val="0"/>
        <w:rPr>
          <w:color w:val="000000"/>
        </w:rPr>
      </w:pPr>
    </w:p>
    <w:p w14:paraId="12809C5A" w14:textId="7BD4476D" w:rsidR="00070C34" w:rsidRPr="007E19F6" w:rsidRDefault="00070C34" w:rsidP="007E19F6">
      <w:pPr>
        <w:shd w:val="clear" w:color="auto" w:fill="FFFFFF"/>
        <w:rPr>
          <w:rFonts w:ascii="Arial" w:hAnsi="Arial" w:cs="Arial"/>
          <w:color w:val="222222"/>
        </w:rPr>
      </w:pPr>
    </w:p>
    <w:p w14:paraId="6A49C9FE" w14:textId="23D53659" w:rsidR="001E2BD3" w:rsidRDefault="001E2BD3" w:rsidP="007944D2">
      <w:pPr>
        <w:pStyle w:val="List"/>
        <w:spacing w:before="120"/>
        <w:ind w:left="720" w:firstLine="0"/>
        <w:jc w:val="both"/>
        <w:rPr>
          <w:rFonts w:ascii="Arial" w:hAnsi="Arial"/>
        </w:rPr>
      </w:pPr>
    </w:p>
    <w:p w14:paraId="3AE48DBF" w14:textId="77777777" w:rsidR="0092052A" w:rsidRPr="0032035B" w:rsidRDefault="0092052A" w:rsidP="0024463F">
      <w:pPr>
        <w:pStyle w:val="List"/>
        <w:spacing w:before="120"/>
        <w:jc w:val="both"/>
        <w:rPr>
          <w:rFonts w:ascii="Arial" w:hAnsi="Arial"/>
        </w:rPr>
      </w:pPr>
    </w:p>
    <w:p w14:paraId="6D1EB24C" w14:textId="77777777" w:rsidR="0057692F" w:rsidRPr="0057692F" w:rsidRDefault="00640E94" w:rsidP="0057692F">
      <w:pPr>
        <w:pStyle w:val="List"/>
        <w:numPr>
          <w:ilvl w:val="0"/>
          <w:numId w:val="28"/>
        </w:numPr>
        <w:spacing w:before="120"/>
        <w:jc w:val="both"/>
        <w:rPr>
          <w:rFonts w:ascii="Arial" w:hAnsi="Arial"/>
          <w:b/>
        </w:rPr>
      </w:pPr>
      <w:r w:rsidRPr="0032035B">
        <w:rPr>
          <w:rFonts w:ascii="Arial" w:hAnsi="Arial"/>
          <w:b/>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r w:rsidR="0057692F">
        <w:rPr>
          <w:rFonts w:ascii="Arial" w:hAnsi="Arial"/>
          <w:b/>
        </w:rPr>
        <w:t xml:space="preserve">  N/A</w:t>
      </w:r>
    </w:p>
    <w:p w14:paraId="4DAB0C9D" w14:textId="77777777" w:rsidR="007944D2" w:rsidRPr="0032035B" w:rsidRDefault="007944D2" w:rsidP="007944D2">
      <w:pPr>
        <w:pStyle w:val="List"/>
        <w:spacing w:before="120"/>
        <w:jc w:val="both"/>
        <w:rPr>
          <w:rFonts w:ascii="Arial" w:hAnsi="Arial"/>
        </w:rPr>
      </w:pPr>
    </w:p>
    <w:p w14:paraId="360FB861" w14:textId="77777777" w:rsidR="00640E94" w:rsidRPr="0057692F" w:rsidRDefault="00640E94" w:rsidP="0057692F">
      <w:pPr>
        <w:pStyle w:val="List"/>
        <w:numPr>
          <w:ilvl w:val="0"/>
          <w:numId w:val="28"/>
        </w:numPr>
        <w:spacing w:before="120"/>
        <w:jc w:val="both"/>
        <w:rPr>
          <w:rFonts w:ascii="Arial" w:hAnsi="Arial"/>
          <w:b/>
        </w:rPr>
      </w:pPr>
      <w:r w:rsidRPr="0032035B">
        <w:rPr>
          <w:rFonts w:ascii="Arial" w:hAnsi="Arial"/>
          <w:b/>
        </w:rPr>
        <w:t>Describe and provide details of any products or services that were discontinued. For resource companies, provide details of any drilling, exploration or production programs that have been amended or abandoned.</w:t>
      </w:r>
      <w:r w:rsidR="0057692F">
        <w:rPr>
          <w:rFonts w:ascii="Arial" w:hAnsi="Arial"/>
          <w:b/>
        </w:rPr>
        <w:t xml:space="preserve"> </w:t>
      </w:r>
    </w:p>
    <w:p w14:paraId="142136CF" w14:textId="77777777" w:rsidR="007944D2" w:rsidRPr="0032035B" w:rsidRDefault="009058C9" w:rsidP="007944D2">
      <w:pPr>
        <w:pStyle w:val="List"/>
        <w:spacing w:before="120"/>
        <w:ind w:left="720" w:firstLine="0"/>
        <w:jc w:val="both"/>
        <w:rPr>
          <w:rFonts w:ascii="Arial" w:hAnsi="Arial"/>
        </w:rPr>
      </w:pPr>
      <w:r>
        <w:rPr>
          <w:rFonts w:ascii="Arial" w:hAnsi="Arial"/>
        </w:rPr>
        <w:t>N/A</w:t>
      </w:r>
    </w:p>
    <w:p w14:paraId="5940674F"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Describe any new business relationships entered into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16C81FD0" w14:textId="77777777" w:rsidR="007944D2" w:rsidRPr="0032035B" w:rsidRDefault="004F5E88" w:rsidP="000109E5">
      <w:pPr>
        <w:pStyle w:val="List"/>
        <w:spacing w:before="120"/>
        <w:ind w:left="720" w:firstLine="0"/>
        <w:jc w:val="both"/>
        <w:rPr>
          <w:rFonts w:ascii="Arial" w:hAnsi="Arial"/>
        </w:rPr>
      </w:pPr>
      <w:r>
        <w:rPr>
          <w:rFonts w:ascii="Arial" w:hAnsi="Arial"/>
        </w:rPr>
        <w:t>As described in number 1.</w:t>
      </w:r>
    </w:p>
    <w:p w14:paraId="16792770" w14:textId="77777777" w:rsidR="0092052A" w:rsidRPr="0032035B" w:rsidRDefault="0092052A" w:rsidP="000109E5">
      <w:pPr>
        <w:pStyle w:val="List"/>
        <w:spacing w:before="120"/>
        <w:ind w:left="720" w:firstLine="0"/>
        <w:jc w:val="both"/>
        <w:rPr>
          <w:rFonts w:ascii="Arial" w:hAnsi="Arial"/>
        </w:rPr>
      </w:pPr>
    </w:p>
    <w:p w14:paraId="40EAA1FE" w14:textId="77777777" w:rsidR="00640E94" w:rsidRDefault="00640E94">
      <w:pPr>
        <w:pStyle w:val="List"/>
        <w:numPr>
          <w:ilvl w:val="0"/>
          <w:numId w:val="28"/>
        </w:numPr>
        <w:spacing w:before="120"/>
        <w:jc w:val="both"/>
        <w:rPr>
          <w:rFonts w:ascii="Arial" w:hAnsi="Arial"/>
          <w:b/>
        </w:rPr>
      </w:pPr>
      <w:r w:rsidRPr="0032035B">
        <w:rPr>
          <w:rFonts w:ascii="Arial" w:hAnsi="Arial"/>
          <w:b/>
        </w:rPr>
        <w:t>Describe the expiry or termination of any contracts or agreements between the Issuer, the Issuer’s affiliates or third parties or cancellation of any financing arrangements that have been previously announced.</w:t>
      </w:r>
    </w:p>
    <w:p w14:paraId="045570DB" w14:textId="77777777" w:rsidR="00EF5C99" w:rsidRDefault="00EF5C99" w:rsidP="00EF5C99">
      <w:pPr>
        <w:pStyle w:val="List"/>
        <w:spacing w:before="120"/>
        <w:ind w:left="720" w:firstLine="0"/>
        <w:jc w:val="both"/>
        <w:rPr>
          <w:rFonts w:ascii="Arial" w:hAnsi="Arial"/>
          <w:b/>
        </w:rPr>
      </w:pPr>
      <w:r>
        <w:rPr>
          <w:rFonts w:ascii="Arial" w:hAnsi="Arial"/>
          <w:b/>
        </w:rPr>
        <w:t>N/A</w:t>
      </w:r>
    </w:p>
    <w:p w14:paraId="5CD74465" w14:textId="77777777" w:rsidR="0039001D" w:rsidRDefault="0039001D" w:rsidP="0039001D">
      <w:pPr>
        <w:pStyle w:val="List"/>
        <w:spacing w:before="120"/>
        <w:jc w:val="both"/>
        <w:rPr>
          <w:rFonts w:ascii="Arial" w:hAnsi="Arial"/>
          <w:b/>
        </w:rPr>
      </w:pPr>
    </w:p>
    <w:p w14:paraId="4967B16E" w14:textId="77777777" w:rsidR="00AE0976" w:rsidRPr="0039001D" w:rsidRDefault="00640E94" w:rsidP="0039001D">
      <w:pPr>
        <w:pStyle w:val="List"/>
        <w:numPr>
          <w:ilvl w:val="0"/>
          <w:numId w:val="28"/>
        </w:numPr>
        <w:spacing w:before="120"/>
        <w:jc w:val="both"/>
        <w:rPr>
          <w:rFonts w:ascii="Arial" w:hAnsi="Arial"/>
          <w:b/>
        </w:rPr>
      </w:pPr>
      <w:r w:rsidRPr="0039001D">
        <w:rPr>
          <w:rFonts w:ascii="Arial" w:hAnsi="Arial"/>
          <w:b/>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w:t>
      </w:r>
      <w:r w:rsidR="00AE0976" w:rsidRPr="0039001D">
        <w:rPr>
          <w:rFonts w:ascii="Arial" w:hAnsi="Arial"/>
          <w:b/>
        </w:rPr>
        <w:t>de details of the relationship.</w:t>
      </w:r>
    </w:p>
    <w:p w14:paraId="2A0EA187" w14:textId="77777777" w:rsidR="0092052A" w:rsidRPr="0032035B" w:rsidRDefault="00EF5C99" w:rsidP="00AE0976">
      <w:pPr>
        <w:pStyle w:val="List"/>
        <w:spacing w:before="120"/>
        <w:ind w:left="720" w:firstLine="0"/>
        <w:jc w:val="both"/>
        <w:rPr>
          <w:rFonts w:ascii="Arial" w:hAnsi="Arial"/>
        </w:rPr>
      </w:pPr>
      <w:r>
        <w:rPr>
          <w:color w:val="000000"/>
        </w:rPr>
        <w:t>N/A</w:t>
      </w:r>
    </w:p>
    <w:p w14:paraId="0E578659"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Describe the acquisition of new customers or loss of customers.</w:t>
      </w:r>
    </w:p>
    <w:p w14:paraId="4EC9B0B0"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2A8C3E29" w14:textId="77777777" w:rsidR="00AE0976" w:rsidRPr="0032035B" w:rsidRDefault="00AE0976" w:rsidP="00AE0976">
      <w:pPr>
        <w:pStyle w:val="List"/>
        <w:spacing w:before="120"/>
        <w:ind w:left="720" w:firstLine="0"/>
        <w:jc w:val="both"/>
        <w:rPr>
          <w:rFonts w:ascii="Arial" w:hAnsi="Arial"/>
        </w:rPr>
      </w:pPr>
    </w:p>
    <w:p w14:paraId="613965C9"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Describe any new developments or effects on intangible products such as brand names, circulation lists, copyrights, franchises, licenses, patents, software, subscription lists and trade-marks.</w:t>
      </w:r>
    </w:p>
    <w:p w14:paraId="7202C761"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6FA7BBA3" w14:textId="77777777" w:rsidR="0092052A" w:rsidRPr="0032035B" w:rsidRDefault="0092052A" w:rsidP="00AE0976">
      <w:pPr>
        <w:pStyle w:val="List"/>
        <w:spacing w:before="120"/>
        <w:ind w:left="720" w:firstLine="0"/>
        <w:jc w:val="both"/>
        <w:rPr>
          <w:rFonts w:ascii="Arial" w:hAnsi="Arial"/>
        </w:rPr>
      </w:pPr>
    </w:p>
    <w:p w14:paraId="10D64F88" w14:textId="77777777" w:rsidR="00640E94" w:rsidRPr="0032035B" w:rsidRDefault="0092052A" w:rsidP="00AE0976">
      <w:pPr>
        <w:pStyle w:val="List"/>
        <w:numPr>
          <w:ilvl w:val="0"/>
          <w:numId w:val="28"/>
        </w:numPr>
        <w:spacing w:before="120"/>
        <w:jc w:val="both"/>
        <w:rPr>
          <w:rFonts w:ascii="Arial" w:hAnsi="Arial"/>
          <w:b/>
        </w:rPr>
      </w:pPr>
      <w:r w:rsidRPr="0032035B">
        <w:rPr>
          <w:rFonts w:ascii="Arial" w:hAnsi="Arial"/>
          <w:b/>
        </w:rPr>
        <w:t>Report on any employee hiring</w:t>
      </w:r>
      <w:r w:rsidR="00640E94" w:rsidRPr="0032035B">
        <w:rPr>
          <w:rFonts w:ascii="Arial" w:hAnsi="Arial"/>
          <w:b/>
        </w:rPr>
        <w:t>, terminations or lay-offs with details of anticipated length of lay-offs.</w:t>
      </w:r>
    </w:p>
    <w:p w14:paraId="08B5DCDE"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43E6D690" w14:textId="77777777" w:rsidR="0092052A" w:rsidRDefault="0092052A" w:rsidP="00AE0976">
      <w:pPr>
        <w:pStyle w:val="List"/>
        <w:spacing w:before="120"/>
        <w:ind w:left="720" w:firstLine="0"/>
        <w:jc w:val="both"/>
        <w:rPr>
          <w:rFonts w:ascii="Arial" w:hAnsi="Arial"/>
        </w:rPr>
      </w:pPr>
    </w:p>
    <w:p w14:paraId="09C228B5" w14:textId="77777777" w:rsidR="00CC09C1" w:rsidRDefault="00CC09C1" w:rsidP="00AE0976">
      <w:pPr>
        <w:pStyle w:val="List"/>
        <w:spacing w:before="120"/>
        <w:ind w:left="720" w:firstLine="0"/>
        <w:jc w:val="both"/>
        <w:rPr>
          <w:rFonts w:ascii="Arial" w:hAnsi="Arial"/>
        </w:rPr>
      </w:pPr>
    </w:p>
    <w:p w14:paraId="78A06BC9" w14:textId="77777777" w:rsidR="00CC09C1" w:rsidRPr="0032035B" w:rsidRDefault="00CC09C1" w:rsidP="00AE0976">
      <w:pPr>
        <w:pStyle w:val="List"/>
        <w:spacing w:before="120"/>
        <w:ind w:left="720" w:firstLine="0"/>
        <w:jc w:val="both"/>
        <w:rPr>
          <w:rFonts w:ascii="Arial" w:hAnsi="Arial"/>
        </w:rPr>
      </w:pPr>
    </w:p>
    <w:p w14:paraId="3D53FB86"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Report on any labour disputes and resolutions of those disputes if applicable.</w:t>
      </w:r>
    </w:p>
    <w:p w14:paraId="59E5271C"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471A386F" w14:textId="77777777" w:rsidR="0092052A" w:rsidRPr="0032035B" w:rsidRDefault="0092052A" w:rsidP="00AE0976">
      <w:pPr>
        <w:pStyle w:val="List"/>
        <w:spacing w:before="120"/>
        <w:ind w:left="720" w:firstLine="0"/>
        <w:jc w:val="both"/>
        <w:rPr>
          <w:rFonts w:ascii="Arial" w:hAnsi="Arial"/>
        </w:rPr>
      </w:pPr>
    </w:p>
    <w:p w14:paraId="53F3DD4E"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4D7DD127"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6ECD9A82" w14:textId="77777777" w:rsidR="0092052A" w:rsidRPr="0032035B" w:rsidRDefault="0092052A" w:rsidP="00AE0976">
      <w:pPr>
        <w:pStyle w:val="List"/>
        <w:spacing w:before="120"/>
        <w:ind w:left="720" w:firstLine="0"/>
        <w:jc w:val="both"/>
        <w:rPr>
          <w:rFonts w:ascii="Arial" w:hAnsi="Arial"/>
        </w:rPr>
      </w:pPr>
    </w:p>
    <w:p w14:paraId="60AD6928"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Provide details of any indebtedness incurred or repaid by the Issuer together with the terms of such indebtedness.</w:t>
      </w:r>
    </w:p>
    <w:p w14:paraId="77A80E27" w14:textId="77777777" w:rsidR="00AE0976" w:rsidRPr="001C59AC" w:rsidRDefault="00AE0976" w:rsidP="001C59AC">
      <w:pPr>
        <w:pStyle w:val="List"/>
        <w:spacing w:before="120"/>
        <w:ind w:left="720" w:firstLine="0"/>
        <w:jc w:val="both"/>
        <w:rPr>
          <w:rFonts w:ascii="Arial" w:hAnsi="Arial"/>
        </w:rPr>
      </w:pPr>
      <w:r w:rsidRPr="0032035B">
        <w:rPr>
          <w:rFonts w:ascii="Arial" w:hAnsi="Arial"/>
        </w:rPr>
        <w:t>N/A</w:t>
      </w:r>
    </w:p>
    <w:p w14:paraId="0533DA38"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Provide details of any securities issued and options or warrants granted.</w:t>
      </w:r>
    </w:p>
    <w:p w14:paraId="31474720" w14:textId="77777777" w:rsidR="00640E94" w:rsidRPr="0032035B" w:rsidRDefault="00CC09C1" w:rsidP="00CC09C1">
      <w:pPr>
        <w:pStyle w:val="List"/>
        <w:spacing w:before="120"/>
        <w:ind w:left="567" w:firstLine="153"/>
        <w:jc w:val="both"/>
        <w:rPr>
          <w:rFonts w:ascii="Arial" w:hAnsi="Arial"/>
        </w:rPr>
      </w:pPr>
      <w:r>
        <w:rPr>
          <w:rFonts w:ascii="Arial" w:hAnsi="Arial"/>
        </w:rPr>
        <w:t>N/A</w:t>
      </w:r>
    </w:p>
    <w:p w14:paraId="1680539F" w14:textId="77777777" w:rsidR="00640E94" w:rsidRPr="0032035B" w:rsidRDefault="00640E94">
      <w:pPr>
        <w:pStyle w:val="List"/>
        <w:keepNext/>
        <w:keepLines/>
        <w:numPr>
          <w:ilvl w:val="0"/>
          <w:numId w:val="28"/>
        </w:numPr>
        <w:spacing w:before="120"/>
        <w:jc w:val="both"/>
        <w:rPr>
          <w:rFonts w:ascii="Arial" w:hAnsi="Arial"/>
          <w:b/>
        </w:rPr>
      </w:pPr>
      <w:r w:rsidRPr="0032035B">
        <w:rPr>
          <w:rFonts w:ascii="Arial" w:hAnsi="Arial"/>
          <w:b/>
        </w:rPr>
        <w:t>Provide details of any loans to or by Related Persons.</w:t>
      </w:r>
    </w:p>
    <w:p w14:paraId="5414A8B1"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37987567" w14:textId="77777777" w:rsidR="00AE0976" w:rsidRPr="0032035B" w:rsidRDefault="00AE0976" w:rsidP="00AE0976">
      <w:pPr>
        <w:pStyle w:val="List"/>
        <w:keepNext/>
        <w:keepLines/>
        <w:spacing w:before="120"/>
        <w:ind w:left="720" w:firstLine="0"/>
        <w:jc w:val="both"/>
        <w:rPr>
          <w:rFonts w:ascii="Arial" w:hAnsi="Arial"/>
          <w:b/>
        </w:rPr>
      </w:pPr>
    </w:p>
    <w:p w14:paraId="6EDCC7DB" w14:textId="77777777" w:rsidR="00640E94" w:rsidRPr="0032035B" w:rsidRDefault="00640E94">
      <w:pPr>
        <w:pStyle w:val="List"/>
        <w:keepNext/>
        <w:keepLines/>
        <w:numPr>
          <w:ilvl w:val="0"/>
          <w:numId w:val="28"/>
        </w:numPr>
        <w:spacing w:before="120"/>
        <w:jc w:val="both"/>
        <w:rPr>
          <w:rFonts w:ascii="Arial" w:hAnsi="Arial"/>
          <w:b/>
        </w:rPr>
      </w:pPr>
      <w:r w:rsidRPr="0032035B">
        <w:rPr>
          <w:rFonts w:ascii="Arial" w:hAnsi="Arial"/>
          <w:b/>
        </w:rPr>
        <w:t>Provide details of any changes in directors, officers or committee members.</w:t>
      </w:r>
    </w:p>
    <w:p w14:paraId="26EC1BCA" w14:textId="77777777" w:rsidR="00AE0976" w:rsidRPr="0032035B" w:rsidRDefault="00AE0976" w:rsidP="00AE0976">
      <w:pPr>
        <w:pStyle w:val="List"/>
        <w:spacing w:before="120"/>
        <w:ind w:left="720" w:firstLine="0"/>
        <w:jc w:val="both"/>
        <w:rPr>
          <w:rFonts w:ascii="Arial" w:hAnsi="Arial"/>
        </w:rPr>
      </w:pPr>
      <w:r w:rsidRPr="0032035B">
        <w:rPr>
          <w:rFonts w:ascii="Arial" w:hAnsi="Arial"/>
        </w:rPr>
        <w:t>N/A</w:t>
      </w:r>
    </w:p>
    <w:p w14:paraId="4AF2D858" w14:textId="77777777" w:rsidR="00AE0976" w:rsidRPr="0032035B" w:rsidRDefault="00AE0976" w:rsidP="00AE0976">
      <w:pPr>
        <w:pStyle w:val="List"/>
        <w:keepNext/>
        <w:keepLines/>
        <w:spacing w:before="120"/>
        <w:ind w:left="720" w:firstLine="0"/>
        <w:jc w:val="both"/>
        <w:rPr>
          <w:rFonts w:ascii="Arial" w:hAnsi="Arial"/>
          <w:b/>
        </w:rPr>
      </w:pPr>
    </w:p>
    <w:p w14:paraId="61627824" w14:textId="77777777" w:rsidR="00640E94" w:rsidRPr="0032035B" w:rsidRDefault="00640E94">
      <w:pPr>
        <w:pStyle w:val="List"/>
        <w:numPr>
          <w:ilvl w:val="0"/>
          <w:numId w:val="28"/>
        </w:numPr>
        <w:spacing w:before="120"/>
        <w:jc w:val="both"/>
        <w:rPr>
          <w:rFonts w:ascii="Arial" w:hAnsi="Arial"/>
          <w:b/>
        </w:rPr>
      </w:pPr>
      <w:r w:rsidRPr="0032035B">
        <w:rPr>
          <w:rFonts w:ascii="Arial" w:hAnsi="Arial"/>
          <w:b/>
        </w:rPr>
        <w:t>Discuss any trends which are likely to impact the Issuer including trends in the Issuer’s market(s) or political/regulatory trends.</w:t>
      </w:r>
    </w:p>
    <w:p w14:paraId="19A7E48F" w14:textId="77777777" w:rsidR="00481ECD" w:rsidRDefault="00481ECD" w:rsidP="00481ECD">
      <w:pPr>
        <w:pStyle w:val="List"/>
        <w:spacing w:before="120"/>
        <w:ind w:left="720" w:firstLine="0"/>
        <w:jc w:val="both"/>
        <w:rPr>
          <w:rFonts w:ascii="Arial" w:hAnsi="Arial"/>
        </w:rPr>
      </w:pPr>
      <w:r w:rsidRPr="0032035B">
        <w:rPr>
          <w:rFonts w:ascii="Arial" w:hAnsi="Arial"/>
        </w:rPr>
        <w:t>N/A</w:t>
      </w:r>
    </w:p>
    <w:p w14:paraId="58F7EF81" w14:textId="77777777" w:rsidR="00CC09C1" w:rsidRDefault="00CC09C1" w:rsidP="00481ECD">
      <w:pPr>
        <w:pStyle w:val="List"/>
        <w:spacing w:before="120"/>
        <w:ind w:left="720" w:firstLine="0"/>
        <w:jc w:val="both"/>
        <w:rPr>
          <w:rFonts w:ascii="Arial" w:hAnsi="Arial"/>
        </w:rPr>
      </w:pPr>
    </w:p>
    <w:p w14:paraId="3AAC127D" w14:textId="77777777" w:rsidR="00CC09C1" w:rsidRDefault="00CC09C1" w:rsidP="00481ECD">
      <w:pPr>
        <w:pStyle w:val="List"/>
        <w:spacing w:before="120"/>
        <w:ind w:left="720" w:firstLine="0"/>
        <w:jc w:val="both"/>
        <w:rPr>
          <w:rFonts w:ascii="Arial" w:hAnsi="Arial"/>
        </w:rPr>
      </w:pPr>
    </w:p>
    <w:p w14:paraId="764E0B17" w14:textId="77777777" w:rsidR="00CC09C1" w:rsidRDefault="00CC09C1" w:rsidP="00481ECD">
      <w:pPr>
        <w:pStyle w:val="List"/>
        <w:spacing w:before="120"/>
        <w:ind w:left="720" w:firstLine="0"/>
        <w:jc w:val="both"/>
        <w:rPr>
          <w:rFonts w:ascii="Arial" w:hAnsi="Arial"/>
        </w:rPr>
      </w:pPr>
    </w:p>
    <w:p w14:paraId="2B0C6EB6" w14:textId="77777777" w:rsidR="006348CA" w:rsidRDefault="006348CA" w:rsidP="00481ECD">
      <w:pPr>
        <w:pStyle w:val="List"/>
        <w:spacing w:before="120"/>
        <w:ind w:left="720" w:firstLine="0"/>
        <w:jc w:val="both"/>
        <w:rPr>
          <w:rFonts w:ascii="Arial" w:hAnsi="Arial"/>
        </w:rPr>
      </w:pPr>
    </w:p>
    <w:p w14:paraId="1700119D" w14:textId="77777777" w:rsidR="006348CA" w:rsidRDefault="006348CA" w:rsidP="00481ECD">
      <w:pPr>
        <w:pStyle w:val="List"/>
        <w:spacing w:before="120"/>
        <w:ind w:left="720" w:firstLine="0"/>
        <w:jc w:val="both"/>
        <w:rPr>
          <w:rFonts w:ascii="Arial" w:hAnsi="Arial"/>
        </w:rPr>
      </w:pPr>
    </w:p>
    <w:p w14:paraId="78B0712C" w14:textId="77777777" w:rsidR="006348CA" w:rsidRDefault="006348CA" w:rsidP="00481ECD">
      <w:pPr>
        <w:pStyle w:val="List"/>
        <w:spacing w:before="120"/>
        <w:ind w:left="720" w:firstLine="0"/>
        <w:jc w:val="both"/>
        <w:rPr>
          <w:rFonts w:ascii="Arial" w:hAnsi="Arial"/>
        </w:rPr>
      </w:pPr>
    </w:p>
    <w:p w14:paraId="23F2AD95" w14:textId="77777777" w:rsidR="006348CA" w:rsidRPr="0032035B" w:rsidRDefault="006348CA" w:rsidP="00481ECD">
      <w:pPr>
        <w:pStyle w:val="List"/>
        <w:spacing w:before="120"/>
        <w:ind w:left="720" w:firstLine="0"/>
        <w:jc w:val="both"/>
        <w:rPr>
          <w:rFonts w:ascii="Arial" w:hAnsi="Arial"/>
        </w:rPr>
      </w:pPr>
    </w:p>
    <w:p w14:paraId="2FF9E5B3" w14:textId="77777777" w:rsidR="00481ECD" w:rsidRPr="0032035B" w:rsidRDefault="00481ECD" w:rsidP="00481ECD">
      <w:pPr>
        <w:pStyle w:val="List"/>
        <w:spacing w:before="120"/>
        <w:ind w:left="1800"/>
        <w:jc w:val="both"/>
        <w:rPr>
          <w:rFonts w:ascii="Arial" w:hAnsi="Arial"/>
        </w:rPr>
      </w:pPr>
    </w:p>
    <w:p w14:paraId="20EDE330" w14:textId="77777777" w:rsidR="00640E94" w:rsidRPr="0032035B" w:rsidRDefault="00640E94" w:rsidP="00481ECD">
      <w:pPr>
        <w:pStyle w:val="List"/>
        <w:keepNext/>
        <w:spacing w:before="120"/>
        <w:rPr>
          <w:rFonts w:ascii="Arial" w:hAnsi="Arial"/>
          <w:b/>
        </w:rPr>
      </w:pPr>
      <w:r w:rsidRPr="0032035B">
        <w:rPr>
          <w:rFonts w:ascii="Arial" w:hAnsi="Arial"/>
          <w:b/>
        </w:rPr>
        <w:t>Certificate Of Compliance</w:t>
      </w:r>
    </w:p>
    <w:p w14:paraId="61317623" w14:textId="77777777" w:rsidR="00640E94" w:rsidRPr="0032035B" w:rsidRDefault="00640E94">
      <w:pPr>
        <w:pStyle w:val="BodyText"/>
        <w:keepNext/>
        <w:rPr>
          <w:rFonts w:ascii="Arial" w:hAnsi="Arial"/>
        </w:rPr>
      </w:pPr>
      <w:r w:rsidRPr="0032035B">
        <w:rPr>
          <w:rFonts w:ascii="Arial" w:hAnsi="Arial"/>
        </w:rPr>
        <w:t>The undersigned hereby certifies that:</w:t>
      </w:r>
    </w:p>
    <w:p w14:paraId="418E046A" w14:textId="77777777" w:rsidR="00640E94" w:rsidRPr="0032035B" w:rsidRDefault="00640E94">
      <w:pPr>
        <w:pStyle w:val="List"/>
        <w:keepNext/>
        <w:numPr>
          <w:ilvl w:val="0"/>
          <w:numId w:val="23"/>
        </w:numPr>
        <w:jc w:val="both"/>
        <w:rPr>
          <w:rFonts w:ascii="Arial" w:hAnsi="Arial"/>
        </w:rPr>
      </w:pPr>
      <w:r w:rsidRPr="0032035B">
        <w:rPr>
          <w:rFonts w:ascii="Arial" w:hAnsi="Arial"/>
        </w:rPr>
        <w:t>The undersigned is a director and/or senior officer of the Issuer and has been duly authorized by a resolution of the board of directors of the Issuer to sign this Certificate of Compliance.</w:t>
      </w:r>
    </w:p>
    <w:p w14:paraId="004C3F56" w14:textId="01674F09" w:rsidR="00640E94" w:rsidRPr="0032035B" w:rsidRDefault="00640E94">
      <w:pPr>
        <w:pStyle w:val="List"/>
        <w:numPr>
          <w:ilvl w:val="0"/>
          <w:numId w:val="23"/>
        </w:numPr>
        <w:jc w:val="both"/>
        <w:rPr>
          <w:rFonts w:ascii="Arial" w:hAnsi="Arial"/>
        </w:rPr>
      </w:pPr>
      <w:r w:rsidRPr="0032035B">
        <w:rPr>
          <w:rFonts w:ascii="Arial" w:hAnsi="Arial"/>
        </w:rPr>
        <w:t>As of the date hereof there</w:t>
      </w:r>
      <w:r w:rsidR="00403BEA">
        <w:rPr>
          <w:rFonts w:ascii="Arial" w:hAnsi="Arial"/>
        </w:rPr>
        <w:t xml:space="preserve"> </w:t>
      </w:r>
      <w:r w:rsidRPr="0032035B">
        <w:rPr>
          <w:rFonts w:ascii="Arial" w:hAnsi="Arial"/>
        </w:rPr>
        <w:t>is no material information concerning the Issuer which has not been publicly disclosed.</w:t>
      </w:r>
    </w:p>
    <w:p w14:paraId="08267E24" w14:textId="77777777" w:rsidR="00640E94" w:rsidRPr="0032035B" w:rsidRDefault="00640E94">
      <w:pPr>
        <w:pStyle w:val="List"/>
        <w:numPr>
          <w:ilvl w:val="0"/>
          <w:numId w:val="23"/>
        </w:numPr>
        <w:jc w:val="both"/>
        <w:rPr>
          <w:rFonts w:ascii="Arial" w:hAnsi="Arial"/>
        </w:rPr>
      </w:pPr>
      <w:r w:rsidRPr="0032035B">
        <w:rPr>
          <w:rFonts w:ascii="Arial" w:hAnsi="Arial"/>
        </w:rPr>
        <w:t xml:space="preserve">The undersigned hereby certifies to </w:t>
      </w:r>
      <w:r w:rsidR="003669A9" w:rsidRPr="0032035B">
        <w:rPr>
          <w:rFonts w:ascii="Arial" w:hAnsi="Arial"/>
        </w:rPr>
        <w:t>CNSX</w:t>
      </w:r>
      <w:r w:rsidRPr="0032035B">
        <w:rPr>
          <w:rFonts w:ascii="Arial" w:hAnsi="Arial"/>
        </w:rPr>
        <w:t xml:space="preserve"> that the Issuer is in compliance with the requirements of </w:t>
      </w:r>
      <w:r w:rsidR="00E36141" w:rsidRPr="0032035B">
        <w:rPr>
          <w:rFonts w:ascii="Arial" w:hAnsi="Arial"/>
        </w:rPr>
        <w:t xml:space="preserve">applicable securities legislation (as such term is defined in National Instrument 14-101) </w:t>
      </w:r>
      <w:r w:rsidRPr="0032035B">
        <w:rPr>
          <w:rFonts w:ascii="Arial" w:hAnsi="Arial"/>
        </w:rPr>
        <w:t xml:space="preserve">and all </w:t>
      </w:r>
      <w:r w:rsidR="003669A9" w:rsidRPr="0032035B">
        <w:rPr>
          <w:rFonts w:ascii="Arial" w:hAnsi="Arial"/>
        </w:rPr>
        <w:t>CNSX</w:t>
      </w:r>
      <w:r w:rsidRPr="0032035B">
        <w:rPr>
          <w:rFonts w:ascii="Arial" w:hAnsi="Arial"/>
        </w:rPr>
        <w:t xml:space="preserve"> Requirements (as defined in </w:t>
      </w:r>
      <w:r w:rsidR="003669A9" w:rsidRPr="0032035B">
        <w:rPr>
          <w:rFonts w:ascii="Arial" w:hAnsi="Arial"/>
        </w:rPr>
        <w:t>CNSX</w:t>
      </w:r>
      <w:r w:rsidRPr="0032035B">
        <w:rPr>
          <w:rFonts w:ascii="Arial" w:hAnsi="Arial"/>
        </w:rPr>
        <w:t xml:space="preserve"> Policy 1).</w:t>
      </w:r>
    </w:p>
    <w:p w14:paraId="47C1F1E3" w14:textId="77777777" w:rsidR="0024463F" w:rsidRPr="0032035B" w:rsidRDefault="00640E94" w:rsidP="0024463F">
      <w:pPr>
        <w:pStyle w:val="List"/>
        <w:numPr>
          <w:ilvl w:val="0"/>
          <w:numId w:val="23"/>
        </w:numPr>
        <w:jc w:val="both"/>
        <w:rPr>
          <w:rFonts w:ascii="Arial" w:hAnsi="Arial"/>
        </w:rPr>
      </w:pPr>
      <w:r w:rsidRPr="0032035B">
        <w:rPr>
          <w:rFonts w:ascii="Arial" w:hAnsi="Arial"/>
        </w:rPr>
        <w:t>All of the information in this Form 7 Monthly Progress Report is true.</w:t>
      </w:r>
    </w:p>
    <w:p w14:paraId="76696C44" w14:textId="06B17FD4" w:rsidR="00481ECD" w:rsidRPr="0032035B" w:rsidRDefault="00640E94">
      <w:pPr>
        <w:pStyle w:val="BodyText"/>
        <w:tabs>
          <w:tab w:val="left" w:pos="4680"/>
          <w:tab w:val="left" w:pos="7200"/>
        </w:tabs>
        <w:spacing w:before="480"/>
        <w:jc w:val="both"/>
        <w:rPr>
          <w:rFonts w:ascii="Arial" w:hAnsi="Arial"/>
        </w:rPr>
      </w:pPr>
      <w:r w:rsidRPr="0032035B">
        <w:rPr>
          <w:rFonts w:ascii="Arial" w:hAnsi="Arial"/>
        </w:rPr>
        <w:t>Dated</w:t>
      </w:r>
      <w:r w:rsidR="00C5219E">
        <w:rPr>
          <w:rFonts w:ascii="Arial" w:hAnsi="Arial"/>
        </w:rPr>
        <w:t xml:space="preserve"> </w:t>
      </w:r>
      <w:r w:rsidR="00FF3DB7">
        <w:rPr>
          <w:rFonts w:ascii="Arial" w:hAnsi="Arial"/>
        </w:rPr>
        <w:t xml:space="preserve">May </w:t>
      </w:r>
      <w:r w:rsidR="00A00972">
        <w:rPr>
          <w:rFonts w:ascii="Arial" w:hAnsi="Arial"/>
        </w:rPr>
        <w:t>6</w:t>
      </w:r>
      <w:r w:rsidR="008251F7">
        <w:rPr>
          <w:rFonts w:ascii="Arial" w:hAnsi="Arial"/>
        </w:rPr>
        <w:t>, 202</w:t>
      </w:r>
      <w:r w:rsidR="00A00972">
        <w:rPr>
          <w:rFonts w:ascii="Arial" w:hAnsi="Arial"/>
        </w:rPr>
        <w:t>6</w:t>
      </w:r>
    </w:p>
    <w:p w14:paraId="456B6351" w14:textId="77777777" w:rsidR="00640E94" w:rsidRPr="0032035B" w:rsidRDefault="00640E94">
      <w:pPr>
        <w:pStyle w:val="List"/>
        <w:tabs>
          <w:tab w:val="left" w:pos="9180"/>
        </w:tabs>
        <w:ind w:left="5760" w:hanging="5760"/>
        <w:rPr>
          <w:rFonts w:ascii="Arial" w:hAnsi="Arial"/>
        </w:rPr>
      </w:pPr>
      <w:r w:rsidRPr="0032035B">
        <w:rPr>
          <w:rFonts w:ascii="Arial" w:hAnsi="Arial"/>
        </w:rPr>
        <w:tab/>
      </w:r>
      <w:r w:rsidR="00AF4254" w:rsidRPr="0032035B">
        <w:rPr>
          <w:rFonts w:ascii="Arial" w:hAnsi="Arial"/>
          <w:i/>
          <w:u w:val="single"/>
        </w:rPr>
        <w:t>“Jim Elbert”</w:t>
      </w:r>
      <w:r w:rsidR="00AF4254" w:rsidRPr="0032035B">
        <w:rPr>
          <w:rFonts w:ascii="Arial" w:hAnsi="Arial"/>
        </w:rPr>
        <w:t xml:space="preserve"> </w:t>
      </w:r>
      <w:r w:rsidR="00AF4254" w:rsidRPr="0032035B">
        <w:rPr>
          <w:rFonts w:ascii="Arial" w:hAnsi="Arial"/>
          <w:u w:val="single"/>
        </w:rPr>
        <w:br/>
      </w:r>
      <w:r w:rsidR="004D47B7" w:rsidRPr="0032035B">
        <w:rPr>
          <w:rFonts w:ascii="Arial" w:hAnsi="Arial"/>
        </w:rPr>
        <w:t>James Elbert</w:t>
      </w:r>
      <w:r w:rsidRPr="0032035B">
        <w:rPr>
          <w:rFonts w:ascii="Arial" w:hAnsi="Arial"/>
        </w:rPr>
        <w:t xml:space="preserve"> </w:t>
      </w:r>
      <w:r w:rsidR="004D47B7" w:rsidRPr="0032035B">
        <w:rPr>
          <w:rFonts w:ascii="Arial" w:hAnsi="Arial"/>
          <w:lang w:val="en-CA"/>
        </w:rPr>
        <w:br/>
      </w:r>
      <w:r w:rsidR="004D47B7" w:rsidRPr="0032035B">
        <w:rPr>
          <w:rFonts w:ascii="Arial" w:hAnsi="Arial"/>
        </w:rPr>
        <w:t>President &amp; CEO</w:t>
      </w:r>
    </w:p>
    <w:bookmarkEnd w:id="4"/>
    <w:p w14:paraId="43CDE295" w14:textId="77777777" w:rsidR="00640E94" w:rsidRPr="0032035B" w:rsidRDefault="004D47B7">
      <w:pPr>
        <w:pStyle w:val="BodyText"/>
        <w:tabs>
          <w:tab w:val="left" w:pos="9180"/>
        </w:tabs>
        <w:spacing w:before="0"/>
        <w:ind w:left="5760"/>
        <w:rPr>
          <w:rFonts w:ascii="Arial" w:hAnsi="Arial"/>
        </w:rPr>
      </w:pPr>
      <w:r w:rsidRPr="0032035B">
        <w:rPr>
          <w:rFonts w:ascii="Arial" w:hAnsi="Arial"/>
        </w:rPr>
        <w:br/>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1800"/>
        <w:gridCol w:w="2898"/>
      </w:tblGrid>
      <w:tr w:rsidR="00640E94" w:rsidRPr="0032035B" w14:paraId="4848E393" w14:textId="77777777">
        <w:tc>
          <w:tcPr>
            <w:tcW w:w="4878" w:type="dxa"/>
            <w:tcBorders>
              <w:top w:val="single" w:sz="18" w:space="0" w:color="auto"/>
              <w:bottom w:val="nil"/>
              <w:right w:val="single" w:sz="18" w:space="0" w:color="auto"/>
            </w:tcBorders>
          </w:tcPr>
          <w:p w14:paraId="4C7A44E5" w14:textId="77777777" w:rsidR="00640E94" w:rsidRPr="00D45DAB" w:rsidRDefault="00640E94">
            <w:pPr>
              <w:pStyle w:val="BodyText"/>
              <w:spacing w:before="0"/>
              <w:rPr>
                <w:rFonts w:ascii="Calibri Light" w:hAnsi="Calibri Light" w:cs="Calibri Light"/>
                <w:b/>
                <w:i/>
              </w:rPr>
            </w:pPr>
            <w:r w:rsidRPr="00D45DAB">
              <w:rPr>
                <w:rFonts w:ascii="Calibri Light" w:hAnsi="Calibri Light" w:cs="Calibri Light"/>
                <w:b/>
                <w:i/>
              </w:rPr>
              <w:t>Issuer Details</w:t>
            </w:r>
          </w:p>
          <w:p w14:paraId="09B1EC12" w14:textId="77777777" w:rsidR="00640E94" w:rsidRPr="00D45DAB" w:rsidRDefault="00640E94">
            <w:pPr>
              <w:pStyle w:val="BodyText"/>
              <w:spacing w:before="0"/>
              <w:rPr>
                <w:rFonts w:ascii="Calibri Light" w:hAnsi="Calibri Light" w:cs="Calibri Light"/>
              </w:rPr>
            </w:pPr>
            <w:r w:rsidRPr="00D45DAB">
              <w:rPr>
                <w:rFonts w:ascii="Calibri Light" w:hAnsi="Calibri Light" w:cs="Calibri Light"/>
              </w:rPr>
              <w:t>Name of Issuer</w:t>
            </w:r>
          </w:p>
          <w:p w14:paraId="09BA3114" w14:textId="77777777" w:rsidR="00640E94" w:rsidRPr="00D45DAB" w:rsidRDefault="004D47B7">
            <w:pPr>
              <w:pStyle w:val="BodyText"/>
              <w:rPr>
                <w:rFonts w:ascii="Calibri Light" w:hAnsi="Calibri Light" w:cs="Calibri Light"/>
              </w:rPr>
            </w:pPr>
            <w:r w:rsidRPr="00D45DAB">
              <w:rPr>
                <w:rFonts w:ascii="Calibri Light" w:hAnsi="Calibri Light" w:cs="Calibri Light"/>
              </w:rPr>
              <w:t>Goldrea Resources Corp.</w:t>
            </w:r>
          </w:p>
        </w:tc>
        <w:tc>
          <w:tcPr>
            <w:tcW w:w="1800" w:type="dxa"/>
            <w:tcBorders>
              <w:top w:val="single" w:sz="18" w:space="0" w:color="auto"/>
              <w:left w:val="single" w:sz="18" w:space="0" w:color="auto"/>
              <w:bottom w:val="nil"/>
              <w:right w:val="single" w:sz="18" w:space="0" w:color="auto"/>
            </w:tcBorders>
          </w:tcPr>
          <w:p w14:paraId="46F98B21" w14:textId="44CA67C5" w:rsidR="00640E94" w:rsidRPr="00D45DAB" w:rsidRDefault="00640E94" w:rsidP="00B31F97">
            <w:pPr>
              <w:pStyle w:val="BodyText"/>
              <w:spacing w:before="0"/>
              <w:rPr>
                <w:rFonts w:ascii="Calibri Light" w:hAnsi="Calibri Light" w:cs="Calibri Light"/>
              </w:rPr>
            </w:pPr>
            <w:r w:rsidRPr="00D45DAB">
              <w:rPr>
                <w:rFonts w:ascii="Calibri Light" w:hAnsi="Calibri Light" w:cs="Calibri Light"/>
              </w:rPr>
              <w:t>For Month End</w:t>
            </w:r>
            <w:r w:rsidR="004D47B7" w:rsidRPr="00D45DAB">
              <w:rPr>
                <w:rFonts w:ascii="Calibri Light" w:hAnsi="Calibri Light" w:cs="Calibri Light"/>
              </w:rPr>
              <w:br/>
            </w:r>
            <w:r w:rsidR="00FF3DB7">
              <w:rPr>
                <w:rFonts w:ascii="Calibri Light" w:hAnsi="Calibri Light" w:cs="Calibri Light"/>
              </w:rPr>
              <w:t>April</w:t>
            </w:r>
            <w:r w:rsidR="00FB00EC">
              <w:rPr>
                <w:rFonts w:ascii="Calibri Light" w:hAnsi="Calibri Light" w:cs="Calibri Light"/>
              </w:rPr>
              <w:t xml:space="preserve"> </w:t>
            </w:r>
            <w:r w:rsidR="0029699B" w:rsidRPr="00D45DAB">
              <w:rPr>
                <w:rFonts w:ascii="Calibri Light" w:hAnsi="Calibri Light" w:cs="Calibri Light"/>
              </w:rPr>
              <w:t>20</w:t>
            </w:r>
            <w:r w:rsidR="00D67396">
              <w:rPr>
                <w:rFonts w:ascii="Calibri Light" w:hAnsi="Calibri Light" w:cs="Calibri Light"/>
              </w:rPr>
              <w:t>2</w:t>
            </w:r>
            <w:r w:rsidR="00092CC8">
              <w:rPr>
                <w:rFonts w:ascii="Calibri Light" w:hAnsi="Calibri Light" w:cs="Calibri Light"/>
              </w:rPr>
              <w:t>6</w:t>
            </w:r>
          </w:p>
        </w:tc>
        <w:tc>
          <w:tcPr>
            <w:tcW w:w="2898" w:type="dxa"/>
            <w:tcBorders>
              <w:top w:val="single" w:sz="18" w:space="0" w:color="auto"/>
              <w:left w:val="single" w:sz="18" w:space="0" w:color="auto"/>
              <w:bottom w:val="nil"/>
            </w:tcBorders>
          </w:tcPr>
          <w:p w14:paraId="6E5B5A09" w14:textId="77777777" w:rsidR="00640E94" w:rsidRPr="0032035B" w:rsidRDefault="00640E94">
            <w:pPr>
              <w:pStyle w:val="BodyText"/>
              <w:spacing w:before="0"/>
              <w:rPr>
                <w:rFonts w:ascii="Arial" w:hAnsi="Arial"/>
              </w:rPr>
            </w:pPr>
            <w:r w:rsidRPr="0032035B">
              <w:rPr>
                <w:rFonts w:ascii="Arial" w:hAnsi="Arial"/>
              </w:rPr>
              <w:t>Date of Report</w:t>
            </w:r>
          </w:p>
          <w:p w14:paraId="4199FE6F" w14:textId="0BA81F71" w:rsidR="00640E94" w:rsidRPr="0032035B" w:rsidRDefault="00FF3DB7">
            <w:pPr>
              <w:pStyle w:val="BodyText"/>
              <w:spacing w:before="0"/>
              <w:rPr>
                <w:rFonts w:ascii="Arial" w:hAnsi="Arial"/>
              </w:rPr>
            </w:pPr>
            <w:r>
              <w:rPr>
                <w:rFonts w:ascii="Arial" w:hAnsi="Arial"/>
              </w:rPr>
              <w:t>5</w:t>
            </w:r>
            <w:r w:rsidR="00B834B7">
              <w:rPr>
                <w:rFonts w:ascii="Arial" w:hAnsi="Arial"/>
              </w:rPr>
              <w:t>/</w:t>
            </w:r>
            <w:r w:rsidR="00A00972">
              <w:rPr>
                <w:rFonts w:ascii="Arial" w:hAnsi="Arial"/>
              </w:rPr>
              <w:t>6</w:t>
            </w:r>
            <w:r w:rsidR="00B834B7">
              <w:rPr>
                <w:rFonts w:ascii="Arial" w:hAnsi="Arial"/>
              </w:rPr>
              <w:t>/2</w:t>
            </w:r>
            <w:r w:rsidR="00A00972">
              <w:rPr>
                <w:rFonts w:ascii="Arial" w:hAnsi="Arial"/>
              </w:rPr>
              <w:t>6</w:t>
            </w:r>
          </w:p>
          <w:p w14:paraId="4BC2C935" w14:textId="77777777" w:rsidR="004D47B7" w:rsidRPr="0032035B" w:rsidRDefault="004D47B7">
            <w:pPr>
              <w:pStyle w:val="BodyText"/>
              <w:spacing w:before="0"/>
              <w:rPr>
                <w:rFonts w:ascii="Arial" w:hAnsi="Arial"/>
              </w:rPr>
            </w:pPr>
          </w:p>
          <w:p w14:paraId="0AADCAC7" w14:textId="77777777" w:rsidR="004D47B7" w:rsidRPr="0032035B" w:rsidRDefault="004D47B7" w:rsidP="007D5D4B">
            <w:pPr>
              <w:pStyle w:val="BodyText"/>
              <w:spacing w:before="0"/>
              <w:rPr>
                <w:rFonts w:ascii="Arial" w:hAnsi="Arial"/>
              </w:rPr>
            </w:pPr>
          </w:p>
        </w:tc>
      </w:tr>
      <w:tr w:rsidR="00640E94" w:rsidRPr="0032035B" w14:paraId="09968FA0" w14:textId="77777777">
        <w:trPr>
          <w:cantSplit/>
        </w:trPr>
        <w:tc>
          <w:tcPr>
            <w:tcW w:w="9576" w:type="dxa"/>
            <w:gridSpan w:val="3"/>
            <w:tcBorders>
              <w:top w:val="single" w:sz="18" w:space="0" w:color="auto"/>
              <w:bottom w:val="single" w:sz="18" w:space="0" w:color="auto"/>
            </w:tcBorders>
          </w:tcPr>
          <w:p w14:paraId="2F4F497B" w14:textId="77777777" w:rsidR="00640E94" w:rsidRPr="0032035B" w:rsidRDefault="00640E94">
            <w:pPr>
              <w:pStyle w:val="BodyText"/>
              <w:spacing w:before="0"/>
              <w:rPr>
                <w:rFonts w:ascii="Arial" w:hAnsi="Arial"/>
              </w:rPr>
            </w:pPr>
            <w:r w:rsidRPr="0032035B">
              <w:rPr>
                <w:rFonts w:ascii="Arial" w:hAnsi="Arial"/>
              </w:rPr>
              <w:t>Issuer Address</w:t>
            </w:r>
          </w:p>
          <w:p w14:paraId="72397579" w14:textId="77777777" w:rsidR="008E0AF4" w:rsidRDefault="008E0AF4" w:rsidP="008E0AF4">
            <w:pPr>
              <w:rPr>
                <w:lang w:val="en-CA" w:eastAsia="en-CA"/>
              </w:rPr>
            </w:pPr>
          </w:p>
          <w:p w14:paraId="215C84F7" w14:textId="77777777" w:rsidR="008E0AF4" w:rsidRDefault="008E0AF4" w:rsidP="008E0AF4">
            <w:r>
              <w:rPr>
                <w:rFonts w:ascii="Arial" w:hAnsi="Arial" w:cs="Arial"/>
                <w:color w:val="1F497D"/>
              </w:rPr>
              <w:t xml:space="preserve">#606–889 W. Pender Street, Vancouver, </w:t>
            </w:r>
            <w:proofErr w:type="gramStart"/>
            <w:r>
              <w:rPr>
                <w:rFonts w:ascii="Arial" w:hAnsi="Arial" w:cs="Arial"/>
                <w:color w:val="1F497D"/>
              </w:rPr>
              <w:t>BC,  V</w:t>
            </w:r>
            <w:proofErr w:type="gramEnd"/>
            <w:r>
              <w:rPr>
                <w:rFonts w:ascii="Arial" w:hAnsi="Arial" w:cs="Arial"/>
                <w:color w:val="1F497D"/>
              </w:rPr>
              <w:t>6C 3B2</w:t>
            </w:r>
          </w:p>
          <w:p w14:paraId="3F591F18" w14:textId="77777777" w:rsidR="00640E94" w:rsidRPr="0032035B" w:rsidRDefault="00640E94">
            <w:pPr>
              <w:pStyle w:val="BodyText"/>
              <w:spacing w:before="0"/>
              <w:rPr>
                <w:rFonts w:ascii="Arial" w:hAnsi="Arial"/>
              </w:rPr>
            </w:pPr>
          </w:p>
          <w:p w14:paraId="590AACDD" w14:textId="77777777" w:rsidR="00640E94" w:rsidRPr="0032035B" w:rsidRDefault="00640E94">
            <w:pPr>
              <w:pStyle w:val="BodyText"/>
              <w:spacing w:before="0"/>
              <w:rPr>
                <w:rFonts w:ascii="Arial" w:hAnsi="Arial"/>
              </w:rPr>
            </w:pPr>
          </w:p>
        </w:tc>
      </w:tr>
      <w:tr w:rsidR="00640E94" w:rsidRPr="0032035B" w14:paraId="332ABA92" w14:textId="77777777">
        <w:tc>
          <w:tcPr>
            <w:tcW w:w="4878" w:type="dxa"/>
            <w:tcBorders>
              <w:top w:val="single" w:sz="18" w:space="0" w:color="auto"/>
              <w:bottom w:val="single" w:sz="18" w:space="0" w:color="auto"/>
              <w:right w:val="single" w:sz="18" w:space="0" w:color="auto"/>
            </w:tcBorders>
          </w:tcPr>
          <w:p w14:paraId="7010B1D5" w14:textId="77777777" w:rsidR="00640E94" w:rsidRPr="0032035B" w:rsidRDefault="00640E94">
            <w:pPr>
              <w:pStyle w:val="BodyText"/>
              <w:spacing w:before="0"/>
              <w:rPr>
                <w:rFonts w:ascii="Arial" w:hAnsi="Arial"/>
              </w:rPr>
            </w:pPr>
            <w:r w:rsidRPr="0032035B">
              <w:rPr>
                <w:rFonts w:ascii="Arial" w:hAnsi="Arial"/>
              </w:rPr>
              <w:t>City/Province/Postal Code</w:t>
            </w:r>
          </w:p>
          <w:p w14:paraId="4B8327DF" w14:textId="77777777" w:rsidR="00640E94" w:rsidRPr="0032035B" w:rsidRDefault="00640E94">
            <w:pPr>
              <w:pStyle w:val="BodyText"/>
              <w:spacing w:before="0"/>
              <w:rPr>
                <w:rFonts w:ascii="Arial" w:hAnsi="Arial"/>
              </w:rPr>
            </w:pPr>
          </w:p>
          <w:p w14:paraId="019D7AA5" w14:textId="77777777" w:rsidR="00640E94" w:rsidRPr="0032035B" w:rsidRDefault="004D47B7" w:rsidP="006763F9">
            <w:pPr>
              <w:pStyle w:val="BodyText"/>
              <w:spacing w:before="0"/>
              <w:rPr>
                <w:rFonts w:ascii="Arial" w:hAnsi="Arial"/>
              </w:rPr>
            </w:pPr>
            <w:r w:rsidRPr="0032035B">
              <w:rPr>
                <w:rFonts w:ascii="Arial" w:hAnsi="Arial"/>
              </w:rPr>
              <w:t xml:space="preserve">Vancouver, BC </w:t>
            </w:r>
            <w:r w:rsidR="006763F9">
              <w:rPr>
                <w:rFonts w:ascii="Arial" w:hAnsi="Arial" w:cs="Arial"/>
                <w:sz w:val="20"/>
                <w:lang w:val="en-US"/>
              </w:rPr>
              <w:t>V6C 1X8</w:t>
            </w:r>
          </w:p>
        </w:tc>
        <w:tc>
          <w:tcPr>
            <w:tcW w:w="1800" w:type="dxa"/>
            <w:tcBorders>
              <w:top w:val="single" w:sz="18" w:space="0" w:color="auto"/>
              <w:left w:val="single" w:sz="18" w:space="0" w:color="auto"/>
              <w:bottom w:val="single" w:sz="18" w:space="0" w:color="auto"/>
              <w:right w:val="single" w:sz="18" w:space="0" w:color="auto"/>
            </w:tcBorders>
          </w:tcPr>
          <w:p w14:paraId="1176BD3F" w14:textId="77777777" w:rsidR="00640E94" w:rsidRPr="0032035B" w:rsidRDefault="00640E94">
            <w:pPr>
              <w:pStyle w:val="BodyText"/>
              <w:spacing w:before="0"/>
              <w:rPr>
                <w:rFonts w:ascii="Arial" w:hAnsi="Arial"/>
              </w:rPr>
            </w:pPr>
            <w:r w:rsidRPr="0032035B">
              <w:rPr>
                <w:rFonts w:ascii="Arial" w:hAnsi="Arial"/>
              </w:rPr>
              <w:t>Issuer Fax No.</w:t>
            </w:r>
          </w:p>
          <w:p w14:paraId="1346E14C" w14:textId="77777777" w:rsidR="00640E94" w:rsidRPr="0032035B" w:rsidRDefault="00640E94">
            <w:pPr>
              <w:pStyle w:val="BodyText"/>
              <w:spacing w:before="0"/>
              <w:rPr>
                <w:rFonts w:ascii="Arial" w:hAnsi="Arial"/>
              </w:rPr>
            </w:pPr>
            <w:r w:rsidRPr="0032035B">
              <w:rPr>
                <w:rFonts w:ascii="Arial" w:hAnsi="Arial"/>
              </w:rPr>
              <w:t xml:space="preserve">( </w:t>
            </w:r>
            <w:r w:rsidR="004D47B7" w:rsidRPr="0032035B">
              <w:rPr>
                <w:rFonts w:ascii="Arial" w:hAnsi="Arial"/>
              </w:rPr>
              <w:t xml:space="preserve"> )</w:t>
            </w:r>
          </w:p>
        </w:tc>
        <w:tc>
          <w:tcPr>
            <w:tcW w:w="2898" w:type="dxa"/>
            <w:tcBorders>
              <w:top w:val="single" w:sz="18" w:space="0" w:color="auto"/>
              <w:left w:val="single" w:sz="18" w:space="0" w:color="auto"/>
              <w:bottom w:val="single" w:sz="18" w:space="0" w:color="auto"/>
            </w:tcBorders>
          </w:tcPr>
          <w:p w14:paraId="213DE38F" w14:textId="77777777" w:rsidR="00640E94" w:rsidRPr="0032035B" w:rsidRDefault="00640E94">
            <w:pPr>
              <w:pStyle w:val="BodyText"/>
              <w:spacing w:before="0"/>
              <w:rPr>
                <w:rFonts w:ascii="Arial" w:hAnsi="Arial"/>
              </w:rPr>
            </w:pPr>
            <w:r w:rsidRPr="0032035B">
              <w:rPr>
                <w:rFonts w:ascii="Arial" w:hAnsi="Arial"/>
              </w:rPr>
              <w:t>Issuer Telephone No.</w:t>
            </w:r>
          </w:p>
          <w:p w14:paraId="5E4FB6F5" w14:textId="3C4356DF" w:rsidR="00640E94" w:rsidRPr="0032035B" w:rsidRDefault="00640E94" w:rsidP="002705B5">
            <w:pPr>
              <w:pStyle w:val="BodyText"/>
              <w:spacing w:before="0"/>
              <w:rPr>
                <w:rFonts w:ascii="Arial" w:hAnsi="Arial"/>
              </w:rPr>
            </w:pPr>
            <w:r w:rsidRPr="0032035B">
              <w:rPr>
                <w:rFonts w:ascii="Arial" w:hAnsi="Arial"/>
              </w:rPr>
              <w:t>(</w:t>
            </w:r>
            <w:r w:rsidR="004D47B7" w:rsidRPr="0032035B">
              <w:rPr>
                <w:rFonts w:ascii="Arial" w:hAnsi="Arial"/>
              </w:rPr>
              <w:t>604</w:t>
            </w:r>
            <w:r w:rsidRPr="0032035B">
              <w:rPr>
                <w:rFonts w:ascii="Arial" w:hAnsi="Arial"/>
              </w:rPr>
              <w:t>)</w:t>
            </w:r>
            <w:r w:rsidR="004D47B7" w:rsidRPr="0032035B">
              <w:rPr>
                <w:rFonts w:ascii="Arial" w:hAnsi="Arial"/>
              </w:rPr>
              <w:t xml:space="preserve"> 559-</w:t>
            </w:r>
            <w:r w:rsidR="002705B5">
              <w:rPr>
                <w:rFonts w:ascii="Arial" w:hAnsi="Arial"/>
              </w:rPr>
              <w:t>7230</w:t>
            </w:r>
          </w:p>
        </w:tc>
      </w:tr>
      <w:tr w:rsidR="00640E94" w:rsidRPr="0032035B" w14:paraId="6944D1ED" w14:textId="77777777">
        <w:tc>
          <w:tcPr>
            <w:tcW w:w="4878" w:type="dxa"/>
            <w:tcBorders>
              <w:top w:val="single" w:sz="18" w:space="0" w:color="auto"/>
              <w:bottom w:val="single" w:sz="18" w:space="0" w:color="auto"/>
              <w:right w:val="single" w:sz="18" w:space="0" w:color="auto"/>
            </w:tcBorders>
          </w:tcPr>
          <w:p w14:paraId="094441DE" w14:textId="77777777" w:rsidR="00640E94" w:rsidRPr="0032035B" w:rsidRDefault="00640E94">
            <w:pPr>
              <w:pStyle w:val="BodyText"/>
              <w:spacing w:before="0"/>
              <w:rPr>
                <w:rFonts w:ascii="Arial" w:hAnsi="Arial"/>
              </w:rPr>
            </w:pPr>
            <w:r w:rsidRPr="0032035B">
              <w:rPr>
                <w:rFonts w:ascii="Arial" w:hAnsi="Arial"/>
              </w:rPr>
              <w:t>Contact Name</w:t>
            </w:r>
          </w:p>
          <w:p w14:paraId="1A9F986C" w14:textId="77777777" w:rsidR="00640E94" w:rsidRPr="0032035B" w:rsidRDefault="0092052A">
            <w:pPr>
              <w:pStyle w:val="BodyText"/>
              <w:spacing w:before="0"/>
              <w:rPr>
                <w:rFonts w:ascii="Arial" w:hAnsi="Arial"/>
              </w:rPr>
            </w:pPr>
            <w:r w:rsidRPr="0032035B">
              <w:rPr>
                <w:rFonts w:ascii="Arial" w:hAnsi="Arial"/>
              </w:rPr>
              <w:t>Jim Elbert</w:t>
            </w:r>
          </w:p>
          <w:p w14:paraId="77A7389A" w14:textId="77777777" w:rsidR="00640E94" w:rsidRPr="0032035B" w:rsidRDefault="00640E94">
            <w:pPr>
              <w:pStyle w:val="BodyText"/>
              <w:spacing w:before="0"/>
              <w:rPr>
                <w:rFonts w:ascii="Arial" w:hAnsi="Arial"/>
              </w:rPr>
            </w:pPr>
          </w:p>
        </w:tc>
        <w:tc>
          <w:tcPr>
            <w:tcW w:w="1800" w:type="dxa"/>
            <w:tcBorders>
              <w:top w:val="single" w:sz="18" w:space="0" w:color="auto"/>
              <w:left w:val="single" w:sz="18" w:space="0" w:color="auto"/>
              <w:bottom w:val="single" w:sz="18" w:space="0" w:color="auto"/>
              <w:right w:val="single" w:sz="18" w:space="0" w:color="auto"/>
            </w:tcBorders>
          </w:tcPr>
          <w:p w14:paraId="65337630" w14:textId="77777777" w:rsidR="00640E94" w:rsidRPr="0032035B" w:rsidRDefault="00640E94">
            <w:pPr>
              <w:pStyle w:val="BodyText"/>
              <w:spacing w:before="0"/>
              <w:rPr>
                <w:rFonts w:ascii="Arial" w:hAnsi="Arial"/>
              </w:rPr>
            </w:pPr>
            <w:r w:rsidRPr="0032035B">
              <w:rPr>
                <w:rFonts w:ascii="Arial" w:hAnsi="Arial"/>
              </w:rPr>
              <w:t>Contact Position</w:t>
            </w:r>
            <w:r w:rsidR="0092052A" w:rsidRPr="0032035B">
              <w:rPr>
                <w:rFonts w:ascii="Arial" w:hAnsi="Arial"/>
              </w:rPr>
              <w:t xml:space="preserve"> President &amp; CEO</w:t>
            </w:r>
          </w:p>
        </w:tc>
        <w:tc>
          <w:tcPr>
            <w:tcW w:w="2898" w:type="dxa"/>
            <w:tcBorders>
              <w:top w:val="single" w:sz="18" w:space="0" w:color="auto"/>
              <w:left w:val="single" w:sz="18" w:space="0" w:color="auto"/>
              <w:bottom w:val="single" w:sz="18" w:space="0" w:color="auto"/>
            </w:tcBorders>
          </w:tcPr>
          <w:p w14:paraId="0249EE3A" w14:textId="77777777" w:rsidR="00640E94" w:rsidRPr="0032035B" w:rsidRDefault="00640E94" w:rsidP="006763F9">
            <w:pPr>
              <w:pStyle w:val="BodyText"/>
              <w:spacing w:before="0"/>
              <w:rPr>
                <w:rFonts w:ascii="Arial" w:hAnsi="Arial"/>
              </w:rPr>
            </w:pPr>
            <w:r w:rsidRPr="0032035B">
              <w:rPr>
                <w:rFonts w:ascii="Arial" w:hAnsi="Arial"/>
              </w:rPr>
              <w:t>Contact Telephone No.</w:t>
            </w:r>
            <w:r w:rsidR="0092052A" w:rsidRPr="0032035B">
              <w:rPr>
                <w:rFonts w:ascii="Arial" w:hAnsi="Arial"/>
              </w:rPr>
              <w:br/>
            </w:r>
            <w:r w:rsidR="0092052A" w:rsidRPr="0032035B">
              <w:rPr>
                <w:rFonts w:ascii="Arial" w:hAnsi="Arial"/>
              </w:rPr>
              <w:br/>
            </w:r>
            <w:r w:rsidR="006763F9">
              <w:rPr>
                <w:rFonts w:ascii="Arial" w:hAnsi="Arial"/>
              </w:rPr>
              <w:t>604-559-7230</w:t>
            </w:r>
          </w:p>
        </w:tc>
      </w:tr>
      <w:tr w:rsidR="00640E94" w14:paraId="6855389F" w14:textId="77777777">
        <w:trPr>
          <w:cantSplit/>
        </w:trPr>
        <w:tc>
          <w:tcPr>
            <w:tcW w:w="4878" w:type="dxa"/>
            <w:tcBorders>
              <w:top w:val="single" w:sz="18" w:space="0" w:color="auto"/>
              <w:bottom w:val="single" w:sz="18" w:space="0" w:color="auto"/>
              <w:right w:val="single" w:sz="18" w:space="0" w:color="auto"/>
            </w:tcBorders>
          </w:tcPr>
          <w:p w14:paraId="10366D69" w14:textId="77777777" w:rsidR="00640E94" w:rsidRPr="0032035B" w:rsidRDefault="00640E94">
            <w:pPr>
              <w:pStyle w:val="BodyText"/>
              <w:spacing w:before="0"/>
              <w:rPr>
                <w:rFonts w:ascii="Arial" w:hAnsi="Arial"/>
              </w:rPr>
            </w:pPr>
            <w:r w:rsidRPr="0032035B">
              <w:rPr>
                <w:rFonts w:ascii="Arial" w:hAnsi="Arial"/>
              </w:rPr>
              <w:t>Contact Email Address</w:t>
            </w:r>
          </w:p>
          <w:p w14:paraId="13100660" w14:textId="77777777" w:rsidR="00640E94" w:rsidRPr="0032035B" w:rsidRDefault="0092052A">
            <w:pPr>
              <w:pStyle w:val="BodyText"/>
              <w:spacing w:before="0"/>
              <w:rPr>
                <w:rFonts w:ascii="Arial" w:hAnsi="Arial"/>
              </w:rPr>
            </w:pPr>
            <w:r w:rsidRPr="0032035B">
              <w:rPr>
                <w:rFonts w:ascii="Arial" w:hAnsi="Arial"/>
              </w:rPr>
              <w:t>jelbert@goldrea.com</w:t>
            </w:r>
          </w:p>
        </w:tc>
        <w:tc>
          <w:tcPr>
            <w:tcW w:w="4698" w:type="dxa"/>
            <w:gridSpan w:val="2"/>
            <w:tcBorders>
              <w:top w:val="single" w:sz="18" w:space="0" w:color="auto"/>
              <w:left w:val="single" w:sz="18" w:space="0" w:color="auto"/>
              <w:bottom w:val="single" w:sz="18" w:space="0" w:color="auto"/>
            </w:tcBorders>
          </w:tcPr>
          <w:p w14:paraId="68D15150" w14:textId="77777777" w:rsidR="00640E94" w:rsidRPr="0032035B" w:rsidRDefault="00640E94">
            <w:pPr>
              <w:pStyle w:val="BodyText"/>
              <w:spacing w:before="0"/>
              <w:rPr>
                <w:rFonts w:ascii="Arial" w:hAnsi="Arial"/>
              </w:rPr>
            </w:pPr>
            <w:r w:rsidRPr="0032035B">
              <w:rPr>
                <w:rFonts w:ascii="Arial" w:hAnsi="Arial"/>
              </w:rPr>
              <w:t>Web Site Address</w:t>
            </w:r>
          </w:p>
          <w:p w14:paraId="41294BFE" w14:textId="77777777" w:rsidR="00640E94" w:rsidRDefault="0092052A">
            <w:pPr>
              <w:pStyle w:val="BodyText"/>
              <w:spacing w:before="0"/>
              <w:rPr>
                <w:rFonts w:ascii="Arial" w:hAnsi="Arial"/>
              </w:rPr>
            </w:pPr>
            <w:r w:rsidRPr="0032035B">
              <w:rPr>
                <w:rFonts w:ascii="Arial" w:hAnsi="Arial"/>
              </w:rPr>
              <w:t>www.goldrea.com</w:t>
            </w:r>
          </w:p>
        </w:tc>
      </w:tr>
    </w:tbl>
    <w:p w14:paraId="286A1470" w14:textId="77777777" w:rsidR="00640E94" w:rsidRDefault="00640E94" w:rsidP="00922A46">
      <w:pPr>
        <w:pStyle w:val="BodyText"/>
      </w:pPr>
    </w:p>
    <w:sectPr w:rsidR="00640E94">
      <w:headerReference w:type="even" r:id="rId7"/>
      <w:headerReference w:type="default" r:id="rId8"/>
      <w:footerReference w:type="even" r:id="rId9"/>
      <w:footerReference w:type="default" r:id="rId10"/>
      <w:headerReference w:type="first" r:id="rId11"/>
      <w:footerReference w:type="first" r:id="rId12"/>
      <w:pgSz w:w="12240" w:h="15840" w:code="1"/>
      <w:pgMar w:top="864" w:right="1440" w:bottom="864" w:left="1440" w:header="720" w:footer="9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753A7" w14:textId="77777777" w:rsidR="00157547" w:rsidRDefault="00157547">
      <w:r>
        <w:separator/>
      </w:r>
    </w:p>
  </w:endnote>
  <w:endnote w:type="continuationSeparator" w:id="0">
    <w:p w14:paraId="33528E37" w14:textId="77777777" w:rsidR="00157547" w:rsidRDefault="0015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BE5B" w14:textId="77777777" w:rsidR="004F5E88" w:rsidRDefault="004F5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E16F" w14:textId="77777777" w:rsidR="004F5E88" w:rsidRDefault="004F5E88">
    <w:pPr>
      <w:pStyle w:val="Footer"/>
      <w:tabs>
        <w:tab w:val="clear" w:pos="4320"/>
        <w:tab w:val="clear" w:pos="8640"/>
        <w:tab w:val="center" w:pos="4680"/>
        <w:tab w:val="right" w:pos="9360"/>
      </w:tabs>
      <w:rPr>
        <w:b/>
      </w:rPr>
    </w:pPr>
  </w:p>
  <w:p w14:paraId="63F7430C" w14:textId="003FCFC0" w:rsidR="004F5E88" w:rsidRDefault="00D338B2" w:rsidP="006D1A06">
    <w:pPr>
      <w:tabs>
        <w:tab w:val="center" w:pos="4680"/>
        <w:tab w:val="left" w:pos="8280"/>
      </w:tabs>
      <w:jc w:val="center"/>
      <w:rPr>
        <w:rStyle w:val="PageNumber"/>
        <w:rFonts w:ascii="Arial" w:hAnsi="Arial" w:cs="Arial"/>
        <w:b/>
      </w:rPr>
    </w:pPr>
    <w:r>
      <w:rPr>
        <w:noProof/>
      </w:rPr>
      <mc:AlternateContent>
        <mc:Choice Requires="wps">
          <w:drawing>
            <wp:anchor distT="4294967295" distB="4294967295" distL="114300" distR="114300" simplePos="0" relativeHeight="251658240" behindDoc="0" locked="0" layoutInCell="1" allowOverlap="1" wp14:anchorId="28FFEF73" wp14:editId="1D41CC1A">
              <wp:simplePos x="0" y="0"/>
              <wp:positionH relativeFrom="column">
                <wp:posOffset>72390</wp:posOffset>
              </wp:positionH>
              <wp:positionV relativeFrom="paragraph">
                <wp:posOffset>-152401</wp:posOffset>
              </wp:positionV>
              <wp:extent cx="5863590" cy="0"/>
              <wp:effectExtent l="0" t="0" r="0" b="0"/>
              <wp:wrapNone/>
              <wp:docPr id="5709727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F28E6D"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"/>
          </w:pict>
        </mc:Fallback>
      </mc:AlternateContent>
    </w:r>
    <w:r w:rsidR="004F5E88">
      <w:rPr>
        <w:rFonts w:ascii="Arial" w:hAnsi="Arial" w:cs="Arial"/>
        <w:b/>
      </w:rPr>
      <w:t>FORM 7 – MONTHLY PROGRESS REPORT</w:t>
    </w:r>
  </w:p>
  <w:p w14:paraId="1FD412DB" w14:textId="77777777" w:rsidR="004F5E88" w:rsidRPr="006D1A06" w:rsidRDefault="004F5E88"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November 14, 2008</w:t>
    </w:r>
  </w:p>
  <w:p w14:paraId="25E419D3" w14:textId="77777777" w:rsidR="004F5E88" w:rsidRPr="006D1A06" w:rsidRDefault="004F5E88"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B31F97">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592E" w14:textId="77777777" w:rsidR="004F5E88" w:rsidRDefault="004F5E88">
    <w:pPr>
      <w:pStyle w:val="Footer"/>
      <w:tabs>
        <w:tab w:val="clear" w:pos="4320"/>
        <w:tab w:val="clear" w:pos="8640"/>
        <w:tab w:val="center" w:pos="4680"/>
        <w:tab w:val="right" w:pos="9360"/>
      </w:tabs>
      <w:rPr>
        <w:b/>
      </w:rPr>
    </w:pPr>
  </w:p>
  <w:p w14:paraId="272C1EDE" w14:textId="7883BDAA" w:rsidR="004F5E88" w:rsidRDefault="00D338B2" w:rsidP="00635E9A">
    <w:pPr>
      <w:tabs>
        <w:tab w:val="center" w:pos="4674"/>
        <w:tab w:val="left" w:pos="8460"/>
      </w:tabs>
      <w:jc w:val="center"/>
      <w:rPr>
        <w:rStyle w:val="PageNumber"/>
        <w:rFonts w:ascii="Arial" w:hAnsi="Arial" w:cs="Arial"/>
        <w:b/>
      </w:rPr>
    </w:pPr>
    <w:r>
      <w:rPr>
        <w:noProof/>
      </w:rPr>
      <mc:AlternateContent>
        <mc:Choice Requires="wps">
          <w:drawing>
            <wp:anchor distT="4294967295" distB="4294967295" distL="114300" distR="114300" simplePos="0" relativeHeight="251657216" behindDoc="0" locked="0" layoutInCell="1" allowOverlap="1" wp14:anchorId="6B5CE0BD" wp14:editId="441F1C0B">
              <wp:simplePos x="0" y="0"/>
              <wp:positionH relativeFrom="column">
                <wp:posOffset>72390</wp:posOffset>
              </wp:positionH>
              <wp:positionV relativeFrom="paragraph">
                <wp:posOffset>-152401</wp:posOffset>
              </wp:positionV>
              <wp:extent cx="5863590" cy="0"/>
              <wp:effectExtent l="0" t="0" r="0" b="0"/>
              <wp:wrapNone/>
              <wp:docPr id="6463503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128287" id="Straight Connector 1"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"/>
          </w:pict>
        </mc:Fallback>
      </mc:AlternateContent>
    </w:r>
    <w:r w:rsidR="004F5E88">
      <w:rPr>
        <w:rFonts w:ascii="Arial" w:hAnsi="Arial" w:cs="Arial"/>
        <w:b/>
      </w:rPr>
      <w:t>FORM 7 – MONTHLY PROGRESS REPORT</w:t>
    </w:r>
  </w:p>
  <w:p w14:paraId="62A8E65D" w14:textId="77777777" w:rsidR="004F5E88" w:rsidRPr="00635E9A" w:rsidRDefault="004F5E88" w:rsidP="00635E9A">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November 14, 2008</w:t>
    </w:r>
  </w:p>
  <w:p w14:paraId="049A7513" w14:textId="77777777" w:rsidR="004F5E88" w:rsidRPr="00635E9A" w:rsidRDefault="004F5E88"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B31F97">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AE57" w14:textId="77777777" w:rsidR="00157547" w:rsidRDefault="00157547">
      <w:r>
        <w:separator/>
      </w:r>
    </w:p>
  </w:footnote>
  <w:footnote w:type="continuationSeparator" w:id="0">
    <w:p w14:paraId="0AE46B35" w14:textId="77777777" w:rsidR="00157547" w:rsidRDefault="00157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A700" w14:textId="77777777" w:rsidR="004F5E88" w:rsidRDefault="004F5E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E979C37" w14:textId="77777777" w:rsidR="004F5E88" w:rsidRDefault="004F5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A292" w14:textId="77777777" w:rsidR="004F5E88" w:rsidRDefault="004F5E88">
    <w:pPr>
      <w:pStyle w:val="Header"/>
      <w:tabs>
        <w:tab w:val="clear" w:pos="8640"/>
        <w:tab w:val="right" w:pos="783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9032" w14:textId="77777777" w:rsidR="004F5E88" w:rsidRDefault="004F5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D21"/>
    <w:multiLevelType w:val="multilevel"/>
    <w:tmpl w:val="EE9E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2"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3"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5"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7"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8"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1"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2"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3"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4"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5"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6" w15:restartNumberingAfterBreak="0">
    <w:nsid w:val="4BCE5FC1"/>
    <w:multiLevelType w:val="hybridMultilevel"/>
    <w:tmpl w:val="5A20D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8"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9" w15:restartNumberingAfterBreak="0">
    <w:nsid w:val="53AB0E65"/>
    <w:multiLevelType w:val="hybridMultilevel"/>
    <w:tmpl w:val="B0927D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21"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2"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3"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4"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5"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6"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7"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8"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9"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30"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460534911">
    <w:abstractNumId w:val="18"/>
  </w:num>
  <w:num w:numId="2" w16cid:durableId="1828787631">
    <w:abstractNumId w:val="23"/>
  </w:num>
  <w:num w:numId="3" w16cid:durableId="1177386258">
    <w:abstractNumId w:val="17"/>
  </w:num>
  <w:num w:numId="4" w16cid:durableId="327098915">
    <w:abstractNumId w:val="13"/>
  </w:num>
  <w:num w:numId="5" w16cid:durableId="2011980997">
    <w:abstractNumId w:val="4"/>
  </w:num>
  <w:num w:numId="6" w16cid:durableId="824584804">
    <w:abstractNumId w:val="25"/>
  </w:num>
  <w:num w:numId="7" w16cid:durableId="262156274">
    <w:abstractNumId w:val="9"/>
  </w:num>
  <w:num w:numId="8" w16cid:durableId="395057486">
    <w:abstractNumId w:val="27"/>
  </w:num>
  <w:num w:numId="9" w16cid:durableId="1044014518">
    <w:abstractNumId w:val="22"/>
  </w:num>
  <w:num w:numId="10" w16cid:durableId="487095408">
    <w:abstractNumId w:val="11"/>
  </w:num>
  <w:num w:numId="11" w16cid:durableId="2100178316">
    <w:abstractNumId w:val="14"/>
  </w:num>
  <w:num w:numId="12" w16cid:durableId="1872068097">
    <w:abstractNumId w:val="15"/>
  </w:num>
  <w:num w:numId="13" w16cid:durableId="488791175">
    <w:abstractNumId w:val="29"/>
  </w:num>
  <w:num w:numId="14" w16cid:durableId="519245841">
    <w:abstractNumId w:val="7"/>
  </w:num>
  <w:num w:numId="15" w16cid:durableId="583882092">
    <w:abstractNumId w:val="10"/>
  </w:num>
  <w:num w:numId="16" w16cid:durableId="1152212371">
    <w:abstractNumId w:val="12"/>
  </w:num>
  <w:num w:numId="17" w16cid:durableId="331681888">
    <w:abstractNumId w:val="20"/>
  </w:num>
  <w:num w:numId="18" w16cid:durableId="1783527312">
    <w:abstractNumId w:val="3"/>
  </w:num>
  <w:num w:numId="19" w16cid:durableId="1888642885">
    <w:abstractNumId w:val="8"/>
  </w:num>
  <w:num w:numId="20" w16cid:durableId="1193418681">
    <w:abstractNumId w:val="26"/>
  </w:num>
  <w:num w:numId="21" w16cid:durableId="1505977981">
    <w:abstractNumId w:val="2"/>
  </w:num>
  <w:num w:numId="22" w16cid:durableId="116991224">
    <w:abstractNumId w:val="1"/>
  </w:num>
  <w:num w:numId="23" w16cid:durableId="1383405572">
    <w:abstractNumId w:val="24"/>
  </w:num>
  <w:num w:numId="24" w16cid:durableId="2024670798">
    <w:abstractNumId w:val="21"/>
  </w:num>
  <w:num w:numId="25" w16cid:durableId="672268754">
    <w:abstractNumId w:val="5"/>
  </w:num>
  <w:num w:numId="26" w16cid:durableId="1588029621">
    <w:abstractNumId w:val="28"/>
  </w:num>
  <w:num w:numId="27" w16cid:durableId="138378152">
    <w:abstractNumId w:val="30"/>
  </w:num>
  <w:num w:numId="28" w16cid:durableId="1223978330">
    <w:abstractNumId w:val="6"/>
  </w:num>
  <w:num w:numId="29" w16cid:durableId="124855440">
    <w:abstractNumId w:val="6"/>
    <w:lvlOverride w:ilvl="0">
      <w:startOverride w:val="1"/>
    </w:lvlOverride>
  </w:num>
  <w:num w:numId="30" w16cid:durableId="932519508">
    <w:abstractNumId w:val="16"/>
  </w:num>
  <w:num w:numId="31" w16cid:durableId="559100637">
    <w:abstractNumId w:val="19"/>
  </w:num>
  <w:num w:numId="32" w16cid:durableId="116189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14"/>
    <w:rsid w:val="000109E5"/>
    <w:rsid w:val="00027FA7"/>
    <w:rsid w:val="000607A1"/>
    <w:rsid w:val="00070C34"/>
    <w:rsid w:val="00080CA7"/>
    <w:rsid w:val="00092CC8"/>
    <w:rsid w:val="00094521"/>
    <w:rsid w:val="00094E8C"/>
    <w:rsid w:val="000B10DB"/>
    <w:rsid w:val="000B3519"/>
    <w:rsid w:val="000C009C"/>
    <w:rsid w:val="000E168C"/>
    <w:rsid w:val="000E75F0"/>
    <w:rsid w:val="000F50F9"/>
    <w:rsid w:val="00101842"/>
    <w:rsid w:val="00104F39"/>
    <w:rsid w:val="0011271C"/>
    <w:rsid w:val="00113F42"/>
    <w:rsid w:val="00115F3A"/>
    <w:rsid w:val="00117BC6"/>
    <w:rsid w:val="001272F6"/>
    <w:rsid w:val="00135AF0"/>
    <w:rsid w:val="00147F19"/>
    <w:rsid w:val="001541DA"/>
    <w:rsid w:val="00157547"/>
    <w:rsid w:val="00165434"/>
    <w:rsid w:val="001823B8"/>
    <w:rsid w:val="00187E5C"/>
    <w:rsid w:val="001A462A"/>
    <w:rsid w:val="001C074F"/>
    <w:rsid w:val="001C24B5"/>
    <w:rsid w:val="001C5115"/>
    <w:rsid w:val="001C59AC"/>
    <w:rsid w:val="001D059D"/>
    <w:rsid w:val="001D49F2"/>
    <w:rsid w:val="001D4A66"/>
    <w:rsid w:val="001E09CC"/>
    <w:rsid w:val="001E2BD3"/>
    <w:rsid w:val="001E59A3"/>
    <w:rsid w:val="00206B28"/>
    <w:rsid w:val="00213BEC"/>
    <w:rsid w:val="00222038"/>
    <w:rsid w:val="002357F7"/>
    <w:rsid w:val="00235E50"/>
    <w:rsid w:val="0024463F"/>
    <w:rsid w:val="002705B5"/>
    <w:rsid w:val="00284C00"/>
    <w:rsid w:val="0029699B"/>
    <w:rsid w:val="002A76E8"/>
    <w:rsid w:val="002C281E"/>
    <w:rsid w:val="002F00EB"/>
    <w:rsid w:val="002F5CA8"/>
    <w:rsid w:val="00302E43"/>
    <w:rsid w:val="00312582"/>
    <w:rsid w:val="0032035B"/>
    <w:rsid w:val="0033108C"/>
    <w:rsid w:val="003511A3"/>
    <w:rsid w:val="00355BAB"/>
    <w:rsid w:val="0036484E"/>
    <w:rsid w:val="003669A9"/>
    <w:rsid w:val="00383C05"/>
    <w:rsid w:val="003867A7"/>
    <w:rsid w:val="00386CB3"/>
    <w:rsid w:val="00387FA8"/>
    <w:rsid w:val="0039001D"/>
    <w:rsid w:val="003940F9"/>
    <w:rsid w:val="00397493"/>
    <w:rsid w:val="003A4429"/>
    <w:rsid w:val="003B1510"/>
    <w:rsid w:val="003C30CD"/>
    <w:rsid w:val="003C6E97"/>
    <w:rsid w:val="00403876"/>
    <w:rsid w:val="00403BEA"/>
    <w:rsid w:val="00415AEC"/>
    <w:rsid w:val="00417085"/>
    <w:rsid w:val="0043523E"/>
    <w:rsid w:val="0046177F"/>
    <w:rsid w:val="00481ECD"/>
    <w:rsid w:val="004C7452"/>
    <w:rsid w:val="004D47B7"/>
    <w:rsid w:val="004E7912"/>
    <w:rsid w:val="004E7CF0"/>
    <w:rsid w:val="004F4EE6"/>
    <w:rsid w:val="004F5E88"/>
    <w:rsid w:val="00511AC7"/>
    <w:rsid w:val="00516247"/>
    <w:rsid w:val="00516404"/>
    <w:rsid w:val="00522849"/>
    <w:rsid w:val="00527B83"/>
    <w:rsid w:val="00555EED"/>
    <w:rsid w:val="00575626"/>
    <w:rsid w:val="0057666D"/>
    <w:rsid w:val="0057692F"/>
    <w:rsid w:val="00594B6B"/>
    <w:rsid w:val="005953C8"/>
    <w:rsid w:val="005A1FE9"/>
    <w:rsid w:val="005A2D61"/>
    <w:rsid w:val="005B1F71"/>
    <w:rsid w:val="005D0B2D"/>
    <w:rsid w:val="005F6D8F"/>
    <w:rsid w:val="00620E7F"/>
    <w:rsid w:val="00633E1A"/>
    <w:rsid w:val="00633ED3"/>
    <w:rsid w:val="006348CA"/>
    <w:rsid w:val="00635E9A"/>
    <w:rsid w:val="00640E94"/>
    <w:rsid w:val="006532C7"/>
    <w:rsid w:val="00653BEC"/>
    <w:rsid w:val="0067079B"/>
    <w:rsid w:val="006763F9"/>
    <w:rsid w:val="00677D5E"/>
    <w:rsid w:val="006806B5"/>
    <w:rsid w:val="00690B65"/>
    <w:rsid w:val="00694808"/>
    <w:rsid w:val="00697263"/>
    <w:rsid w:val="006D1A06"/>
    <w:rsid w:val="006D6571"/>
    <w:rsid w:val="006D793A"/>
    <w:rsid w:val="0071021C"/>
    <w:rsid w:val="00723F67"/>
    <w:rsid w:val="007445CF"/>
    <w:rsid w:val="00763F8B"/>
    <w:rsid w:val="007807BA"/>
    <w:rsid w:val="00782EE0"/>
    <w:rsid w:val="00791D26"/>
    <w:rsid w:val="007944D2"/>
    <w:rsid w:val="00796E65"/>
    <w:rsid w:val="007A4322"/>
    <w:rsid w:val="007B19FC"/>
    <w:rsid w:val="007D07F2"/>
    <w:rsid w:val="007D44CB"/>
    <w:rsid w:val="007D5D4B"/>
    <w:rsid w:val="007D6CE3"/>
    <w:rsid w:val="007E19F6"/>
    <w:rsid w:val="007F2917"/>
    <w:rsid w:val="00802085"/>
    <w:rsid w:val="00804024"/>
    <w:rsid w:val="00810921"/>
    <w:rsid w:val="008251F7"/>
    <w:rsid w:val="00830369"/>
    <w:rsid w:val="008316EC"/>
    <w:rsid w:val="00835FCD"/>
    <w:rsid w:val="00847853"/>
    <w:rsid w:val="00850169"/>
    <w:rsid w:val="00860350"/>
    <w:rsid w:val="008645F1"/>
    <w:rsid w:val="008E0AF4"/>
    <w:rsid w:val="008E1E44"/>
    <w:rsid w:val="008F6AA6"/>
    <w:rsid w:val="0090472A"/>
    <w:rsid w:val="009058C9"/>
    <w:rsid w:val="0092052A"/>
    <w:rsid w:val="00922A46"/>
    <w:rsid w:val="009343DA"/>
    <w:rsid w:val="00950CE2"/>
    <w:rsid w:val="00957B83"/>
    <w:rsid w:val="00977C5A"/>
    <w:rsid w:val="00985013"/>
    <w:rsid w:val="009870C1"/>
    <w:rsid w:val="00996671"/>
    <w:rsid w:val="009A0A52"/>
    <w:rsid w:val="009A37C4"/>
    <w:rsid w:val="009B3D09"/>
    <w:rsid w:val="00A00972"/>
    <w:rsid w:val="00A053D1"/>
    <w:rsid w:val="00A06F4E"/>
    <w:rsid w:val="00A07E3D"/>
    <w:rsid w:val="00A17B15"/>
    <w:rsid w:val="00A26214"/>
    <w:rsid w:val="00A47914"/>
    <w:rsid w:val="00A51AD2"/>
    <w:rsid w:val="00A63B17"/>
    <w:rsid w:val="00A75AF2"/>
    <w:rsid w:val="00A9742C"/>
    <w:rsid w:val="00AE0976"/>
    <w:rsid w:val="00AF4254"/>
    <w:rsid w:val="00B0083A"/>
    <w:rsid w:val="00B06028"/>
    <w:rsid w:val="00B12D6D"/>
    <w:rsid w:val="00B318B3"/>
    <w:rsid w:val="00B31F97"/>
    <w:rsid w:val="00B44502"/>
    <w:rsid w:val="00B46A22"/>
    <w:rsid w:val="00B760B7"/>
    <w:rsid w:val="00B77A98"/>
    <w:rsid w:val="00B834B7"/>
    <w:rsid w:val="00B921CE"/>
    <w:rsid w:val="00BA3D8F"/>
    <w:rsid w:val="00BA3F38"/>
    <w:rsid w:val="00BA5A0A"/>
    <w:rsid w:val="00BB031F"/>
    <w:rsid w:val="00BC50C0"/>
    <w:rsid w:val="00BD4C43"/>
    <w:rsid w:val="00BF17AC"/>
    <w:rsid w:val="00BF2165"/>
    <w:rsid w:val="00BF22EB"/>
    <w:rsid w:val="00C022A2"/>
    <w:rsid w:val="00C22556"/>
    <w:rsid w:val="00C228B3"/>
    <w:rsid w:val="00C27A18"/>
    <w:rsid w:val="00C30414"/>
    <w:rsid w:val="00C42ABA"/>
    <w:rsid w:val="00C5219E"/>
    <w:rsid w:val="00C5231F"/>
    <w:rsid w:val="00C6383E"/>
    <w:rsid w:val="00C71E44"/>
    <w:rsid w:val="00C81E17"/>
    <w:rsid w:val="00C84748"/>
    <w:rsid w:val="00C849FA"/>
    <w:rsid w:val="00C94947"/>
    <w:rsid w:val="00C96760"/>
    <w:rsid w:val="00CA5D99"/>
    <w:rsid w:val="00CB7256"/>
    <w:rsid w:val="00CC09C1"/>
    <w:rsid w:val="00CF61F5"/>
    <w:rsid w:val="00D14775"/>
    <w:rsid w:val="00D16BDA"/>
    <w:rsid w:val="00D338B2"/>
    <w:rsid w:val="00D34FF2"/>
    <w:rsid w:val="00D45DAB"/>
    <w:rsid w:val="00D47BAE"/>
    <w:rsid w:val="00D51973"/>
    <w:rsid w:val="00D51FBC"/>
    <w:rsid w:val="00D67396"/>
    <w:rsid w:val="00D8566B"/>
    <w:rsid w:val="00D95D86"/>
    <w:rsid w:val="00DA2D4E"/>
    <w:rsid w:val="00DA6381"/>
    <w:rsid w:val="00DB09DD"/>
    <w:rsid w:val="00DC1834"/>
    <w:rsid w:val="00DC1FC5"/>
    <w:rsid w:val="00DC5567"/>
    <w:rsid w:val="00DD5E6C"/>
    <w:rsid w:val="00E021C0"/>
    <w:rsid w:val="00E1344B"/>
    <w:rsid w:val="00E36141"/>
    <w:rsid w:val="00E37CEB"/>
    <w:rsid w:val="00E435EA"/>
    <w:rsid w:val="00E63C30"/>
    <w:rsid w:val="00E73650"/>
    <w:rsid w:val="00E83344"/>
    <w:rsid w:val="00E83E58"/>
    <w:rsid w:val="00EC16A1"/>
    <w:rsid w:val="00ED7C43"/>
    <w:rsid w:val="00EE5761"/>
    <w:rsid w:val="00EF3E20"/>
    <w:rsid w:val="00EF5C99"/>
    <w:rsid w:val="00F04117"/>
    <w:rsid w:val="00F044B4"/>
    <w:rsid w:val="00F20085"/>
    <w:rsid w:val="00F23DC2"/>
    <w:rsid w:val="00F32F1F"/>
    <w:rsid w:val="00F5236F"/>
    <w:rsid w:val="00F55363"/>
    <w:rsid w:val="00F654EF"/>
    <w:rsid w:val="00F677F8"/>
    <w:rsid w:val="00F83DC7"/>
    <w:rsid w:val="00F8464F"/>
    <w:rsid w:val="00F94818"/>
    <w:rsid w:val="00FB00EC"/>
    <w:rsid w:val="00FB07A8"/>
    <w:rsid w:val="00FB47CD"/>
    <w:rsid w:val="00FB4C30"/>
    <w:rsid w:val="00FC4CE6"/>
    <w:rsid w:val="00FE00E7"/>
    <w:rsid w:val="00FF3D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E10A3"/>
  <w15:docId w15:val="{350F701C-740B-4337-9BAA-233B3C7F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7944D2"/>
    <w:rPr>
      <w:lang w:val="en-US" w:eastAsia="en-US"/>
    </w:rPr>
  </w:style>
  <w:style w:type="character" w:styleId="Hyperlink">
    <w:name w:val="Hyperlink"/>
    <w:uiPriority w:val="99"/>
    <w:unhideWhenUsed/>
    <w:rsid w:val="0092052A"/>
    <w:rPr>
      <w:color w:val="0000FF"/>
      <w:u w:val="single"/>
    </w:rPr>
  </w:style>
  <w:style w:type="paragraph" w:customStyle="1" w:styleId="Default">
    <w:name w:val="Default"/>
    <w:rsid w:val="00481EC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35E50"/>
    <w:pPr>
      <w:spacing w:before="100" w:beforeAutospacing="1" w:after="100" w:afterAutospacing="1"/>
    </w:pPr>
    <w:rPr>
      <w:sz w:val="24"/>
      <w:szCs w:val="24"/>
      <w:lang w:val="en-CA" w:eastAsia="en-CA"/>
    </w:rPr>
  </w:style>
  <w:style w:type="paragraph" w:styleId="ListParagraph">
    <w:name w:val="List Paragraph"/>
    <w:basedOn w:val="Normal"/>
    <w:uiPriority w:val="34"/>
    <w:qFormat/>
    <w:rsid w:val="0057692F"/>
    <w:pPr>
      <w:ind w:left="720"/>
      <w:contextualSpacing/>
    </w:pPr>
  </w:style>
  <w:style w:type="paragraph" w:styleId="PlainText">
    <w:name w:val="Plain Text"/>
    <w:basedOn w:val="Normal"/>
    <w:link w:val="PlainTextChar"/>
    <w:uiPriority w:val="99"/>
    <w:unhideWhenUsed/>
    <w:rsid w:val="004F5E88"/>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4F5E88"/>
    <w:rPr>
      <w:rFonts w:ascii="Calibri" w:eastAsiaTheme="minorHAnsi" w:hAnsi="Calibri" w:cstheme="minorBidi"/>
      <w:sz w:val="22"/>
      <w:szCs w:val="21"/>
      <w:lang w:eastAsia="en-US"/>
    </w:rPr>
  </w:style>
  <w:style w:type="character" w:styleId="Strong">
    <w:name w:val="Strong"/>
    <w:basedOn w:val="DefaultParagraphFont"/>
    <w:uiPriority w:val="22"/>
    <w:qFormat/>
    <w:rsid w:val="00BA3D8F"/>
    <w:rPr>
      <w:b/>
      <w:bCs/>
    </w:rPr>
  </w:style>
  <w:style w:type="paragraph" w:styleId="NoSpacing">
    <w:name w:val="No Spacing"/>
    <w:uiPriority w:val="1"/>
    <w:qFormat/>
    <w:rsid w:val="00403BEA"/>
    <w:pPr>
      <w:jc w:val="both"/>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4252">
      <w:bodyDiv w:val="1"/>
      <w:marLeft w:val="0"/>
      <w:marRight w:val="0"/>
      <w:marTop w:val="0"/>
      <w:marBottom w:val="0"/>
      <w:divBdr>
        <w:top w:val="none" w:sz="0" w:space="0" w:color="auto"/>
        <w:left w:val="none" w:sz="0" w:space="0" w:color="auto"/>
        <w:bottom w:val="none" w:sz="0" w:space="0" w:color="auto"/>
        <w:right w:val="none" w:sz="0" w:space="0" w:color="auto"/>
      </w:divBdr>
    </w:div>
    <w:div w:id="463085483">
      <w:bodyDiv w:val="1"/>
      <w:marLeft w:val="0"/>
      <w:marRight w:val="0"/>
      <w:marTop w:val="0"/>
      <w:marBottom w:val="0"/>
      <w:divBdr>
        <w:top w:val="none" w:sz="0" w:space="0" w:color="auto"/>
        <w:left w:val="none" w:sz="0" w:space="0" w:color="auto"/>
        <w:bottom w:val="none" w:sz="0" w:space="0" w:color="auto"/>
        <w:right w:val="none" w:sz="0" w:space="0" w:color="auto"/>
      </w:divBdr>
      <w:divsChild>
        <w:div w:id="598637294">
          <w:marLeft w:val="0"/>
          <w:marRight w:val="0"/>
          <w:marTop w:val="0"/>
          <w:marBottom w:val="0"/>
          <w:divBdr>
            <w:top w:val="none" w:sz="0" w:space="0" w:color="auto"/>
            <w:left w:val="none" w:sz="0" w:space="0" w:color="auto"/>
            <w:bottom w:val="none" w:sz="0" w:space="0" w:color="auto"/>
            <w:right w:val="none" w:sz="0" w:space="0" w:color="auto"/>
          </w:divBdr>
          <w:divsChild>
            <w:div w:id="801309036">
              <w:marLeft w:val="0"/>
              <w:marRight w:val="0"/>
              <w:marTop w:val="0"/>
              <w:marBottom w:val="0"/>
              <w:divBdr>
                <w:top w:val="none" w:sz="0" w:space="0" w:color="auto"/>
                <w:left w:val="none" w:sz="0" w:space="0" w:color="auto"/>
                <w:bottom w:val="none" w:sz="0" w:space="0" w:color="auto"/>
                <w:right w:val="none" w:sz="0" w:space="0" w:color="auto"/>
              </w:divBdr>
              <w:divsChild>
                <w:div w:id="13721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69057">
      <w:bodyDiv w:val="1"/>
      <w:marLeft w:val="0"/>
      <w:marRight w:val="0"/>
      <w:marTop w:val="0"/>
      <w:marBottom w:val="0"/>
      <w:divBdr>
        <w:top w:val="none" w:sz="0" w:space="0" w:color="auto"/>
        <w:left w:val="none" w:sz="0" w:space="0" w:color="auto"/>
        <w:bottom w:val="none" w:sz="0" w:space="0" w:color="auto"/>
        <w:right w:val="none" w:sz="0" w:space="0" w:color="auto"/>
      </w:divBdr>
    </w:div>
    <w:div w:id="608316747">
      <w:bodyDiv w:val="1"/>
      <w:marLeft w:val="0"/>
      <w:marRight w:val="0"/>
      <w:marTop w:val="0"/>
      <w:marBottom w:val="0"/>
      <w:divBdr>
        <w:top w:val="none" w:sz="0" w:space="0" w:color="auto"/>
        <w:left w:val="none" w:sz="0" w:space="0" w:color="auto"/>
        <w:bottom w:val="none" w:sz="0" w:space="0" w:color="auto"/>
        <w:right w:val="none" w:sz="0" w:space="0" w:color="auto"/>
      </w:divBdr>
    </w:div>
    <w:div w:id="687409169">
      <w:bodyDiv w:val="1"/>
      <w:marLeft w:val="0"/>
      <w:marRight w:val="0"/>
      <w:marTop w:val="0"/>
      <w:marBottom w:val="0"/>
      <w:divBdr>
        <w:top w:val="none" w:sz="0" w:space="0" w:color="auto"/>
        <w:left w:val="none" w:sz="0" w:space="0" w:color="auto"/>
        <w:bottom w:val="none" w:sz="0" w:space="0" w:color="auto"/>
        <w:right w:val="none" w:sz="0" w:space="0" w:color="auto"/>
      </w:divBdr>
    </w:div>
    <w:div w:id="755827834">
      <w:bodyDiv w:val="1"/>
      <w:marLeft w:val="0"/>
      <w:marRight w:val="0"/>
      <w:marTop w:val="0"/>
      <w:marBottom w:val="0"/>
      <w:divBdr>
        <w:top w:val="none" w:sz="0" w:space="0" w:color="auto"/>
        <w:left w:val="none" w:sz="0" w:space="0" w:color="auto"/>
        <w:bottom w:val="none" w:sz="0" w:space="0" w:color="auto"/>
        <w:right w:val="none" w:sz="0" w:space="0" w:color="auto"/>
      </w:divBdr>
    </w:div>
    <w:div w:id="865555752">
      <w:bodyDiv w:val="1"/>
      <w:marLeft w:val="0"/>
      <w:marRight w:val="0"/>
      <w:marTop w:val="0"/>
      <w:marBottom w:val="0"/>
      <w:divBdr>
        <w:top w:val="none" w:sz="0" w:space="0" w:color="auto"/>
        <w:left w:val="none" w:sz="0" w:space="0" w:color="auto"/>
        <w:bottom w:val="none" w:sz="0" w:space="0" w:color="auto"/>
        <w:right w:val="none" w:sz="0" w:space="0" w:color="auto"/>
      </w:divBdr>
    </w:div>
    <w:div w:id="1090153917">
      <w:bodyDiv w:val="1"/>
      <w:marLeft w:val="0"/>
      <w:marRight w:val="0"/>
      <w:marTop w:val="0"/>
      <w:marBottom w:val="0"/>
      <w:divBdr>
        <w:top w:val="none" w:sz="0" w:space="0" w:color="auto"/>
        <w:left w:val="none" w:sz="0" w:space="0" w:color="auto"/>
        <w:bottom w:val="none" w:sz="0" w:space="0" w:color="auto"/>
        <w:right w:val="none" w:sz="0" w:space="0" w:color="auto"/>
      </w:divBdr>
    </w:div>
    <w:div w:id="1207370893">
      <w:bodyDiv w:val="1"/>
      <w:marLeft w:val="0"/>
      <w:marRight w:val="0"/>
      <w:marTop w:val="0"/>
      <w:marBottom w:val="0"/>
      <w:divBdr>
        <w:top w:val="none" w:sz="0" w:space="0" w:color="auto"/>
        <w:left w:val="none" w:sz="0" w:space="0" w:color="auto"/>
        <w:bottom w:val="none" w:sz="0" w:space="0" w:color="auto"/>
        <w:right w:val="none" w:sz="0" w:space="0" w:color="auto"/>
      </w:divBdr>
    </w:div>
    <w:div w:id="1372729902">
      <w:bodyDiv w:val="1"/>
      <w:marLeft w:val="0"/>
      <w:marRight w:val="0"/>
      <w:marTop w:val="0"/>
      <w:marBottom w:val="0"/>
      <w:divBdr>
        <w:top w:val="none" w:sz="0" w:space="0" w:color="auto"/>
        <w:left w:val="none" w:sz="0" w:space="0" w:color="auto"/>
        <w:bottom w:val="none" w:sz="0" w:space="0" w:color="auto"/>
        <w:right w:val="none" w:sz="0" w:space="0" w:color="auto"/>
      </w:divBdr>
    </w:div>
    <w:div w:id="1397317142">
      <w:bodyDiv w:val="1"/>
      <w:marLeft w:val="0"/>
      <w:marRight w:val="0"/>
      <w:marTop w:val="0"/>
      <w:marBottom w:val="0"/>
      <w:divBdr>
        <w:top w:val="none" w:sz="0" w:space="0" w:color="auto"/>
        <w:left w:val="none" w:sz="0" w:space="0" w:color="auto"/>
        <w:bottom w:val="none" w:sz="0" w:space="0" w:color="auto"/>
        <w:right w:val="none" w:sz="0" w:space="0" w:color="auto"/>
      </w:divBdr>
    </w:div>
    <w:div w:id="1471559359">
      <w:bodyDiv w:val="1"/>
      <w:marLeft w:val="0"/>
      <w:marRight w:val="0"/>
      <w:marTop w:val="0"/>
      <w:marBottom w:val="0"/>
      <w:divBdr>
        <w:top w:val="none" w:sz="0" w:space="0" w:color="auto"/>
        <w:left w:val="none" w:sz="0" w:space="0" w:color="auto"/>
        <w:bottom w:val="none" w:sz="0" w:space="0" w:color="auto"/>
        <w:right w:val="none" w:sz="0" w:space="0" w:color="auto"/>
      </w:divBdr>
    </w:div>
    <w:div w:id="1496998074">
      <w:bodyDiv w:val="1"/>
      <w:marLeft w:val="0"/>
      <w:marRight w:val="0"/>
      <w:marTop w:val="0"/>
      <w:marBottom w:val="0"/>
      <w:divBdr>
        <w:top w:val="none" w:sz="0" w:space="0" w:color="auto"/>
        <w:left w:val="none" w:sz="0" w:space="0" w:color="auto"/>
        <w:bottom w:val="none" w:sz="0" w:space="0" w:color="auto"/>
        <w:right w:val="none" w:sz="0" w:space="0" w:color="auto"/>
      </w:divBdr>
    </w:div>
    <w:div w:id="1720128381">
      <w:bodyDiv w:val="1"/>
      <w:marLeft w:val="0"/>
      <w:marRight w:val="0"/>
      <w:marTop w:val="0"/>
      <w:marBottom w:val="0"/>
      <w:divBdr>
        <w:top w:val="none" w:sz="0" w:space="0" w:color="auto"/>
        <w:left w:val="none" w:sz="0" w:space="0" w:color="auto"/>
        <w:bottom w:val="none" w:sz="0" w:space="0" w:color="auto"/>
        <w:right w:val="none" w:sz="0" w:space="0" w:color="auto"/>
      </w:divBdr>
    </w:div>
    <w:div w:id="1766271408">
      <w:bodyDiv w:val="1"/>
      <w:marLeft w:val="0"/>
      <w:marRight w:val="0"/>
      <w:marTop w:val="0"/>
      <w:marBottom w:val="0"/>
      <w:divBdr>
        <w:top w:val="none" w:sz="0" w:space="0" w:color="auto"/>
        <w:left w:val="none" w:sz="0" w:space="0" w:color="auto"/>
        <w:bottom w:val="none" w:sz="0" w:space="0" w:color="auto"/>
        <w:right w:val="none" w:sz="0" w:space="0" w:color="auto"/>
      </w:divBdr>
    </w:div>
    <w:div w:id="1790932701">
      <w:bodyDiv w:val="1"/>
      <w:marLeft w:val="0"/>
      <w:marRight w:val="0"/>
      <w:marTop w:val="0"/>
      <w:marBottom w:val="0"/>
      <w:divBdr>
        <w:top w:val="none" w:sz="0" w:space="0" w:color="auto"/>
        <w:left w:val="none" w:sz="0" w:space="0" w:color="auto"/>
        <w:bottom w:val="none" w:sz="0" w:space="0" w:color="auto"/>
        <w:right w:val="none" w:sz="0" w:space="0" w:color="auto"/>
      </w:divBdr>
    </w:div>
    <w:div w:id="1890266767">
      <w:bodyDiv w:val="1"/>
      <w:marLeft w:val="0"/>
      <w:marRight w:val="0"/>
      <w:marTop w:val="0"/>
      <w:marBottom w:val="0"/>
      <w:divBdr>
        <w:top w:val="none" w:sz="0" w:space="0" w:color="auto"/>
        <w:left w:val="none" w:sz="0" w:space="0" w:color="auto"/>
        <w:bottom w:val="none" w:sz="0" w:space="0" w:color="auto"/>
        <w:right w:val="none" w:sz="0" w:space="0" w:color="auto"/>
      </w:divBdr>
    </w:div>
    <w:div w:id="1920286965">
      <w:bodyDiv w:val="1"/>
      <w:marLeft w:val="0"/>
      <w:marRight w:val="0"/>
      <w:marTop w:val="0"/>
      <w:marBottom w:val="0"/>
      <w:divBdr>
        <w:top w:val="none" w:sz="0" w:space="0" w:color="auto"/>
        <w:left w:val="none" w:sz="0" w:space="0" w:color="auto"/>
        <w:bottom w:val="none" w:sz="0" w:space="0" w:color="auto"/>
        <w:right w:val="none" w:sz="0" w:space="0" w:color="auto"/>
      </w:divBdr>
    </w:div>
    <w:div w:id="193693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Vancouver Stock Exchange</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lstdjoh</dc:creator>
  <cp:keywords/>
  <dc:description/>
  <cp:lastModifiedBy>James Elbert</cp:lastModifiedBy>
  <cp:revision>3</cp:revision>
  <cp:lastPrinted>2024-05-06T22:14:00Z</cp:lastPrinted>
  <dcterms:created xsi:type="dcterms:W3CDTF">2026-05-07T00:29:00Z</dcterms:created>
  <dcterms:modified xsi:type="dcterms:W3CDTF">2026-05-07T00:31:00Z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ies>
</file>