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51F4F" w:rsidRDefault="00051F4F">
      <w:pPr>
        <w:pBdr>
          <w:top w:val="nil"/>
          <w:left w:val="nil"/>
          <w:bottom w:val="nil"/>
          <w:right w:val="nil"/>
          <w:between w:val="nil"/>
        </w:pBdr>
        <w:jc w:val="center"/>
        <w:rPr>
          <w:b/>
          <w:bCs/>
          <w:color w:val="000000"/>
          <w:sz w:val="22"/>
          <w:szCs w:val="22"/>
        </w:rPr>
      </w:pPr>
    </w:p>
    <w:p w14:paraId="75BCDDAE" w14:textId="77777777" w:rsidR="004D010D" w:rsidRDefault="004D010D">
      <w:pPr>
        <w:pBdr>
          <w:top w:val="nil"/>
          <w:left w:val="nil"/>
          <w:bottom w:val="nil"/>
          <w:right w:val="nil"/>
          <w:between w:val="nil"/>
        </w:pBdr>
        <w:jc w:val="center"/>
        <w:rPr>
          <w:b/>
          <w:bCs/>
          <w:color w:val="000000"/>
          <w:sz w:val="22"/>
          <w:szCs w:val="22"/>
        </w:rPr>
      </w:pPr>
    </w:p>
    <w:p w14:paraId="00000002" w14:textId="77777777" w:rsidR="00051F4F" w:rsidRDefault="00000000">
      <w:pPr>
        <w:pBdr>
          <w:top w:val="nil"/>
          <w:left w:val="nil"/>
          <w:bottom w:val="nil"/>
          <w:right w:val="nil"/>
          <w:between w:val="nil"/>
        </w:pBdr>
        <w:jc w:val="center"/>
        <w:rPr>
          <w:color w:val="000000"/>
        </w:rPr>
      </w:pPr>
      <w:r>
        <w:rPr>
          <w:b/>
          <w:bCs/>
          <w:noProof/>
          <w:color w:val="000000"/>
        </w:rPr>
        <w:drawing>
          <wp:inline distT="0" distB="0" distL="0" distR="0" wp14:anchorId="3BF7888B" wp14:editId="223E2300">
            <wp:extent cx="3720844" cy="844348"/>
            <wp:effectExtent l="0" t="0" r="0" b="0"/>
            <wp:docPr id="1490720899" name="image6.png" descr="A yellow and grey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yellow and grey text on a black background&#10;&#10;Description automatically generated"/>
                    <pic:cNvPicPr preferRelativeResize="0"/>
                  </pic:nvPicPr>
                  <pic:blipFill>
                    <a:blip r:embed="rId9"/>
                    <a:srcRect/>
                    <a:stretch>
                      <a:fillRect/>
                    </a:stretch>
                  </pic:blipFill>
                  <pic:spPr>
                    <a:xfrm>
                      <a:off x="0" y="0"/>
                      <a:ext cx="3720844" cy="844348"/>
                    </a:xfrm>
                    <a:prstGeom prst="rect">
                      <a:avLst/>
                    </a:prstGeom>
                    <a:ln/>
                  </pic:spPr>
                </pic:pic>
              </a:graphicData>
            </a:graphic>
          </wp:inline>
        </w:drawing>
      </w:r>
    </w:p>
    <w:p w14:paraId="00000003" w14:textId="77777777" w:rsidR="00051F4F" w:rsidRDefault="00051F4F" w:rsidP="005059C0">
      <w:pPr>
        <w:pBdr>
          <w:top w:val="nil"/>
          <w:left w:val="nil"/>
          <w:bottom w:val="nil"/>
          <w:right w:val="nil"/>
          <w:between w:val="nil"/>
        </w:pBdr>
        <w:spacing w:line="192" w:lineRule="auto"/>
        <w:jc w:val="center"/>
        <w:rPr>
          <w:b/>
          <w:bCs/>
          <w:color w:val="000000"/>
          <w:sz w:val="28"/>
          <w:szCs w:val="28"/>
        </w:rPr>
      </w:pPr>
    </w:p>
    <w:p w14:paraId="724B8032" w14:textId="1A893CE8" w:rsidR="00DB6F56" w:rsidRDefault="005059C0" w:rsidP="005059C0">
      <w:pPr>
        <w:pBdr>
          <w:top w:val="nil"/>
          <w:left w:val="nil"/>
          <w:bottom w:val="nil"/>
          <w:right w:val="nil"/>
          <w:between w:val="nil"/>
        </w:pBdr>
        <w:jc w:val="center"/>
        <w:rPr>
          <w:rFonts w:ascii="Aptos" w:hAnsi="Aptos"/>
          <w:b/>
          <w:bCs/>
        </w:rPr>
      </w:pPr>
      <w:r w:rsidRPr="005059C0">
        <w:rPr>
          <w:rFonts w:ascii="Aptos" w:hAnsi="Aptos"/>
          <w:b/>
          <w:bCs/>
        </w:rPr>
        <w:t xml:space="preserve">GoldHaven Closes Additional Flow-Through Financing Bringing Total Flow-Through Proceeds to Approximately $3.26 Million to Advance Planned 5,000+ </w:t>
      </w:r>
      <w:proofErr w:type="spellStart"/>
      <w:r w:rsidRPr="005059C0">
        <w:rPr>
          <w:rFonts w:ascii="Aptos" w:hAnsi="Aptos"/>
          <w:b/>
          <w:bCs/>
        </w:rPr>
        <w:t>Metre</w:t>
      </w:r>
      <w:proofErr w:type="spellEnd"/>
      <w:r w:rsidRPr="005059C0">
        <w:rPr>
          <w:rFonts w:ascii="Aptos" w:hAnsi="Aptos"/>
          <w:b/>
          <w:bCs/>
        </w:rPr>
        <w:t xml:space="preserve"> Magno Drill Program</w:t>
      </w:r>
    </w:p>
    <w:p w14:paraId="32923E8A" w14:textId="77777777" w:rsidR="005059C0" w:rsidRPr="00C74744" w:rsidRDefault="005059C0" w:rsidP="00C74744">
      <w:pPr>
        <w:pBdr>
          <w:top w:val="nil"/>
          <w:left w:val="nil"/>
          <w:bottom w:val="nil"/>
          <w:right w:val="nil"/>
          <w:between w:val="nil"/>
        </w:pBdr>
        <w:jc w:val="both"/>
        <w:rPr>
          <w:rFonts w:ascii="Aptos" w:hAnsi="Aptos"/>
          <w:b/>
          <w:bCs/>
          <w:color w:val="1A1A1A"/>
          <w:sz w:val="22"/>
          <w:szCs w:val="22"/>
          <w:lang w:val="en-CA"/>
        </w:rPr>
      </w:pPr>
    </w:p>
    <w:p w14:paraId="0A36F8FB" w14:textId="5FA1C70F" w:rsidR="005059C0" w:rsidRDefault="00C74744" w:rsidP="005059C0">
      <w:pPr>
        <w:pBdr>
          <w:top w:val="nil"/>
          <w:left w:val="nil"/>
          <w:bottom w:val="nil"/>
          <w:right w:val="nil"/>
          <w:between w:val="nil"/>
        </w:pBdr>
        <w:jc w:val="both"/>
        <w:rPr>
          <w:rFonts w:ascii="Aptos" w:hAnsi="Aptos"/>
          <w:color w:val="1A1A1A"/>
          <w:sz w:val="22"/>
          <w:szCs w:val="22"/>
          <w:lang w:val="en-CA"/>
        </w:rPr>
      </w:pPr>
      <w:r w:rsidRPr="00C74744">
        <w:rPr>
          <w:rFonts w:ascii="Aptos" w:hAnsi="Aptos"/>
          <w:b/>
          <w:bCs/>
          <w:color w:val="1A1A1A"/>
          <w:sz w:val="22"/>
          <w:szCs w:val="22"/>
          <w:lang w:val="en-CA"/>
        </w:rPr>
        <w:t xml:space="preserve">Vancouver, British Columbia – </w:t>
      </w:r>
      <w:r w:rsidR="005059C0">
        <w:rPr>
          <w:rFonts w:ascii="Aptos" w:hAnsi="Aptos"/>
          <w:b/>
          <w:bCs/>
          <w:color w:val="1A1A1A"/>
          <w:sz w:val="22"/>
          <w:szCs w:val="22"/>
          <w:lang w:val="en-CA"/>
        </w:rPr>
        <w:t>May 14</w:t>
      </w:r>
      <w:r w:rsidR="005059C0" w:rsidRPr="005059C0">
        <w:rPr>
          <w:rFonts w:ascii="Aptos" w:hAnsi="Aptos"/>
          <w:b/>
          <w:bCs/>
          <w:color w:val="1A1A1A"/>
          <w:sz w:val="22"/>
          <w:szCs w:val="22"/>
          <w:vertAlign w:val="superscript"/>
          <w:lang w:val="en-CA"/>
        </w:rPr>
        <w:t>th</w:t>
      </w:r>
      <w:r w:rsidR="00DB6F56">
        <w:rPr>
          <w:rFonts w:ascii="Aptos" w:hAnsi="Aptos"/>
          <w:b/>
          <w:bCs/>
          <w:color w:val="1A1A1A"/>
          <w:sz w:val="22"/>
          <w:szCs w:val="22"/>
          <w:lang w:val="en-CA"/>
        </w:rPr>
        <w:t>, 2026</w:t>
      </w:r>
      <w:r w:rsidRPr="00C74744">
        <w:rPr>
          <w:rFonts w:ascii="Aptos" w:hAnsi="Aptos"/>
          <w:color w:val="1A1A1A"/>
          <w:sz w:val="22"/>
          <w:szCs w:val="22"/>
          <w:lang w:val="en-CA"/>
        </w:rPr>
        <w:t xml:space="preserve"> – </w:t>
      </w:r>
      <w:r w:rsidRPr="00C74744">
        <w:rPr>
          <w:rFonts w:ascii="Aptos" w:hAnsi="Aptos"/>
          <w:b/>
          <w:bCs/>
          <w:color w:val="1A1A1A"/>
          <w:sz w:val="22"/>
          <w:szCs w:val="22"/>
          <w:lang w:val="en-CA"/>
        </w:rPr>
        <w:t>GoldHaven Resources Corp.</w:t>
      </w:r>
      <w:r w:rsidRPr="00C74744">
        <w:rPr>
          <w:rFonts w:ascii="Aptos" w:hAnsi="Aptos"/>
          <w:color w:val="1A1A1A"/>
          <w:sz w:val="22"/>
          <w:szCs w:val="22"/>
          <w:lang w:val="en-CA"/>
        </w:rPr>
        <w:t xml:space="preserve"> (CSE: GOH) (OTCQB: GHVNF) (FSE: 4QS) (the “Company” or “GoldHaven”) </w:t>
      </w:r>
      <w:r w:rsidR="005059C0" w:rsidRPr="005059C0">
        <w:rPr>
          <w:rFonts w:ascii="Aptos" w:hAnsi="Aptos"/>
          <w:color w:val="1A1A1A"/>
          <w:sz w:val="22"/>
          <w:szCs w:val="22"/>
          <w:lang w:val="en-CA"/>
        </w:rPr>
        <w:t xml:space="preserve">is pleased to announce that it has closed a further tranche of its non-brokered flow-through financing (the “Flow-Through Offering”) through the issuance of 4,589,510 flow-through common shares (the “FT Shares”) at a price of $0.265 per FT Share for aggregate gross proceeds of $1,216,220. </w:t>
      </w:r>
    </w:p>
    <w:p w14:paraId="2DF377BB" w14:textId="77777777" w:rsidR="005059C0" w:rsidRPr="005059C0" w:rsidRDefault="005059C0" w:rsidP="005059C0">
      <w:pPr>
        <w:pBdr>
          <w:top w:val="nil"/>
          <w:left w:val="nil"/>
          <w:bottom w:val="nil"/>
          <w:right w:val="nil"/>
          <w:between w:val="nil"/>
        </w:pBdr>
        <w:jc w:val="both"/>
        <w:rPr>
          <w:rFonts w:ascii="Aptos" w:hAnsi="Aptos"/>
          <w:b/>
          <w:bCs/>
          <w:color w:val="1A1A1A"/>
          <w:sz w:val="22"/>
          <w:szCs w:val="22"/>
          <w:lang w:val="en-CA"/>
        </w:rPr>
      </w:pPr>
    </w:p>
    <w:p w14:paraId="79FA7312" w14:textId="77777777" w:rsidR="005059C0" w:rsidRDefault="005059C0" w:rsidP="005059C0">
      <w:pPr>
        <w:pBdr>
          <w:top w:val="nil"/>
          <w:left w:val="nil"/>
          <w:bottom w:val="nil"/>
          <w:right w:val="nil"/>
          <w:between w:val="nil"/>
        </w:pBdr>
        <w:jc w:val="both"/>
        <w:rPr>
          <w:rFonts w:ascii="Aptos" w:hAnsi="Aptos"/>
          <w:b/>
          <w:bCs/>
          <w:color w:val="1A1A1A"/>
          <w:sz w:val="22"/>
          <w:szCs w:val="22"/>
          <w:lang w:val="en-CA"/>
        </w:rPr>
      </w:pPr>
      <w:r w:rsidRPr="005059C0">
        <w:rPr>
          <w:rFonts w:ascii="Aptos" w:hAnsi="Aptos"/>
          <w:b/>
          <w:bCs/>
          <w:color w:val="1A1A1A"/>
          <w:sz w:val="22"/>
          <w:szCs w:val="22"/>
          <w:lang w:val="en-CA"/>
        </w:rPr>
        <w:t>HIGHLIGHTS</w:t>
      </w:r>
    </w:p>
    <w:p w14:paraId="256A67D1" w14:textId="77777777" w:rsidR="005059C0" w:rsidRPr="005059C0" w:rsidRDefault="005059C0" w:rsidP="005059C0">
      <w:pPr>
        <w:pBdr>
          <w:top w:val="nil"/>
          <w:left w:val="nil"/>
          <w:bottom w:val="nil"/>
          <w:right w:val="nil"/>
          <w:between w:val="nil"/>
        </w:pBdr>
        <w:jc w:val="both"/>
        <w:rPr>
          <w:rFonts w:ascii="Aptos" w:hAnsi="Aptos"/>
          <w:b/>
          <w:bCs/>
          <w:color w:val="1A1A1A"/>
          <w:sz w:val="22"/>
          <w:szCs w:val="22"/>
          <w:lang w:val="en-CA"/>
        </w:rPr>
      </w:pPr>
    </w:p>
    <w:p w14:paraId="486EFBE6" w14:textId="77777777" w:rsidR="005059C0" w:rsidRPr="005059C0" w:rsidRDefault="005059C0" w:rsidP="005059C0">
      <w:pPr>
        <w:numPr>
          <w:ilvl w:val="0"/>
          <w:numId w:val="26"/>
        </w:numPr>
        <w:pBdr>
          <w:top w:val="nil"/>
          <w:left w:val="nil"/>
          <w:bottom w:val="nil"/>
          <w:right w:val="nil"/>
          <w:between w:val="nil"/>
        </w:pBdr>
        <w:jc w:val="both"/>
        <w:rPr>
          <w:rFonts w:ascii="Aptos" w:hAnsi="Aptos"/>
          <w:color w:val="1A1A1A"/>
          <w:sz w:val="22"/>
          <w:szCs w:val="22"/>
          <w:lang w:val="en-CA"/>
        </w:rPr>
      </w:pPr>
      <w:r w:rsidRPr="005059C0">
        <w:rPr>
          <w:rFonts w:ascii="Aptos" w:hAnsi="Aptos"/>
          <w:color w:val="1A1A1A"/>
          <w:sz w:val="22"/>
          <w:szCs w:val="22"/>
          <w:lang w:val="en-CA"/>
        </w:rPr>
        <w:t xml:space="preserve">Closed additional gross proceeds of approximately $1.22 million </w:t>
      </w:r>
    </w:p>
    <w:p w14:paraId="168D7FCE" w14:textId="7BE129E8" w:rsidR="005059C0" w:rsidRPr="005059C0" w:rsidRDefault="005059C0" w:rsidP="005059C0">
      <w:pPr>
        <w:numPr>
          <w:ilvl w:val="0"/>
          <w:numId w:val="26"/>
        </w:numPr>
        <w:pBdr>
          <w:top w:val="nil"/>
          <w:left w:val="nil"/>
          <w:bottom w:val="nil"/>
          <w:right w:val="nil"/>
          <w:between w:val="nil"/>
        </w:pBdr>
        <w:jc w:val="both"/>
        <w:rPr>
          <w:rFonts w:ascii="Aptos" w:hAnsi="Aptos"/>
          <w:color w:val="1A1A1A"/>
          <w:sz w:val="22"/>
          <w:szCs w:val="22"/>
          <w:lang w:val="en-CA"/>
        </w:rPr>
      </w:pPr>
      <w:r w:rsidRPr="005059C0">
        <w:rPr>
          <w:rFonts w:ascii="Aptos" w:hAnsi="Aptos"/>
          <w:color w:val="1A1A1A"/>
          <w:sz w:val="22"/>
          <w:szCs w:val="22"/>
          <w:lang w:val="en-CA"/>
        </w:rPr>
        <w:t xml:space="preserve">Total aggregate flow-through proceeds raised now approximately $3.26 million </w:t>
      </w:r>
    </w:p>
    <w:p w14:paraId="4D6CB1CA" w14:textId="77777777" w:rsidR="005059C0" w:rsidRPr="005059C0" w:rsidRDefault="005059C0" w:rsidP="005059C0">
      <w:pPr>
        <w:numPr>
          <w:ilvl w:val="0"/>
          <w:numId w:val="26"/>
        </w:numPr>
        <w:pBdr>
          <w:top w:val="nil"/>
          <w:left w:val="nil"/>
          <w:bottom w:val="nil"/>
          <w:right w:val="nil"/>
          <w:between w:val="nil"/>
        </w:pBdr>
        <w:jc w:val="both"/>
        <w:rPr>
          <w:rFonts w:ascii="Aptos" w:hAnsi="Aptos"/>
          <w:color w:val="1A1A1A"/>
          <w:sz w:val="22"/>
          <w:szCs w:val="22"/>
          <w:lang w:val="en-CA"/>
        </w:rPr>
      </w:pPr>
      <w:r w:rsidRPr="005059C0">
        <w:rPr>
          <w:rFonts w:ascii="Aptos" w:hAnsi="Aptos"/>
          <w:color w:val="1A1A1A"/>
          <w:sz w:val="22"/>
          <w:szCs w:val="22"/>
          <w:lang w:val="en-CA"/>
        </w:rPr>
        <w:t xml:space="preserve">Funding supports a planned 5,000+ metre exploration drill program at the Magno Project, subject to permitting </w:t>
      </w:r>
    </w:p>
    <w:p w14:paraId="5DED75D0" w14:textId="77777777" w:rsidR="005059C0" w:rsidRPr="005059C0" w:rsidRDefault="005059C0" w:rsidP="005059C0">
      <w:pPr>
        <w:numPr>
          <w:ilvl w:val="0"/>
          <w:numId w:val="26"/>
        </w:numPr>
        <w:pBdr>
          <w:top w:val="nil"/>
          <w:left w:val="nil"/>
          <w:bottom w:val="nil"/>
          <w:right w:val="nil"/>
          <w:between w:val="nil"/>
        </w:pBdr>
        <w:jc w:val="both"/>
        <w:rPr>
          <w:rFonts w:ascii="Aptos" w:hAnsi="Aptos"/>
          <w:color w:val="1A1A1A"/>
          <w:sz w:val="22"/>
          <w:szCs w:val="22"/>
          <w:lang w:val="en-CA"/>
        </w:rPr>
      </w:pPr>
      <w:r w:rsidRPr="005059C0">
        <w:rPr>
          <w:rFonts w:ascii="Aptos" w:hAnsi="Aptos"/>
          <w:color w:val="1A1A1A"/>
          <w:sz w:val="22"/>
          <w:szCs w:val="22"/>
          <w:lang w:val="en-CA"/>
        </w:rPr>
        <w:t xml:space="preserve">Magno hosts high-grade silver, zinc, lead, tungsten, and critical mineral mineralization </w:t>
      </w:r>
    </w:p>
    <w:p w14:paraId="79CD87D2" w14:textId="77777777" w:rsidR="005059C0" w:rsidRDefault="005059C0" w:rsidP="005059C0">
      <w:pPr>
        <w:numPr>
          <w:ilvl w:val="0"/>
          <w:numId w:val="26"/>
        </w:numPr>
        <w:pBdr>
          <w:top w:val="nil"/>
          <w:left w:val="nil"/>
          <w:bottom w:val="nil"/>
          <w:right w:val="nil"/>
          <w:between w:val="nil"/>
        </w:pBdr>
        <w:jc w:val="both"/>
        <w:rPr>
          <w:rFonts w:ascii="Aptos" w:hAnsi="Aptos"/>
          <w:color w:val="1A1A1A"/>
          <w:sz w:val="22"/>
          <w:szCs w:val="22"/>
          <w:lang w:val="en-CA"/>
        </w:rPr>
      </w:pPr>
      <w:r w:rsidRPr="005059C0">
        <w:rPr>
          <w:rFonts w:ascii="Aptos" w:hAnsi="Aptos"/>
          <w:color w:val="1A1A1A"/>
          <w:sz w:val="22"/>
          <w:szCs w:val="22"/>
          <w:lang w:val="en-CA"/>
        </w:rPr>
        <w:t xml:space="preserve">Additional airborne geophysical surveys and target refinement planned across the district-scale property </w:t>
      </w:r>
    </w:p>
    <w:p w14:paraId="14318229" w14:textId="77777777" w:rsidR="005059C0" w:rsidRDefault="005059C0" w:rsidP="005059C0">
      <w:pPr>
        <w:pBdr>
          <w:top w:val="nil"/>
          <w:left w:val="nil"/>
          <w:bottom w:val="nil"/>
          <w:right w:val="nil"/>
          <w:between w:val="nil"/>
        </w:pBdr>
        <w:jc w:val="both"/>
        <w:rPr>
          <w:rFonts w:ascii="Aptos" w:hAnsi="Aptos"/>
          <w:color w:val="1A1A1A"/>
          <w:sz w:val="22"/>
          <w:szCs w:val="22"/>
          <w:lang w:val="en-CA"/>
        </w:rPr>
      </w:pPr>
    </w:p>
    <w:p w14:paraId="44F8C8B6" w14:textId="77777777" w:rsidR="005059C0" w:rsidRDefault="005059C0" w:rsidP="005059C0">
      <w:pPr>
        <w:pBdr>
          <w:top w:val="nil"/>
          <w:left w:val="nil"/>
          <w:bottom w:val="nil"/>
          <w:right w:val="nil"/>
          <w:between w:val="nil"/>
        </w:pBdr>
        <w:jc w:val="both"/>
        <w:rPr>
          <w:rFonts w:ascii="Aptos" w:hAnsi="Aptos"/>
          <w:b/>
          <w:bCs/>
          <w:color w:val="1A1A1A"/>
          <w:sz w:val="22"/>
          <w:szCs w:val="22"/>
          <w:lang w:val="en-CA"/>
        </w:rPr>
      </w:pPr>
      <w:r w:rsidRPr="005059C0">
        <w:rPr>
          <w:rFonts w:ascii="Aptos" w:hAnsi="Aptos"/>
          <w:b/>
          <w:bCs/>
          <w:color w:val="1A1A1A"/>
          <w:sz w:val="22"/>
          <w:szCs w:val="22"/>
          <w:lang w:val="en-CA"/>
        </w:rPr>
        <w:t>CEO COMMENTARY</w:t>
      </w:r>
    </w:p>
    <w:p w14:paraId="1738B8C0" w14:textId="77777777" w:rsidR="005059C0" w:rsidRPr="005059C0" w:rsidRDefault="005059C0" w:rsidP="005059C0">
      <w:pPr>
        <w:pBdr>
          <w:top w:val="nil"/>
          <w:left w:val="nil"/>
          <w:bottom w:val="nil"/>
          <w:right w:val="nil"/>
          <w:between w:val="nil"/>
        </w:pBdr>
        <w:jc w:val="both"/>
        <w:rPr>
          <w:rFonts w:ascii="Aptos" w:hAnsi="Aptos"/>
          <w:b/>
          <w:bCs/>
          <w:color w:val="1A1A1A"/>
          <w:sz w:val="22"/>
          <w:szCs w:val="22"/>
          <w:lang w:val="en-CA"/>
        </w:rPr>
      </w:pPr>
    </w:p>
    <w:p w14:paraId="76144DED" w14:textId="77777777" w:rsidR="005059C0" w:rsidRDefault="005059C0" w:rsidP="005059C0">
      <w:pPr>
        <w:pBdr>
          <w:top w:val="nil"/>
          <w:left w:val="nil"/>
          <w:bottom w:val="nil"/>
          <w:right w:val="nil"/>
          <w:between w:val="nil"/>
        </w:pBdr>
        <w:jc w:val="both"/>
        <w:rPr>
          <w:rFonts w:ascii="Aptos" w:hAnsi="Aptos"/>
          <w:color w:val="1A1A1A"/>
          <w:sz w:val="22"/>
          <w:szCs w:val="22"/>
          <w:lang w:val="en-CA"/>
        </w:rPr>
      </w:pPr>
      <w:r w:rsidRPr="005059C0">
        <w:rPr>
          <w:rFonts w:ascii="Aptos" w:hAnsi="Aptos"/>
          <w:color w:val="1A1A1A"/>
          <w:sz w:val="22"/>
          <w:szCs w:val="22"/>
          <w:lang w:val="en-CA"/>
        </w:rPr>
        <w:t>“We are very pleased to complete this financing, which further strengthens GoldHaven’s treasury as we continue advancing the Magno Project,” stated Rob Birmingham, President and CEO of GoldHaven.</w:t>
      </w:r>
    </w:p>
    <w:p w14:paraId="03FE7570" w14:textId="77777777" w:rsidR="005059C0" w:rsidRPr="005059C0" w:rsidRDefault="005059C0" w:rsidP="005059C0">
      <w:pPr>
        <w:pBdr>
          <w:top w:val="nil"/>
          <w:left w:val="nil"/>
          <w:bottom w:val="nil"/>
          <w:right w:val="nil"/>
          <w:between w:val="nil"/>
        </w:pBdr>
        <w:jc w:val="both"/>
        <w:rPr>
          <w:rFonts w:ascii="Aptos" w:hAnsi="Aptos"/>
          <w:color w:val="1A1A1A"/>
          <w:sz w:val="22"/>
          <w:szCs w:val="22"/>
          <w:lang w:val="en-CA"/>
        </w:rPr>
      </w:pPr>
    </w:p>
    <w:p w14:paraId="53EBF25F" w14:textId="77777777" w:rsidR="005059C0" w:rsidRDefault="005059C0" w:rsidP="005059C0">
      <w:pPr>
        <w:pBdr>
          <w:top w:val="nil"/>
          <w:left w:val="nil"/>
          <w:bottom w:val="nil"/>
          <w:right w:val="nil"/>
          <w:between w:val="nil"/>
        </w:pBdr>
        <w:jc w:val="both"/>
        <w:rPr>
          <w:rFonts w:ascii="Aptos" w:hAnsi="Aptos"/>
          <w:color w:val="1A1A1A"/>
          <w:sz w:val="22"/>
          <w:szCs w:val="22"/>
          <w:lang w:val="en-CA"/>
        </w:rPr>
      </w:pPr>
      <w:r w:rsidRPr="005059C0">
        <w:rPr>
          <w:rFonts w:ascii="Aptos" w:hAnsi="Aptos"/>
          <w:color w:val="1A1A1A"/>
          <w:sz w:val="22"/>
          <w:szCs w:val="22"/>
          <w:lang w:val="en-CA"/>
        </w:rPr>
        <w:t>“Magno continues to demonstrate significant potential as a district-scale polymetallic and critical minerals system, with strong silver-lead-zinc mineralization alongside emerging tungsten and indium upside. This financing positions the Company well as we continue exploration planning and target advancement across the project.”</w:t>
      </w:r>
    </w:p>
    <w:p w14:paraId="0DBB99AA" w14:textId="7E1D7C63" w:rsidR="005059C0" w:rsidRPr="005059C0" w:rsidRDefault="005059C0" w:rsidP="005059C0">
      <w:pPr>
        <w:pBdr>
          <w:top w:val="nil"/>
          <w:left w:val="nil"/>
          <w:bottom w:val="nil"/>
          <w:right w:val="nil"/>
          <w:between w:val="nil"/>
        </w:pBdr>
        <w:jc w:val="both"/>
        <w:rPr>
          <w:rFonts w:ascii="Aptos" w:hAnsi="Aptos"/>
          <w:color w:val="1A1A1A"/>
          <w:sz w:val="22"/>
          <w:szCs w:val="22"/>
          <w:lang w:val="en-CA"/>
        </w:rPr>
      </w:pPr>
      <w:r w:rsidRPr="005059C0">
        <w:rPr>
          <w:rFonts w:ascii="Aptos" w:hAnsi="Aptos"/>
          <w:color w:val="1A1A1A"/>
          <w:sz w:val="22"/>
          <w:szCs w:val="22"/>
          <w:lang w:val="en-CA"/>
        </w:rPr>
        <w:t xml:space="preserve"> </w:t>
      </w:r>
    </w:p>
    <w:p w14:paraId="7102BD96" w14:textId="77777777" w:rsidR="005059C0" w:rsidRDefault="005059C0" w:rsidP="005059C0">
      <w:pPr>
        <w:pBdr>
          <w:top w:val="nil"/>
          <w:left w:val="nil"/>
          <w:bottom w:val="nil"/>
          <w:right w:val="nil"/>
          <w:between w:val="nil"/>
        </w:pBdr>
        <w:jc w:val="both"/>
        <w:rPr>
          <w:rFonts w:ascii="Aptos" w:hAnsi="Aptos"/>
          <w:b/>
          <w:bCs/>
          <w:color w:val="1A1A1A"/>
          <w:sz w:val="22"/>
          <w:szCs w:val="22"/>
          <w:lang w:val="en-CA"/>
        </w:rPr>
      </w:pPr>
      <w:r w:rsidRPr="005059C0">
        <w:rPr>
          <w:rFonts w:ascii="Aptos" w:hAnsi="Aptos"/>
          <w:b/>
          <w:bCs/>
          <w:color w:val="1A1A1A"/>
          <w:sz w:val="22"/>
          <w:szCs w:val="22"/>
          <w:lang w:val="en-CA"/>
        </w:rPr>
        <w:t>FLOW-THROUGH FINANCING</w:t>
      </w:r>
    </w:p>
    <w:p w14:paraId="2552B1D1" w14:textId="77777777" w:rsidR="005059C0" w:rsidRPr="005059C0" w:rsidRDefault="005059C0" w:rsidP="005059C0">
      <w:pPr>
        <w:pBdr>
          <w:top w:val="nil"/>
          <w:left w:val="nil"/>
          <w:bottom w:val="nil"/>
          <w:right w:val="nil"/>
          <w:between w:val="nil"/>
        </w:pBdr>
        <w:jc w:val="both"/>
        <w:rPr>
          <w:rFonts w:ascii="Aptos" w:hAnsi="Aptos"/>
          <w:b/>
          <w:bCs/>
          <w:color w:val="1A1A1A"/>
          <w:sz w:val="22"/>
          <w:szCs w:val="22"/>
          <w:lang w:val="en-CA"/>
        </w:rPr>
      </w:pPr>
    </w:p>
    <w:p w14:paraId="1130117D" w14:textId="265C4930" w:rsidR="005059C0" w:rsidRDefault="005059C0" w:rsidP="005059C0">
      <w:pPr>
        <w:pBdr>
          <w:top w:val="nil"/>
          <w:left w:val="nil"/>
          <w:bottom w:val="nil"/>
          <w:right w:val="nil"/>
          <w:between w:val="nil"/>
        </w:pBdr>
        <w:jc w:val="both"/>
        <w:rPr>
          <w:rFonts w:ascii="Aptos" w:hAnsi="Aptos"/>
          <w:color w:val="1A1A1A"/>
          <w:sz w:val="22"/>
          <w:szCs w:val="22"/>
          <w:lang w:val="en-CA"/>
        </w:rPr>
      </w:pPr>
      <w:r w:rsidRPr="005059C0">
        <w:rPr>
          <w:rFonts w:ascii="Aptos" w:hAnsi="Aptos"/>
          <w:color w:val="1A1A1A"/>
          <w:sz w:val="22"/>
          <w:szCs w:val="22"/>
          <w:lang w:val="en-CA"/>
        </w:rPr>
        <w:t xml:space="preserve">Under the </w:t>
      </w:r>
      <w:r w:rsidR="007B1C0E">
        <w:rPr>
          <w:rFonts w:ascii="Aptos" w:hAnsi="Aptos"/>
          <w:color w:val="1A1A1A"/>
          <w:sz w:val="22"/>
          <w:szCs w:val="22"/>
          <w:lang w:val="en-CA"/>
        </w:rPr>
        <w:t>Flow-Through Offering</w:t>
      </w:r>
      <w:r w:rsidRPr="005059C0">
        <w:rPr>
          <w:rFonts w:ascii="Aptos" w:hAnsi="Aptos"/>
          <w:color w:val="1A1A1A"/>
          <w:sz w:val="22"/>
          <w:szCs w:val="22"/>
          <w:lang w:val="en-CA"/>
        </w:rPr>
        <w:t>, the Company issued 4,589,510 FT Shares at a price of $0.265 per FT Share for aggregate gross proceeds of $1,216,220. Following the issuance, the Company has 62,897,172 common shares issued and outstanding.</w:t>
      </w:r>
    </w:p>
    <w:p w14:paraId="1FB2841E" w14:textId="77777777" w:rsidR="007B1C0E" w:rsidRDefault="007B1C0E" w:rsidP="005059C0">
      <w:pPr>
        <w:pBdr>
          <w:top w:val="nil"/>
          <w:left w:val="nil"/>
          <w:bottom w:val="nil"/>
          <w:right w:val="nil"/>
          <w:between w:val="nil"/>
        </w:pBdr>
        <w:jc w:val="both"/>
        <w:rPr>
          <w:rFonts w:ascii="Aptos" w:hAnsi="Aptos"/>
          <w:color w:val="1A1A1A"/>
          <w:sz w:val="22"/>
          <w:szCs w:val="22"/>
          <w:lang w:val="en-CA"/>
        </w:rPr>
      </w:pPr>
    </w:p>
    <w:p w14:paraId="35B4D78A" w14:textId="239DC9EB" w:rsidR="007B1C0E" w:rsidRPr="007B1C0E" w:rsidRDefault="007B1C0E" w:rsidP="007B1C0E">
      <w:pPr>
        <w:pBdr>
          <w:top w:val="nil"/>
          <w:left w:val="nil"/>
          <w:bottom w:val="nil"/>
          <w:right w:val="nil"/>
          <w:between w:val="nil"/>
        </w:pBdr>
        <w:jc w:val="both"/>
        <w:rPr>
          <w:rFonts w:ascii="Aptos" w:hAnsi="Aptos"/>
          <w:color w:val="1A1A1A"/>
          <w:sz w:val="22"/>
          <w:szCs w:val="22"/>
          <w:lang w:val="en-CA"/>
        </w:rPr>
      </w:pPr>
      <w:r w:rsidRPr="007B1C0E">
        <w:rPr>
          <w:rFonts w:ascii="Aptos" w:hAnsi="Aptos"/>
          <w:color w:val="1A1A1A"/>
          <w:sz w:val="22"/>
          <w:szCs w:val="22"/>
          <w:lang w:val="en-CA"/>
        </w:rPr>
        <w:t>In connection with the closing, the Company paid cash finder’s fees totaling $</w:t>
      </w:r>
      <w:r>
        <w:rPr>
          <w:rFonts w:ascii="Aptos" w:hAnsi="Aptos"/>
          <w:color w:val="1A1A1A"/>
          <w:sz w:val="22"/>
          <w:szCs w:val="22"/>
          <w:lang w:val="en-CA"/>
        </w:rPr>
        <w:t>83,813</w:t>
      </w:r>
      <w:r w:rsidRPr="007B1C0E">
        <w:rPr>
          <w:rFonts w:ascii="Aptos" w:hAnsi="Aptos"/>
          <w:color w:val="1A1A1A"/>
          <w:sz w:val="22"/>
          <w:szCs w:val="22"/>
          <w:lang w:val="en-CA"/>
        </w:rPr>
        <w:t xml:space="preserve"> and issued </w:t>
      </w:r>
      <w:r>
        <w:rPr>
          <w:rFonts w:ascii="Aptos" w:hAnsi="Aptos"/>
          <w:color w:val="1A1A1A"/>
          <w:sz w:val="22"/>
          <w:szCs w:val="22"/>
          <w:lang w:val="en-CA"/>
        </w:rPr>
        <w:t>303,766</w:t>
      </w:r>
      <w:r w:rsidRPr="007B1C0E">
        <w:rPr>
          <w:rFonts w:ascii="Aptos" w:hAnsi="Aptos"/>
          <w:color w:val="1A1A1A"/>
          <w:sz w:val="22"/>
          <w:szCs w:val="22"/>
          <w:lang w:val="en-CA"/>
        </w:rPr>
        <w:t xml:space="preserve"> non-transferable finder warrants (each, a “Finder Warrant”) to a certain eligible arm’s-length finder who introduced a subscriber to the Offering. Each Finder Warrant entitles the holder to purchase one common share (a “Finder Share”) at a price of C$0.35 per Finder Share for a period of 24 months from the date of issuance.</w:t>
      </w:r>
    </w:p>
    <w:p w14:paraId="70C4B94C" w14:textId="77777777" w:rsidR="005059C0" w:rsidRPr="005059C0" w:rsidRDefault="005059C0" w:rsidP="005059C0">
      <w:pPr>
        <w:pBdr>
          <w:top w:val="nil"/>
          <w:left w:val="nil"/>
          <w:bottom w:val="nil"/>
          <w:right w:val="nil"/>
          <w:between w:val="nil"/>
        </w:pBdr>
        <w:jc w:val="both"/>
        <w:rPr>
          <w:rFonts w:ascii="Aptos" w:hAnsi="Aptos"/>
          <w:color w:val="1A1A1A"/>
          <w:sz w:val="22"/>
          <w:szCs w:val="22"/>
          <w:lang w:val="en-CA"/>
        </w:rPr>
      </w:pPr>
    </w:p>
    <w:p w14:paraId="7C1BB4C2" w14:textId="0965EDB1" w:rsidR="005059C0" w:rsidRDefault="005059C0" w:rsidP="005059C0">
      <w:pPr>
        <w:pBdr>
          <w:top w:val="nil"/>
          <w:left w:val="nil"/>
          <w:bottom w:val="nil"/>
          <w:right w:val="nil"/>
          <w:between w:val="nil"/>
        </w:pBdr>
        <w:jc w:val="both"/>
        <w:rPr>
          <w:rFonts w:ascii="Aptos" w:hAnsi="Aptos"/>
          <w:color w:val="1A1A1A"/>
          <w:sz w:val="22"/>
          <w:szCs w:val="22"/>
          <w:lang w:val="en-CA"/>
        </w:rPr>
      </w:pPr>
      <w:r w:rsidRPr="005059C0">
        <w:rPr>
          <w:rFonts w:ascii="Aptos" w:hAnsi="Aptos"/>
          <w:color w:val="1A1A1A"/>
          <w:sz w:val="22"/>
          <w:szCs w:val="22"/>
          <w:lang w:val="en-CA"/>
        </w:rPr>
        <w:t>All securities issued pursuant to the Offering are subject to a statutory hold period expiring September 15, 2026, in accordance with applicable securities laws and Canadian Securities Exchange requirements.</w:t>
      </w:r>
    </w:p>
    <w:p w14:paraId="661FA914" w14:textId="77777777" w:rsidR="005059C0" w:rsidRPr="005059C0" w:rsidRDefault="005059C0" w:rsidP="005059C0">
      <w:pPr>
        <w:pBdr>
          <w:top w:val="nil"/>
          <w:left w:val="nil"/>
          <w:bottom w:val="nil"/>
          <w:right w:val="nil"/>
          <w:between w:val="nil"/>
        </w:pBdr>
        <w:jc w:val="both"/>
        <w:rPr>
          <w:rFonts w:ascii="Aptos" w:hAnsi="Aptos"/>
          <w:color w:val="1A1A1A"/>
          <w:sz w:val="22"/>
          <w:szCs w:val="22"/>
          <w:lang w:val="en-CA"/>
        </w:rPr>
      </w:pPr>
    </w:p>
    <w:p w14:paraId="399B0A50" w14:textId="77777777" w:rsidR="005059C0" w:rsidRPr="005059C0" w:rsidRDefault="005059C0" w:rsidP="005059C0">
      <w:pPr>
        <w:pBdr>
          <w:top w:val="nil"/>
          <w:left w:val="nil"/>
          <w:bottom w:val="nil"/>
          <w:right w:val="nil"/>
          <w:between w:val="nil"/>
        </w:pBdr>
        <w:jc w:val="both"/>
        <w:rPr>
          <w:rFonts w:ascii="Aptos" w:hAnsi="Aptos"/>
          <w:b/>
          <w:bCs/>
          <w:color w:val="1A1A1A"/>
          <w:sz w:val="22"/>
          <w:szCs w:val="22"/>
          <w:lang w:val="en-CA"/>
        </w:rPr>
      </w:pPr>
      <w:r w:rsidRPr="005059C0">
        <w:rPr>
          <w:rFonts w:ascii="Aptos" w:hAnsi="Aptos"/>
          <w:b/>
          <w:bCs/>
          <w:color w:val="1A1A1A"/>
          <w:sz w:val="22"/>
          <w:szCs w:val="22"/>
          <w:lang w:val="en-CA"/>
        </w:rPr>
        <w:t>USE OF PROCEEDS</w:t>
      </w:r>
    </w:p>
    <w:p w14:paraId="0BE75F81" w14:textId="77777777" w:rsidR="005059C0" w:rsidRDefault="005059C0" w:rsidP="005059C0">
      <w:pPr>
        <w:pBdr>
          <w:top w:val="nil"/>
          <w:left w:val="nil"/>
          <w:bottom w:val="nil"/>
          <w:right w:val="nil"/>
          <w:between w:val="nil"/>
        </w:pBdr>
        <w:jc w:val="both"/>
        <w:rPr>
          <w:rFonts w:ascii="Aptos" w:hAnsi="Aptos"/>
          <w:color w:val="1A1A1A"/>
          <w:sz w:val="22"/>
          <w:szCs w:val="22"/>
          <w:lang w:val="en-CA"/>
        </w:rPr>
      </w:pPr>
      <w:r w:rsidRPr="005059C0">
        <w:rPr>
          <w:rFonts w:ascii="Aptos" w:hAnsi="Aptos"/>
          <w:color w:val="1A1A1A"/>
          <w:sz w:val="22"/>
          <w:szCs w:val="22"/>
          <w:lang w:val="en-CA"/>
        </w:rPr>
        <w:t>The gross proceeds from the Offering will be used to incur eligible Canadian exploration expenses that will qualify as “flow-through mining expenditures” as defined under the Income Tax Act (Canada). The expenditures will be renounced to subscribers effective December 31, 2026.</w:t>
      </w:r>
    </w:p>
    <w:p w14:paraId="20C0C499" w14:textId="77777777" w:rsidR="005059C0" w:rsidRPr="005059C0" w:rsidRDefault="005059C0" w:rsidP="005059C0">
      <w:pPr>
        <w:pBdr>
          <w:top w:val="nil"/>
          <w:left w:val="nil"/>
          <w:bottom w:val="nil"/>
          <w:right w:val="nil"/>
          <w:between w:val="nil"/>
        </w:pBdr>
        <w:jc w:val="both"/>
        <w:rPr>
          <w:rFonts w:ascii="Aptos" w:hAnsi="Aptos"/>
          <w:color w:val="1A1A1A"/>
          <w:sz w:val="22"/>
          <w:szCs w:val="22"/>
          <w:lang w:val="en-CA"/>
        </w:rPr>
      </w:pPr>
    </w:p>
    <w:p w14:paraId="4647936E" w14:textId="77777777" w:rsidR="005059C0" w:rsidRDefault="005059C0" w:rsidP="005059C0">
      <w:pPr>
        <w:pBdr>
          <w:top w:val="nil"/>
          <w:left w:val="nil"/>
          <w:bottom w:val="nil"/>
          <w:right w:val="nil"/>
          <w:between w:val="nil"/>
        </w:pBdr>
        <w:jc w:val="both"/>
        <w:rPr>
          <w:rFonts w:ascii="Aptos" w:hAnsi="Aptos"/>
          <w:color w:val="1A1A1A"/>
          <w:sz w:val="22"/>
          <w:szCs w:val="22"/>
          <w:lang w:val="en-CA"/>
        </w:rPr>
      </w:pPr>
      <w:r w:rsidRPr="005059C0">
        <w:rPr>
          <w:rFonts w:ascii="Aptos" w:hAnsi="Aptos"/>
          <w:color w:val="1A1A1A"/>
          <w:sz w:val="22"/>
          <w:szCs w:val="22"/>
          <w:lang w:val="en-CA"/>
        </w:rPr>
        <w:t>Funds from the Offering are expected to support ongoing advancement of the Company’s Magno Project, including:</w:t>
      </w:r>
    </w:p>
    <w:p w14:paraId="06A0BEDB" w14:textId="77777777" w:rsidR="005059C0" w:rsidRPr="005059C0" w:rsidRDefault="005059C0" w:rsidP="005059C0">
      <w:pPr>
        <w:pBdr>
          <w:top w:val="nil"/>
          <w:left w:val="nil"/>
          <w:bottom w:val="nil"/>
          <w:right w:val="nil"/>
          <w:between w:val="nil"/>
        </w:pBdr>
        <w:jc w:val="both"/>
        <w:rPr>
          <w:rFonts w:ascii="Aptos" w:hAnsi="Aptos"/>
          <w:color w:val="1A1A1A"/>
          <w:sz w:val="22"/>
          <w:szCs w:val="22"/>
          <w:lang w:val="en-CA"/>
        </w:rPr>
      </w:pPr>
    </w:p>
    <w:p w14:paraId="42EFCC4F" w14:textId="77777777" w:rsidR="005059C0" w:rsidRPr="005059C0" w:rsidRDefault="005059C0" w:rsidP="005059C0">
      <w:pPr>
        <w:numPr>
          <w:ilvl w:val="0"/>
          <w:numId w:val="25"/>
        </w:numPr>
        <w:pBdr>
          <w:top w:val="nil"/>
          <w:left w:val="nil"/>
          <w:bottom w:val="nil"/>
          <w:right w:val="nil"/>
          <w:between w:val="nil"/>
        </w:pBdr>
        <w:jc w:val="both"/>
        <w:rPr>
          <w:rFonts w:ascii="Aptos" w:hAnsi="Aptos"/>
          <w:color w:val="1A1A1A"/>
          <w:sz w:val="22"/>
          <w:szCs w:val="22"/>
          <w:lang w:val="en-CA"/>
        </w:rPr>
      </w:pPr>
      <w:r w:rsidRPr="005059C0">
        <w:rPr>
          <w:rFonts w:ascii="Aptos" w:hAnsi="Aptos"/>
          <w:color w:val="1A1A1A"/>
          <w:sz w:val="22"/>
          <w:szCs w:val="22"/>
          <w:lang w:val="en-CA"/>
        </w:rPr>
        <w:t xml:space="preserve">Drill targeting and exploration planning </w:t>
      </w:r>
    </w:p>
    <w:p w14:paraId="047DDB61" w14:textId="77777777" w:rsidR="005059C0" w:rsidRPr="005059C0" w:rsidRDefault="005059C0" w:rsidP="005059C0">
      <w:pPr>
        <w:numPr>
          <w:ilvl w:val="0"/>
          <w:numId w:val="25"/>
        </w:numPr>
        <w:pBdr>
          <w:top w:val="nil"/>
          <w:left w:val="nil"/>
          <w:bottom w:val="nil"/>
          <w:right w:val="nil"/>
          <w:between w:val="nil"/>
        </w:pBdr>
        <w:jc w:val="both"/>
        <w:rPr>
          <w:rFonts w:ascii="Aptos" w:hAnsi="Aptos"/>
          <w:color w:val="1A1A1A"/>
          <w:sz w:val="22"/>
          <w:szCs w:val="22"/>
          <w:lang w:val="en-CA"/>
        </w:rPr>
      </w:pPr>
      <w:r w:rsidRPr="005059C0">
        <w:rPr>
          <w:rFonts w:ascii="Aptos" w:hAnsi="Aptos"/>
          <w:color w:val="1A1A1A"/>
          <w:sz w:val="22"/>
          <w:szCs w:val="22"/>
          <w:lang w:val="en-CA"/>
        </w:rPr>
        <w:t xml:space="preserve">Airborne geophysical surveys </w:t>
      </w:r>
    </w:p>
    <w:p w14:paraId="6B55C232" w14:textId="77777777" w:rsidR="005059C0" w:rsidRPr="005059C0" w:rsidRDefault="005059C0" w:rsidP="005059C0">
      <w:pPr>
        <w:numPr>
          <w:ilvl w:val="0"/>
          <w:numId w:val="25"/>
        </w:numPr>
        <w:pBdr>
          <w:top w:val="nil"/>
          <w:left w:val="nil"/>
          <w:bottom w:val="nil"/>
          <w:right w:val="nil"/>
          <w:between w:val="nil"/>
        </w:pBdr>
        <w:jc w:val="both"/>
        <w:rPr>
          <w:rFonts w:ascii="Aptos" w:hAnsi="Aptos"/>
          <w:color w:val="1A1A1A"/>
          <w:sz w:val="22"/>
          <w:szCs w:val="22"/>
          <w:lang w:val="en-CA"/>
        </w:rPr>
      </w:pPr>
      <w:r w:rsidRPr="005059C0">
        <w:rPr>
          <w:rFonts w:ascii="Aptos" w:hAnsi="Aptos"/>
          <w:color w:val="1A1A1A"/>
          <w:sz w:val="22"/>
          <w:szCs w:val="22"/>
          <w:lang w:val="en-CA"/>
        </w:rPr>
        <w:t xml:space="preserve">Geological mapping and sampling </w:t>
      </w:r>
    </w:p>
    <w:p w14:paraId="5407ED93" w14:textId="77777777" w:rsidR="005059C0" w:rsidRPr="005059C0" w:rsidRDefault="005059C0" w:rsidP="005059C0">
      <w:pPr>
        <w:numPr>
          <w:ilvl w:val="0"/>
          <w:numId w:val="25"/>
        </w:numPr>
        <w:pBdr>
          <w:top w:val="nil"/>
          <w:left w:val="nil"/>
          <w:bottom w:val="nil"/>
          <w:right w:val="nil"/>
          <w:between w:val="nil"/>
        </w:pBdr>
        <w:jc w:val="both"/>
        <w:rPr>
          <w:rFonts w:ascii="Aptos" w:hAnsi="Aptos"/>
          <w:color w:val="1A1A1A"/>
          <w:sz w:val="22"/>
          <w:szCs w:val="22"/>
          <w:lang w:val="en-CA"/>
        </w:rPr>
      </w:pPr>
      <w:r w:rsidRPr="005059C0">
        <w:rPr>
          <w:rFonts w:ascii="Aptos" w:hAnsi="Aptos"/>
          <w:color w:val="1A1A1A"/>
          <w:sz w:val="22"/>
          <w:szCs w:val="22"/>
          <w:lang w:val="en-CA"/>
        </w:rPr>
        <w:t xml:space="preserve">3D geological and structural modelling </w:t>
      </w:r>
    </w:p>
    <w:p w14:paraId="4F321284" w14:textId="77777777" w:rsidR="005059C0" w:rsidRDefault="005059C0" w:rsidP="005059C0">
      <w:pPr>
        <w:numPr>
          <w:ilvl w:val="0"/>
          <w:numId w:val="25"/>
        </w:numPr>
        <w:pBdr>
          <w:top w:val="nil"/>
          <w:left w:val="nil"/>
          <w:bottom w:val="nil"/>
          <w:right w:val="nil"/>
          <w:between w:val="nil"/>
        </w:pBdr>
        <w:jc w:val="both"/>
        <w:rPr>
          <w:rFonts w:ascii="Aptos" w:hAnsi="Aptos"/>
          <w:color w:val="1A1A1A"/>
          <w:sz w:val="22"/>
          <w:szCs w:val="22"/>
          <w:lang w:val="en-CA"/>
        </w:rPr>
      </w:pPr>
      <w:r w:rsidRPr="005059C0">
        <w:rPr>
          <w:rFonts w:ascii="Aptos" w:hAnsi="Aptos"/>
          <w:color w:val="1A1A1A"/>
          <w:sz w:val="22"/>
          <w:szCs w:val="22"/>
          <w:lang w:val="en-CA"/>
        </w:rPr>
        <w:t xml:space="preserve">Follow-up work on high-grade silver and tungsten targets across the Magno property </w:t>
      </w:r>
    </w:p>
    <w:p w14:paraId="5EB6CB1B" w14:textId="77777777" w:rsidR="005059C0" w:rsidRPr="005059C0" w:rsidRDefault="005059C0" w:rsidP="005059C0">
      <w:pPr>
        <w:pBdr>
          <w:top w:val="nil"/>
          <w:left w:val="nil"/>
          <w:bottom w:val="nil"/>
          <w:right w:val="nil"/>
          <w:between w:val="nil"/>
        </w:pBdr>
        <w:ind w:left="720"/>
        <w:jc w:val="both"/>
        <w:rPr>
          <w:rFonts w:ascii="Aptos" w:hAnsi="Aptos"/>
          <w:color w:val="1A1A1A"/>
          <w:sz w:val="22"/>
          <w:szCs w:val="22"/>
          <w:lang w:val="en-CA"/>
        </w:rPr>
      </w:pPr>
    </w:p>
    <w:p w14:paraId="4EFD444B" w14:textId="77777777" w:rsidR="005059C0" w:rsidRDefault="005059C0" w:rsidP="005059C0">
      <w:pPr>
        <w:pBdr>
          <w:top w:val="nil"/>
          <w:left w:val="nil"/>
          <w:bottom w:val="nil"/>
          <w:right w:val="nil"/>
          <w:between w:val="nil"/>
        </w:pBdr>
        <w:jc w:val="both"/>
        <w:rPr>
          <w:rFonts w:ascii="Aptos" w:hAnsi="Aptos"/>
          <w:b/>
          <w:bCs/>
          <w:color w:val="1A1A1A"/>
          <w:sz w:val="22"/>
          <w:szCs w:val="22"/>
          <w:lang w:val="en-CA"/>
        </w:rPr>
      </w:pPr>
      <w:r w:rsidRPr="005059C0">
        <w:rPr>
          <w:rFonts w:ascii="Aptos" w:hAnsi="Aptos"/>
          <w:b/>
          <w:bCs/>
          <w:color w:val="1A1A1A"/>
          <w:sz w:val="22"/>
          <w:szCs w:val="22"/>
          <w:lang w:val="en-CA"/>
        </w:rPr>
        <w:t>MAGNO PROJECT</w:t>
      </w:r>
    </w:p>
    <w:p w14:paraId="386928F4" w14:textId="77777777" w:rsidR="005059C0" w:rsidRPr="005059C0" w:rsidRDefault="005059C0" w:rsidP="005059C0">
      <w:pPr>
        <w:pBdr>
          <w:top w:val="nil"/>
          <w:left w:val="nil"/>
          <w:bottom w:val="nil"/>
          <w:right w:val="nil"/>
          <w:between w:val="nil"/>
        </w:pBdr>
        <w:jc w:val="both"/>
        <w:rPr>
          <w:rFonts w:ascii="Aptos" w:hAnsi="Aptos"/>
          <w:b/>
          <w:bCs/>
          <w:color w:val="1A1A1A"/>
          <w:sz w:val="22"/>
          <w:szCs w:val="22"/>
          <w:lang w:val="en-CA"/>
        </w:rPr>
      </w:pPr>
    </w:p>
    <w:p w14:paraId="6531D220" w14:textId="77777777" w:rsidR="005059C0" w:rsidRDefault="005059C0" w:rsidP="005059C0">
      <w:pPr>
        <w:pBdr>
          <w:top w:val="nil"/>
          <w:left w:val="nil"/>
          <w:bottom w:val="nil"/>
          <w:right w:val="nil"/>
          <w:between w:val="nil"/>
        </w:pBdr>
        <w:jc w:val="both"/>
        <w:rPr>
          <w:rFonts w:ascii="Aptos" w:hAnsi="Aptos"/>
          <w:color w:val="1A1A1A"/>
          <w:sz w:val="22"/>
          <w:szCs w:val="22"/>
          <w:lang w:val="en-CA"/>
        </w:rPr>
      </w:pPr>
      <w:r w:rsidRPr="005059C0">
        <w:rPr>
          <w:rFonts w:ascii="Aptos" w:hAnsi="Aptos"/>
          <w:color w:val="1A1A1A"/>
          <w:sz w:val="22"/>
          <w:szCs w:val="22"/>
          <w:lang w:val="en-CA"/>
        </w:rPr>
        <w:t>GoldHaven’s Magno Project is a district-scale polymetallic exploration asset located in the Cassiar region of northwestern British Columbia. The project hosts multiple styles of mineralization including silver-lead-zinc carbonate replacement mineralization, tungsten-rich skarn systems, and copper-bearing intrusive-related targets.</w:t>
      </w:r>
    </w:p>
    <w:p w14:paraId="13CAEE2F" w14:textId="77777777" w:rsidR="005059C0" w:rsidRPr="005059C0" w:rsidRDefault="005059C0" w:rsidP="005059C0">
      <w:pPr>
        <w:pBdr>
          <w:top w:val="nil"/>
          <w:left w:val="nil"/>
          <w:bottom w:val="nil"/>
          <w:right w:val="nil"/>
          <w:between w:val="nil"/>
        </w:pBdr>
        <w:jc w:val="both"/>
        <w:rPr>
          <w:rFonts w:ascii="Aptos" w:hAnsi="Aptos"/>
          <w:color w:val="1A1A1A"/>
          <w:sz w:val="22"/>
          <w:szCs w:val="22"/>
          <w:lang w:val="en-CA"/>
        </w:rPr>
      </w:pPr>
    </w:p>
    <w:p w14:paraId="43571082" w14:textId="77777777" w:rsidR="005059C0" w:rsidRDefault="005059C0" w:rsidP="005059C0">
      <w:pPr>
        <w:pBdr>
          <w:top w:val="nil"/>
          <w:left w:val="nil"/>
          <w:bottom w:val="nil"/>
          <w:right w:val="nil"/>
          <w:between w:val="nil"/>
        </w:pBdr>
        <w:jc w:val="both"/>
        <w:rPr>
          <w:rFonts w:ascii="Aptos" w:hAnsi="Aptos"/>
          <w:color w:val="1A1A1A"/>
          <w:sz w:val="22"/>
          <w:szCs w:val="22"/>
          <w:lang w:val="en-CA"/>
        </w:rPr>
      </w:pPr>
      <w:r w:rsidRPr="005059C0">
        <w:rPr>
          <w:rFonts w:ascii="Aptos" w:hAnsi="Aptos"/>
          <w:color w:val="1A1A1A"/>
          <w:sz w:val="22"/>
          <w:szCs w:val="22"/>
          <w:lang w:val="en-CA"/>
        </w:rPr>
        <w:t xml:space="preserve">Recent work has confirmed widespread critical mineral enrichment including tungsten values up to 6,550 ppm W and indium values up to 334 ppm, alongside high-grade silver values up to 2,370 g/t Ag. </w:t>
      </w:r>
    </w:p>
    <w:p w14:paraId="4C1447D6" w14:textId="77777777" w:rsidR="005059C0" w:rsidRPr="005059C0" w:rsidRDefault="005059C0" w:rsidP="005059C0">
      <w:pPr>
        <w:pBdr>
          <w:top w:val="nil"/>
          <w:left w:val="nil"/>
          <w:bottom w:val="nil"/>
          <w:right w:val="nil"/>
          <w:between w:val="nil"/>
        </w:pBdr>
        <w:jc w:val="both"/>
        <w:rPr>
          <w:rFonts w:ascii="Aptos" w:hAnsi="Aptos"/>
          <w:color w:val="1A1A1A"/>
          <w:sz w:val="22"/>
          <w:szCs w:val="22"/>
          <w:lang w:val="en-CA"/>
        </w:rPr>
      </w:pPr>
    </w:p>
    <w:p w14:paraId="59BA1CFE" w14:textId="77777777" w:rsidR="005059C0" w:rsidRDefault="005059C0" w:rsidP="005059C0">
      <w:pPr>
        <w:pBdr>
          <w:top w:val="nil"/>
          <w:left w:val="nil"/>
          <w:bottom w:val="nil"/>
          <w:right w:val="nil"/>
          <w:between w:val="nil"/>
        </w:pBdr>
        <w:jc w:val="both"/>
        <w:rPr>
          <w:rFonts w:ascii="Aptos" w:hAnsi="Aptos"/>
          <w:color w:val="1A1A1A"/>
          <w:sz w:val="22"/>
          <w:szCs w:val="22"/>
          <w:lang w:val="en-CA"/>
        </w:rPr>
      </w:pPr>
      <w:r w:rsidRPr="005059C0">
        <w:rPr>
          <w:rFonts w:ascii="Aptos" w:hAnsi="Aptos"/>
          <w:color w:val="1A1A1A"/>
          <w:sz w:val="22"/>
          <w:szCs w:val="22"/>
          <w:lang w:val="en-CA"/>
        </w:rPr>
        <w:t xml:space="preserve">The technical and scientific information contained in this news release has been reviewed and approved by Raymond Wladichuk, </w:t>
      </w:r>
      <w:proofErr w:type="spellStart"/>
      <w:r w:rsidRPr="005059C0">
        <w:rPr>
          <w:rFonts w:ascii="Aptos" w:hAnsi="Aptos"/>
          <w:color w:val="1A1A1A"/>
          <w:sz w:val="22"/>
          <w:szCs w:val="22"/>
          <w:lang w:val="en-CA"/>
        </w:rPr>
        <w:t>P.Geo</w:t>
      </w:r>
      <w:proofErr w:type="spellEnd"/>
      <w:r w:rsidRPr="005059C0">
        <w:rPr>
          <w:rFonts w:ascii="Aptos" w:hAnsi="Aptos"/>
          <w:color w:val="1A1A1A"/>
          <w:sz w:val="22"/>
          <w:szCs w:val="22"/>
          <w:lang w:val="en-CA"/>
        </w:rPr>
        <w:t>., who is a non-independent Qualified Person as defined under NI 43-101 and a consultant of the Company.</w:t>
      </w:r>
    </w:p>
    <w:p w14:paraId="2C923B00" w14:textId="77777777" w:rsidR="005059C0" w:rsidRPr="005059C0" w:rsidRDefault="005059C0" w:rsidP="005059C0">
      <w:pPr>
        <w:pBdr>
          <w:top w:val="nil"/>
          <w:left w:val="nil"/>
          <w:bottom w:val="nil"/>
          <w:right w:val="nil"/>
          <w:between w:val="nil"/>
        </w:pBdr>
        <w:jc w:val="both"/>
        <w:rPr>
          <w:rFonts w:ascii="Aptos" w:hAnsi="Aptos"/>
          <w:color w:val="1A1A1A"/>
          <w:sz w:val="22"/>
          <w:szCs w:val="22"/>
          <w:lang w:val="en-CA"/>
        </w:rPr>
      </w:pPr>
    </w:p>
    <w:p w14:paraId="53F728EB" w14:textId="77777777" w:rsidR="005059C0" w:rsidRPr="005059C0" w:rsidRDefault="005059C0" w:rsidP="005059C0">
      <w:pPr>
        <w:pBdr>
          <w:top w:val="nil"/>
          <w:left w:val="nil"/>
          <w:bottom w:val="nil"/>
          <w:right w:val="nil"/>
          <w:between w:val="nil"/>
        </w:pBdr>
        <w:jc w:val="both"/>
        <w:rPr>
          <w:rFonts w:ascii="Aptos" w:hAnsi="Aptos"/>
          <w:color w:val="1A1A1A"/>
          <w:sz w:val="22"/>
          <w:szCs w:val="22"/>
          <w:lang w:val="en-CA"/>
        </w:rPr>
      </w:pPr>
      <w:r w:rsidRPr="005059C0">
        <w:rPr>
          <w:rFonts w:ascii="Aptos" w:hAnsi="Aptos"/>
          <w:color w:val="1A1A1A"/>
          <w:sz w:val="22"/>
          <w:szCs w:val="22"/>
          <w:lang w:val="en-CA"/>
        </w:rPr>
        <w:t>Neither the CSE nor its Regulation Services Provider (as that term is defined in the policies of the CSE) accepts responsibility for the adequacy or accuracy of this release.</w:t>
      </w:r>
    </w:p>
    <w:p w14:paraId="73A8266F" w14:textId="27C5BE6B" w:rsidR="00484E78" w:rsidRPr="00484E78" w:rsidRDefault="00484E78" w:rsidP="00484E78">
      <w:pPr>
        <w:pBdr>
          <w:top w:val="nil"/>
          <w:left w:val="nil"/>
          <w:bottom w:val="nil"/>
          <w:right w:val="nil"/>
          <w:between w:val="nil"/>
        </w:pBdr>
        <w:jc w:val="both"/>
        <w:rPr>
          <w:rFonts w:ascii="Aptos" w:hAnsi="Aptos"/>
          <w:color w:val="1A1A1A"/>
          <w:sz w:val="22"/>
          <w:szCs w:val="22"/>
          <w:lang w:val="en-CA"/>
        </w:rPr>
      </w:pPr>
    </w:p>
    <w:p w14:paraId="18373D49" w14:textId="77777777" w:rsidR="00484E78" w:rsidRDefault="00484E78" w:rsidP="00484E78">
      <w:pPr>
        <w:pBdr>
          <w:top w:val="nil"/>
          <w:left w:val="nil"/>
          <w:bottom w:val="nil"/>
          <w:right w:val="nil"/>
          <w:between w:val="nil"/>
        </w:pBdr>
        <w:spacing w:after="240" w:line="300" w:lineRule="auto"/>
        <w:rPr>
          <w:rFonts w:ascii="Aptos" w:hAnsi="Aptos"/>
          <w:b/>
          <w:bCs/>
          <w:color w:val="1A1A1A"/>
          <w:sz w:val="22"/>
          <w:szCs w:val="22"/>
          <w:lang w:val="en-CA"/>
        </w:rPr>
      </w:pPr>
    </w:p>
    <w:p w14:paraId="0000003D" w14:textId="52F0D2F6" w:rsidR="00051F4F" w:rsidRPr="005231C8" w:rsidRDefault="00716AC4" w:rsidP="005231C8">
      <w:pPr>
        <w:pBdr>
          <w:top w:val="nil"/>
          <w:left w:val="nil"/>
          <w:bottom w:val="nil"/>
          <w:right w:val="nil"/>
          <w:between w:val="nil"/>
        </w:pBdr>
        <w:spacing w:after="240" w:line="300" w:lineRule="auto"/>
        <w:jc w:val="center"/>
        <w:rPr>
          <w:color w:val="000000"/>
          <w:sz w:val="22"/>
          <w:szCs w:val="22"/>
          <w:highlight w:val="yellow"/>
        </w:rPr>
      </w:pPr>
      <w:r>
        <w:rPr>
          <w:noProof/>
          <w:color w:val="000000"/>
          <w:sz w:val="22"/>
          <w:szCs w:val="22"/>
        </w:rPr>
        <w:lastRenderedPageBreak/>
        <w:drawing>
          <wp:inline distT="0" distB="0" distL="0" distR="0" wp14:anchorId="7067DD75" wp14:editId="08AA139E">
            <wp:extent cx="5761990" cy="5076825"/>
            <wp:effectExtent l="0" t="0" r="0" b="9525"/>
            <wp:docPr id="1760339001" name="Picture 1" descr="A map of a gold h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39001" name="Picture 1" descr="A map of a gold have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5882" cy="5080254"/>
                    </a:xfrm>
                    <a:prstGeom prst="rect">
                      <a:avLst/>
                    </a:prstGeom>
                  </pic:spPr>
                </pic:pic>
              </a:graphicData>
            </a:graphic>
          </wp:inline>
        </w:drawing>
      </w:r>
      <w:r w:rsidR="00F64E94" w:rsidRPr="002C38BF">
        <w:rPr>
          <w:rFonts w:ascii="Aptos" w:hAnsi="Aptos"/>
          <w:b/>
          <w:bCs/>
          <w:color w:val="000000"/>
          <w:sz w:val="22"/>
          <w:szCs w:val="22"/>
        </w:rPr>
        <w:t xml:space="preserve">Figure </w:t>
      </w:r>
      <w:r w:rsidR="00484E78">
        <w:rPr>
          <w:rFonts w:ascii="Aptos" w:hAnsi="Aptos"/>
          <w:b/>
          <w:bCs/>
          <w:color w:val="000000"/>
          <w:sz w:val="22"/>
          <w:szCs w:val="22"/>
        </w:rPr>
        <w:t>1</w:t>
      </w:r>
      <w:r w:rsidR="005231C8">
        <w:rPr>
          <w:rFonts w:ascii="Aptos" w:hAnsi="Aptos"/>
          <w:color w:val="000000"/>
          <w:sz w:val="22"/>
          <w:szCs w:val="22"/>
        </w:rPr>
        <w:t>:</w:t>
      </w:r>
      <w:r w:rsidR="00F64E94" w:rsidRPr="00F64E94">
        <w:rPr>
          <w:rFonts w:ascii="Aptos" w:hAnsi="Aptos"/>
          <w:color w:val="000000"/>
          <w:sz w:val="22"/>
          <w:szCs w:val="22"/>
        </w:rPr>
        <w:t xml:space="preserve"> Magno map location with proximity to nearby companies</w:t>
      </w:r>
    </w:p>
    <w:p w14:paraId="17C9918E" w14:textId="77777777" w:rsidR="00CA3C42" w:rsidRDefault="00CA3C42">
      <w:pPr>
        <w:pBdr>
          <w:top w:val="nil"/>
          <w:left w:val="nil"/>
          <w:bottom w:val="nil"/>
          <w:right w:val="nil"/>
          <w:between w:val="nil"/>
        </w:pBdr>
        <w:shd w:val="clear" w:color="auto" w:fill="FFFFFF"/>
        <w:jc w:val="both"/>
        <w:rPr>
          <w:color w:val="000000"/>
          <w:highlight w:val="yellow"/>
        </w:rPr>
      </w:pPr>
    </w:p>
    <w:p w14:paraId="00000048" w14:textId="77777777" w:rsidR="00051F4F" w:rsidRPr="00C304BB" w:rsidRDefault="00000000" w:rsidP="00851361">
      <w:pPr>
        <w:pBdr>
          <w:top w:val="nil"/>
          <w:left w:val="nil"/>
          <w:bottom w:val="nil"/>
          <w:right w:val="nil"/>
          <w:between w:val="nil"/>
        </w:pBdr>
        <w:jc w:val="both"/>
        <w:rPr>
          <w:rFonts w:ascii="Aptos" w:hAnsi="Aptos"/>
          <w:b/>
          <w:bCs/>
          <w:i/>
          <w:iCs/>
          <w:color w:val="000000"/>
          <w:sz w:val="22"/>
          <w:szCs w:val="22"/>
        </w:rPr>
      </w:pPr>
      <w:r w:rsidRPr="00C304BB">
        <w:rPr>
          <w:rFonts w:ascii="Aptos" w:hAnsi="Aptos"/>
          <w:b/>
          <w:bCs/>
          <w:i/>
          <w:iCs/>
          <w:color w:val="000000"/>
          <w:sz w:val="22"/>
          <w:szCs w:val="22"/>
        </w:rPr>
        <w:t>About GoldHaven Resources Corp.</w:t>
      </w:r>
    </w:p>
    <w:p w14:paraId="00000049" w14:textId="77777777" w:rsidR="00051F4F" w:rsidRPr="00C304BB" w:rsidRDefault="00051F4F" w:rsidP="00851361">
      <w:pPr>
        <w:pBdr>
          <w:top w:val="nil"/>
          <w:left w:val="nil"/>
          <w:bottom w:val="nil"/>
          <w:right w:val="nil"/>
          <w:between w:val="nil"/>
        </w:pBdr>
        <w:jc w:val="both"/>
        <w:rPr>
          <w:rFonts w:ascii="Aptos" w:hAnsi="Aptos"/>
          <w:b/>
          <w:bCs/>
          <w:i/>
          <w:iCs/>
          <w:color w:val="000000"/>
          <w:sz w:val="22"/>
          <w:szCs w:val="22"/>
        </w:rPr>
      </w:pPr>
    </w:p>
    <w:p w14:paraId="0000004A" w14:textId="6BB704D1" w:rsidR="00051F4F" w:rsidRPr="00C304BB" w:rsidRDefault="00000000" w:rsidP="007B1C0E">
      <w:pPr>
        <w:pBdr>
          <w:top w:val="nil"/>
          <w:left w:val="nil"/>
          <w:bottom w:val="nil"/>
          <w:right w:val="nil"/>
          <w:between w:val="nil"/>
        </w:pBdr>
        <w:spacing w:after="120"/>
        <w:jc w:val="both"/>
        <w:rPr>
          <w:rFonts w:ascii="Aptos" w:hAnsi="Aptos"/>
          <w:color w:val="000000"/>
          <w:sz w:val="22"/>
          <w:szCs w:val="22"/>
        </w:rPr>
      </w:pPr>
      <w:bookmarkStart w:id="0" w:name="_heading=h.sx9hl47q62pz" w:colFirst="0" w:colLast="0"/>
      <w:bookmarkEnd w:id="0"/>
      <w:r w:rsidRPr="00C304BB">
        <w:rPr>
          <w:rFonts w:ascii="Aptos" w:hAnsi="Aptos"/>
          <w:color w:val="000000"/>
          <w:sz w:val="22"/>
          <w:szCs w:val="22"/>
        </w:rPr>
        <w:t xml:space="preserve">GoldHaven Resources Corp. is a Canadian junior exploration Company focused on acquiring and exploring highly prospective land packages in North and South America. The Company’s projects include the flagship Magno Project, a district-scale polymetallic property adjacent to the historic Cassiar mining district in British Columbia. The Three Guardsman Project, which exhibits significant potential for copper and gold-skarn mineralization. The </w:t>
      </w:r>
      <w:proofErr w:type="spellStart"/>
      <w:r w:rsidRPr="00C304BB">
        <w:rPr>
          <w:rFonts w:ascii="Aptos" w:hAnsi="Aptos"/>
          <w:color w:val="000000"/>
          <w:sz w:val="22"/>
          <w:szCs w:val="22"/>
        </w:rPr>
        <w:t>Copeçal</w:t>
      </w:r>
      <w:proofErr w:type="spellEnd"/>
      <w:r w:rsidRPr="00C304BB">
        <w:rPr>
          <w:rFonts w:ascii="Aptos" w:hAnsi="Aptos"/>
          <w:color w:val="000000"/>
          <w:sz w:val="22"/>
          <w:szCs w:val="22"/>
        </w:rPr>
        <w:t xml:space="preserve"> Gold Project, a drill-ready gold project located in Mato Grosso, Brazil with a 6km strike of anomalous gold in soil samples. Three Critical Mineral projects with extensive tenement packages </w:t>
      </w:r>
      <w:proofErr w:type="spellStart"/>
      <w:r w:rsidRPr="00C304BB">
        <w:rPr>
          <w:rFonts w:ascii="Aptos" w:hAnsi="Aptos"/>
          <w:color w:val="000000"/>
          <w:sz w:val="22"/>
          <w:szCs w:val="22"/>
        </w:rPr>
        <w:t>totalling</w:t>
      </w:r>
      <w:proofErr w:type="spellEnd"/>
      <w:r w:rsidRPr="00C304BB">
        <w:rPr>
          <w:rFonts w:ascii="Aptos" w:hAnsi="Aptos"/>
          <w:color w:val="000000"/>
          <w:sz w:val="22"/>
          <w:szCs w:val="22"/>
        </w:rPr>
        <w:t xml:space="preserve"> 123,900 hectares: Bahia South, Bahia North and </w:t>
      </w:r>
      <w:proofErr w:type="spellStart"/>
      <w:r w:rsidRPr="00C304BB">
        <w:rPr>
          <w:rFonts w:ascii="Aptos" w:hAnsi="Aptos"/>
          <w:color w:val="000000"/>
          <w:sz w:val="22"/>
          <w:szCs w:val="22"/>
        </w:rPr>
        <w:t>Iguatu</w:t>
      </w:r>
      <w:proofErr w:type="spellEnd"/>
      <w:r w:rsidRPr="00C304BB">
        <w:rPr>
          <w:rFonts w:ascii="Aptos" w:hAnsi="Aptos"/>
          <w:color w:val="000000"/>
          <w:sz w:val="22"/>
          <w:szCs w:val="22"/>
        </w:rPr>
        <w:t xml:space="preserve"> projects located in Brazil. </w:t>
      </w:r>
    </w:p>
    <w:p w14:paraId="0000004B" w14:textId="1779BCDE" w:rsidR="0065046E" w:rsidRDefault="0065046E">
      <w:pPr>
        <w:rPr>
          <w:rFonts w:ascii="Aptos" w:hAnsi="Aptos"/>
          <w:b/>
          <w:bCs/>
          <w:color w:val="000000"/>
          <w:sz w:val="22"/>
          <w:szCs w:val="22"/>
        </w:rPr>
      </w:pPr>
      <w:r>
        <w:rPr>
          <w:rFonts w:ascii="Aptos" w:hAnsi="Aptos"/>
          <w:b/>
          <w:bCs/>
          <w:color w:val="000000"/>
          <w:sz w:val="22"/>
          <w:szCs w:val="22"/>
        </w:rPr>
        <w:br w:type="page"/>
      </w:r>
    </w:p>
    <w:p w14:paraId="344F4A1F" w14:textId="77777777" w:rsidR="00051F4F" w:rsidRPr="00C304BB" w:rsidRDefault="00051F4F">
      <w:pPr>
        <w:pBdr>
          <w:top w:val="nil"/>
          <w:left w:val="nil"/>
          <w:bottom w:val="nil"/>
          <w:right w:val="nil"/>
          <w:between w:val="nil"/>
        </w:pBdr>
        <w:jc w:val="both"/>
        <w:rPr>
          <w:rFonts w:ascii="Aptos" w:hAnsi="Aptos"/>
          <w:b/>
          <w:bCs/>
          <w:color w:val="000000"/>
          <w:sz w:val="22"/>
          <w:szCs w:val="22"/>
        </w:rPr>
      </w:pPr>
    </w:p>
    <w:p w14:paraId="0000004C" w14:textId="77777777" w:rsidR="00051F4F" w:rsidRPr="00C304BB" w:rsidRDefault="00000000">
      <w:pPr>
        <w:pBdr>
          <w:top w:val="nil"/>
          <w:left w:val="nil"/>
          <w:bottom w:val="nil"/>
          <w:right w:val="nil"/>
          <w:between w:val="nil"/>
        </w:pBdr>
        <w:jc w:val="both"/>
        <w:rPr>
          <w:rFonts w:ascii="Aptos" w:hAnsi="Aptos"/>
          <w:b/>
          <w:bCs/>
          <w:color w:val="000000"/>
          <w:sz w:val="22"/>
          <w:szCs w:val="22"/>
        </w:rPr>
      </w:pPr>
      <w:r w:rsidRPr="00C304BB">
        <w:rPr>
          <w:rFonts w:ascii="Aptos" w:hAnsi="Aptos"/>
          <w:b/>
          <w:bCs/>
          <w:color w:val="000000"/>
          <w:sz w:val="22"/>
          <w:szCs w:val="22"/>
        </w:rPr>
        <w:t xml:space="preserve">On Behalf of the Board of Directors </w:t>
      </w:r>
    </w:p>
    <w:p w14:paraId="0000004D" w14:textId="77777777" w:rsidR="00051F4F" w:rsidRPr="00C304BB" w:rsidRDefault="00051F4F">
      <w:pPr>
        <w:pBdr>
          <w:top w:val="nil"/>
          <w:left w:val="nil"/>
          <w:bottom w:val="nil"/>
          <w:right w:val="nil"/>
          <w:between w:val="nil"/>
        </w:pBdr>
        <w:spacing w:line="216" w:lineRule="auto"/>
        <w:jc w:val="both"/>
        <w:rPr>
          <w:rFonts w:ascii="Aptos" w:hAnsi="Aptos"/>
          <w:color w:val="000000"/>
          <w:sz w:val="22"/>
          <w:szCs w:val="22"/>
        </w:rPr>
      </w:pPr>
    </w:p>
    <w:p w14:paraId="0000004E" w14:textId="77777777" w:rsidR="00051F4F" w:rsidRPr="00C304BB" w:rsidRDefault="00000000">
      <w:pPr>
        <w:pBdr>
          <w:top w:val="nil"/>
          <w:left w:val="nil"/>
          <w:bottom w:val="nil"/>
          <w:right w:val="nil"/>
          <w:between w:val="nil"/>
        </w:pBdr>
        <w:jc w:val="both"/>
        <w:rPr>
          <w:rFonts w:ascii="Aptos" w:hAnsi="Aptos"/>
          <w:i/>
          <w:iCs/>
          <w:color w:val="000000"/>
          <w:sz w:val="22"/>
          <w:szCs w:val="22"/>
        </w:rPr>
      </w:pPr>
      <w:r w:rsidRPr="00C304BB">
        <w:rPr>
          <w:rFonts w:ascii="Aptos" w:hAnsi="Aptos"/>
          <w:i/>
          <w:iCs/>
          <w:color w:val="000000"/>
          <w:sz w:val="22"/>
          <w:szCs w:val="22"/>
        </w:rPr>
        <w:t>Rob Birmingham, Chief Executive Officer</w:t>
      </w:r>
    </w:p>
    <w:p w14:paraId="0000004F" w14:textId="77777777" w:rsidR="00051F4F" w:rsidRPr="00C304BB" w:rsidRDefault="00051F4F">
      <w:pPr>
        <w:pBdr>
          <w:top w:val="nil"/>
          <w:left w:val="nil"/>
          <w:bottom w:val="nil"/>
          <w:right w:val="nil"/>
          <w:between w:val="nil"/>
        </w:pBdr>
        <w:jc w:val="both"/>
        <w:rPr>
          <w:rFonts w:ascii="Aptos" w:hAnsi="Aptos"/>
          <w:color w:val="000000"/>
          <w:sz w:val="22"/>
          <w:szCs w:val="22"/>
        </w:rPr>
      </w:pPr>
    </w:p>
    <w:p w14:paraId="00000050" w14:textId="77777777" w:rsidR="00051F4F" w:rsidRPr="00C304BB" w:rsidRDefault="00000000">
      <w:pPr>
        <w:pBdr>
          <w:top w:val="nil"/>
          <w:left w:val="nil"/>
          <w:bottom w:val="nil"/>
          <w:right w:val="nil"/>
          <w:between w:val="nil"/>
        </w:pBdr>
        <w:jc w:val="both"/>
        <w:rPr>
          <w:rFonts w:ascii="Aptos" w:hAnsi="Aptos"/>
          <w:color w:val="000000"/>
        </w:rPr>
      </w:pPr>
      <w:r w:rsidRPr="00C304BB">
        <w:rPr>
          <w:rFonts w:ascii="Aptos" w:hAnsi="Aptos"/>
          <w:b/>
          <w:bCs/>
          <w:color w:val="000000"/>
          <w:sz w:val="22"/>
          <w:szCs w:val="22"/>
        </w:rPr>
        <w:t xml:space="preserve">For further information, please contact: </w:t>
      </w:r>
    </w:p>
    <w:p w14:paraId="00000051" w14:textId="77777777" w:rsidR="00051F4F" w:rsidRPr="00C304BB" w:rsidRDefault="00000000">
      <w:pPr>
        <w:pBdr>
          <w:top w:val="nil"/>
          <w:left w:val="nil"/>
          <w:bottom w:val="nil"/>
          <w:right w:val="nil"/>
          <w:between w:val="nil"/>
        </w:pBdr>
        <w:spacing w:line="300" w:lineRule="auto"/>
        <w:jc w:val="both"/>
        <w:rPr>
          <w:rFonts w:ascii="Aptos" w:hAnsi="Aptos"/>
          <w:color w:val="000000"/>
          <w:sz w:val="22"/>
          <w:szCs w:val="22"/>
        </w:rPr>
      </w:pPr>
      <w:r w:rsidRPr="00C304BB">
        <w:rPr>
          <w:rFonts w:ascii="Aptos" w:hAnsi="Aptos"/>
          <w:b/>
          <w:bCs/>
          <w:color w:val="000000"/>
          <w:sz w:val="22"/>
          <w:szCs w:val="22"/>
        </w:rPr>
        <w:t>Rob Birmingham, CEO</w:t>
      </w:r>
    </w:p>
    <w:p w14:paraId="00000052" w14:textId="77777777" w:rsidR="00051F4F" w:rsidRPr="00C304BB" w:rsidRDefault="00051F4F">
      <w:pPr>
        <w:pBdr>
          <w:top w:val="nil"/>
          <w:left w:val="nil"/>
          <w:bottom w:val="nil"/>
          <w:right w:val="nil"/>
          <w:between w:val="nil"/>
        </w:pBdr>
        <w:spacing w:line="300" w:lineRule="auto"/>
        <w:jc w:val="both"/>
        <w:rPr>
          <w:rFonts w:ascii="Aptos" w:hAnsi="Aptos"/>
          <w:b/>
          <w:bCs/>
          <w:color w:val="000000"/>
          <w:sz w:val="22"/>
          <w:szCs w:val="22"/>
        </w:rPr>
      </w:pPr>
      <w:hyperlink r:id="rId11">
        <w:r w:rsidRPr="00C304BB">
          <w:rPr>
            <w:rFonts w:ascii="Aptos" w:hAnsi="Aptos"/>
            <w:b/>
            <w:bCs/>
            <w:color w:val="000000"/>
            <w:sz w:val="22"/>
            <w:szCs w:val="22"/>
            <w:u w:val="single"/>
          </w:rPr>
          <w:t>www.GoldHavenresources.com</w:t>
        </w:r>
      </w:hyperlink>
    </w:p>
    <w:p w14:paraId="00000053" w14:textId="77777777" w:rsidR="00051F4F" w:rsidRPr="00C304BB" w:rsidRDefault="00051F4F">
      <w:pPr>
        <w:pBdr>
          <w:top w:val="nil"/>
          <w:left w:val="nil"/>
          <w:bottom w:val="nil"/>
          <w:right w:val="nil"/>
          <w:between w:val="nil"/>
        </w:pBdr>
        <w:spacing w:line="300" w:lineRule="auto"/>
        <w:jc w:val="both"/>
        <w:rPr>
          <w:rFonts w:ascii="Aptos" w:hAnsi="Aptos"/>
          <w:b/>
          <w:bCs/>
          <w:color w:val="000000"/>
          <w:sz w:val="22"/>
          <w:szCs w:val="22"/>
        </w:rPr>
      </w:pPr>
      <w:hyperlink r:id="rId12">
        <w:r w:rsidRPr="00C304BB">
          <w:rPr>
            <w:rFonts w:ascii="Aptos" w:hAnsi="Aptos"/>
            <w:color w:val="000000"/>
            <w:sz w:val="22"/>
            <w:szCs w:val="22"/>
            <w:u w:val="single"/>
          </w:rPr>
          <w:t>info@goldhavenresources.com</w:t>
        </w:r>
      </w:hyperlink>
    </w:p>
    <w:p w14:paraId="00000054" w14:textId="77777777" w:rsidR="00051F4F" w:rsidRPr="00C304BB" w:rsidRDefault="00000000">
      <w:pPr>
        <w:pBdr>
          <w:top w:val="nil"/>
          <w:left w:val="nil"/>
          <w:bottom w:val="nil"/>
          <w:right w:val="nil"/>
          <w:between w:val="nil"/>
        </w:pBdr>
        <w:spacing w:line="300" w:lineRule="auto"/>
        <w:jc w:val="both"/>
        <w:rPr>
          <w:rFonts w:ascii="Aptos" w:hAnsi="Aptos"/>
          <w:b/>
          <w:bCs/>
          <w:color w:val="000000"/>
          <w:sz w:val="22"/>
          <w:szCs w:val="22"/>
        </w:rPr>
      </w:pPr>
      <w:r w:rsidRPr="00C304BB">
        <w:rPr>
          <w:rFonts w:ascii="Aptos" w:hAnsi="Aptos"/>
          <w:b/>
          <w:bCs/>
          <w:color w:val="000000"/>
          <w:sz w:val="22"/>
          <w:szCs w:val="22"/>
        </w:rPr>
        <w:t>Office Direct: (604) 629-8254</w:t>
      </w:r>
    </w:p>
    <w:p w14:paraId="00000055" w14:textId="77777777" w:rsidR="00051F4F" w:rsidRPr="00C304BB" w:rsidRDefault="00051F4F">
      <w:pPr>
        <w:pBdr>
          <w:top w:val="nil"/>
          <w:left w:val="nil"/>
          <w:bottom w:val="nil"/>
          <w:right w:val="nil"/>
          <w:between w:val="nil"/>
        </w:pBdr>
        <w:shd w:val="clear" w:color="auto" w:fill="FFFFFF"/>
        <w:jc w:val="both"/>
        <w:rPr>
          <w:rFonts w:ascii="Aptos" w:hAnsi="Aptos"/>
          <w:b/>
          <w:bCs/>
          <w:i/>
          <w:iCs/>
          <w:color w:val="212121"/>
          <w:sz w:val="22"/>
          <w:szCs w:val="22"/>
        </w:rPr>
      </w:pPr>
    </w:p>
    <w:p w14:paraId="00000056" w14:textId="77777777" w:rsidR="00051F4F" w:rsidRPr="00C304BB" w:rsidRDefault="00051F4F">
      <w:pPr>
        <w:pBdr>
          <w:top w:val="nil"/>
          <w:left w:val="nil"/>
          <w:bottom w:val="nil"/>
          <w:right w:val="nil"/>
          <w:between w:val="nil"/>
        </w:pBdr>
        <w:shd w:val="clear" w:color="auto" w:fill="FFFFFF"/>
        <w:spacing w:line="144" w:lineRule="auto"/>
        <w:jc w:val="both"/>
        <w:rPr>
          <w:rFonts w:ascii="Aptos" w:hAnsi="Aptos"/>
          <w:b/>
          <w:bCs/>
          <w:i/>
          <w:iCs/>
          <w:color w:val="212121"/>
          <w:sz w:val="22"/>
          <w:szCs w:val="22"/>
        </w:rPr>
      </w:pPr>
    </w:p>
    <w:p w14:paraId="00000057" w14:textId="77777777" w:rsidR="00051F4F" w:rsidRPr="00C304BB" w:rsidRDefault="00000000">
      <w:pPr>
        <w:pBdr>
          <w:top w:val="nil"/>
          <w:left w:val="nil"/>
          <w:bottom w:val="nil"/>
          <w:right w:val="nil"/>
          <w:between w:val="nil"/>
        </w:pBdr>
        <w:spacing w:after="140" w:line="300" w:lineRule="auto"/>
        <w:jc w:val="both"/>
        <w:rPr>
          <w:rFonts w:ascii="Aptos" w:hAnsi="Aptos"/>
          <w:b/>
          <w:bCs/>
          <w:color w:val="000000"/>
          <w:sz w:val="22"/>
          <w:szCs w:val="22"/>
        </w:rPr>
      </w:pPr>
      <w:r w:rsidRPr="00C304BB">
        <w:rPr>
          <w:rFonts w:ascii="Aptos" w:hAnsi="Aptos"/>
          <w:b/>
          <w:bCs/>
          <w:color w:val="000000"/>
          <w:sz w:val="22"/>
          <w:szCs w:val="22"/>
        </w:rPr>
        <w:t>Qualified Person:</w:t>
      </w:r>
    </w:p>
    <w:p w14:paraId="00000058" w14:textId="41058355" w:rsidR="00051F4F" w:rsidRPr="00C304BB" w:rsidRDefault="00000000">
      <w:pPr>
        <w:pBdr>
          <w:top w:val="nil"/>
          <w:left w:val="nil"/>
          <w:bottom w:val="nil"/>
          <w:right w:val="nil"/>
          <w:between w:val="nil"/>
        </w:pBdr>
        <w:jc w:val="both"/>
        <w:rPr>
          <w:rFonts w:ascii="Aptos" w:hAnsi="Aptos"/>
          <w:color w:val="000000"/>
        </w:rPr>
      </w:pPr>
      <w:r w:rsidRPr="00C304BB">
        <w:rPr>
          <w:rFonts w:ascii="Aptos" w:hAnsi="Aptos"/>
          <w:color w:val="000000"/>
        </w:rPr>
        <w:t xml:space="preserve">The technical and scientific information contained in this news release has been reviewed and approved by </w:t>
      </w:r>
      <w:r w:rsidR="00484E78">
        <w:rPr>
          <w:rFonts w:ascii="Aptos" w:hAnsi="Aptos"/>
          <w:color w:val="000000"/>
        </w:rPr>
        <w:t>Raymond Wladichuk</w:t>
      </w:r>
      <w:r w:rsidRPr="00C304BB">
        <w:rPr>
          <w:rFonts w:ascii="Aptos" w:hAnsi="Aptos"/>
          <w:color w:val="000000"/>
        </w:rPr>
        <w:t xml:space="preserve"> </w:t>
      </w:r>
      <w:proofErr w:type="spellStart"/>
      <w:r w:rsidRPr="00C304BB">
        <w:rPr>
          <w:rFonts w:ascii="Aptos" w:hAnsi="Aptos"/>
          <w:color w:val="000000"/>
        </w:rPr>
        <w:t>P.Geo</w:t>
      </w:r>
      <w:proofErr w:type="spellEnd"/>
      <w:r w:rsidRPr="00C304BB">
        <w:rPr>
          <w:rFonts w:ascii="Aptos" w:hAnsi="Aptos"/>
          <w:color w:val="000000"/>
        </w:rPr>
        <w:t xml:space="preserve">. who is </w:t>
      </w:r>
      <w:r w:rsidR="00B93CC7" w:rsidRPr="00C304BB">
        <w:rPr>
          <w:rFonts w:ascii="Aptos" w:hAnsi="Aptos"/>
          <w:color w:val="000000"/>
        </w:rPr>
        <w:t>a</w:t>
      </w:r>
      <w:r w:rsidR="00716AC4" w:rsidRPr="00C304BB">
        <w:rPr>
          <w:rFonts w:ascii="Aptos" w:hAnsi="Aptos"/>
          <w:color w:val="000000"/>
        </w:rPr>
        <w:t xml:space="preserve"> </w:t>
      </w:r>
      <w:r w:rsidR="00484E78">
        <w:rPr>
          <w:rFonts w:ascii="Aptos" w:hAnsi="Aptos"/>
          <w:color w:val="000000"/>
        </w:rPr>
        <w:t xml:space="preserve">non-independent </w:t>
      </w:r>
      <w:r w:rsidRPr="00C304BB">
        <w:rPr>
          <w:rFonts w:ascii="Aptos" w:hAnsi="Aptos"/>
          <w:color w:val="000000"/>
        </w:rPr>
        <w:t>Qualified Person as defined under NI 43-101 and a consultant of the Company.</w:t>
      </w:r>
    </w:p>
    <w:p w14:paraId="00000059" w14:textId="77777777" w:rsidR="00051F4F" w:rsidRDefault="00051F4F">
      <w:pPr>
        <w:pBdr>
          <w:top w:val="nil"/>
          <w:left w:val="nil"/>
          <w:bottom w:val="nil"/>
          <w:right w:val="nil"/>
          <w:between w:val="nil"/>
        </w:pBdr>
        <w:shd w:val="clear" w:color="auto" w:fill="FFFFFF"/>
        <w:jc w:val="both"/>
        <w:rPr>
          <w:color w:val="000000"/>
          <w:sz w:val="22"/>
          <w:szCs w:val="22"/>
        </w:rPr>
      </w:pPr>
    </w:p>
    <w:p w14:paraId="069B98D1" w14:textId="307DFBDE" w:rsidR="005059C0" w:rsidRDefault="00000000" w:rsidP="007B1C0E">
      <w:pPr>
        <w:pBdr>
          <w:top w:val="nil"/>
          <w:left w:val="nil"/>
          <w:bottom w:val="nil"/>
          <w:right w:val="nil"/>
          <w:between w:val="nil"/>
        </w:pBdr>
        <w:shd w:val="clear" w:color="auto" w:fill="FFFFFF"/>
        <w:jc w:val="both"/>
        <w:rPr>
          <w:color w:val="FFFFFF"/>
          <w:sz w:val="20"/>
          <w:szCs w:val="20"/>
          <w:highlight w:val="black"/>
        </w:rPr>
      </w:pPr>
      <w:r>
        <w:rPr>
          <w:i/>
          <w:iCs/>
          <w:color w:val="212121"/>
          <w:sz w:val="20"/>
          <w:szCs w:val="20"/>
        </w:rPr>
        <w:t xml:space="preserve">Neither the CSE nor its Regulation Services Provider (as that term is defined in the policies of the CSE- Canadian Securities Exchange) accepts responsibility for the adequacy or accuracy of this release. </w:t>
      </w:r>
    </w:p>
    <w:p w14:paraId="2CEF6D32" w14:textId="77777777" w:rsidR="007B1C0E" w:rsidRPr="007B1C0E" w:rsidRDefault="007B1C0E" w:rsidP="007B1C0E">
      <w:pPr>
        <w:pBdr>
          <w:top w:val="nil"/>
          <w:left w:val="nil"/>
          <w:bottom w:val="nil"/>
          <w:right w:val="nil"/>
          <w:between w:val="nil"/>
        </w:pBdr>
        <w:shd w:val="clear" w:color="auto" w:fill="FFFFFF"/>
        <w:jc w:val="both"/>
        <w:rPr>
          <w:color w:val="FFFFFF"/>
          <w:sz w:val="20"/>
          <w:szCs w:val="20"/>
          <w:highlight w:val="black"/>
        </w:rPr>
      </w:pPr>
    </w:p>
    <w:p w14:paraId="1A424353" w14:textId="77777777" w:rsidR="005059C0" w:rsidRPr="004041F8" w:rsidRDefault="005059C0" w:rsidP="005059C0">
      <w:pPr>
        <w:pBdr>
          <w:top w:val="nil"/>
          <w:left w:val="nil"/>
          <w:bottom w:val="nil"/>
          <w:right w:val="nil"/>
          <w:between w:val="nil"/>
        </w:pBdr>
        <w:shd w:val="clear" w:color="auto" w:fill="FFFFFF"/>
        <w:jc w:val="both"/>
        <w:rPr>
          <w:b/>
          <w:bCs/>
          <w:i/>
          <w:iCs/>
          <w:color w:val="212121"/>
          <w:sz w:val="22"/>
        </w:rPr>
      </w:pPr>
      <w:r w:rsidRPr="004041F8">
        <w:rPr>
          <w:b/>
          <w:bCs/>
          <w:i/>
          <w:iCs/>
          <w:color w:val="212121"/>
          <w:sz w:val="22"/>
        </w:rPr>
        <w:t xml:space="preserve">Cautionary Statements Regarding Forward Looking Information </w:t>
      </w:r>
    </w:p>
    <w:p w14:paraId="7B1D7FDF" w14:textId="77777777" w:rsidR="005059C0" w:rsidRDefault="005059C0" w:rsidP="005059C0">
      <w:pPr>
        <w:pBdr>
          <w:top w:val="nil"/>
          <w:left w:val="nil"/>
          <w:bottom w:val="nil"/>
          <w:right w:val="nil"/>
          <w:between w:val="nil"/>
        </w:pBdr>
        <w:jc w:val="both"/>
        <w:rPr>
          <w:i/>
          <w:iCs/>
          <w:color w:val="000000"/>
          <w:sz w:val="21"/>
          <w:szCs w:val="21"/>
        </w:rPr>
      </w:pPr>
    </w:p>
    <w:p w14:paraId="35BF7B1C" w14:textId="77777777" w:rsidR="005059C0" w:rsidRPr="004041F8" w:rsidRDefault="005059C0" w:rsidP="005059C0">
      <w:pPr>
        <w:pBdr>
          <w:top w:val="nil"/>
          <w:left w:val="nil"/>
          <w:bottom w:val="nil"/>
          <w:right w:val="nil"/>
          <w:between w:val="nil"/>
        </w:pBdr>
        <w:jc w:val="both"/>
        <w:rPr>
          <w:i/>
          <w:iCs/>
          <w:color w:val="000000"/>
          <w:sz w:val="21"/>
          <w:szCs w:val="21"/>
        </w:rPr>
      </w:pPr>
      <w:r w:rsidRPr="004041F8">
        <w:rPr>
          <w:i/>
          <w:iCs/>
          <w:color w:val="000000"/>
          <w:sz w:val="21"/>
          <w:szCs w:val="21"/>
        </w:rPr>
        <w:t>This news release contains forward-looking statements and forward-looking information (collectively, "forward looking statements") within the meaning of applicable Canadian and U.S. securities legislation, including the United States Private Securities Litigation Reform Act of 1995. All statements, other than statements of historical fact, included herein including, without limitation, those listed below under the heading “</w:t>
      </w:r>
      <w:r w:rsidRPr="004041F8">
        <w:rPr>
          <w:bCs/>
          <w:i/>
          <w:iCs/>
          <w:color w:val="000000"/>
          <w:sz w:val="21"/>
          <w:szCs w:val="21"/>
        </w:rPr>
        <w:t>Forward-Looking Statements in This News Release”</w:t>
      </w:r>
      <w:r w:rsidRPr="004041F8">
        <w:rPr>
          <w:i/>
          <w:iCs/>
          <w:color w:val="000000"/>
          <w:sz w:val="21"/>
          <w:szCs w:val="21"/>
        </w:rPr>
        <w:t xml:space="preserve"> are forward-looking statements. Although the Company believes that such statements are reasonable, it can give no assurance that such expectations will prove to be correct. Forward-looking statements are typically identified by words such as: "believes", "will", "expects", "anticipates", "intends", "estimates", "plans", "may", "should", "potential", "scheduled", or variations of such words and phrases and similar expressions, which, by their nature, refer to future events or results that may, could, would, might or will occur or be taken or achieved. In making the forward-looking statements in this news release, the Company has applied several material assumptions, including without limitation, that there will be investor interest in future financings, market fundamentals will result in sustained precious metals demand and prices, the receipt of any necessary permits, licenses and regulatory approvals in connection with the future exploration and development of any future projects in a timely manner, the availability of financing on suitable terms for exploration and development of future projects and the Company's ability to comply with environmental, health and safety laws.</w:t>
      </w:r>
    </w:p>
    <w:p w14:paraId="0DE2A6A2" w14:textId="77777777" w:rsidR="005059C0" w:rsidRPr="004041F8" w:rsidRDefault="005059C0" w:rsidP="005059C0">
      <w:pPr>
        <w:pBdr>
          <w:top w:val="nil"/>
          <w:left w:val="nil"/>
          <w:bottom w:val="nil"/>
          <w:right w:val="nil"/>
          <w:between w:val="nil"/>
        </w:pBdr>
        <w:jc w:val="both"/>
        <w:rPr>
          <w:color w:val="000000"/>
          <w:sz w:val="21"/>
          <w:szCs w:val="21"/>
        </w:rPr>
      </w:pPr>
    </w:p>
    <w:p w14:paraId="72BFD2B3" w14:textId="77777777" w:rsidR="00851361" w:rsidRDefault="005059C0" w:rsidP="005059C0">
      <w:pPr>
        <w:pBdr>
          <w:top w:val="nil"/>
          <w:left w:val="nil"/>
          <w:bottom w:val="nil"/>
          <w:right w:val="nil"/>
          <w:between w:val="nil"/>
        </w:pBdr>
        <w:jc w:val="both"/>
        <w:rPr>
          <w:i/>
          <w:iCs/>
          <w:color w:val="000000"/>
          <w:sz w:val="21"/>
          <w:szCs w:val="21"/>
        </w:rPr>
      </w:pPr>
      <w:r w:rsidRPr="004041F8">
        <w:rPr>
          <w:i/>
          <w:iCs/>
          <w:color w:val="000000"/>
          <w:sz w:val="21"/>
          <w:szCs w:val="21"/>
        </w:rPr>
        <w:t xml:space="preserve">The Company cautions investors that any forward-looking statements by the Company are not guarantees of future results or performance, and that actual results may differ materially from those in forward-looking statements as a result of various factors, including, operating and technical difficulties in connection with mineral exploration and development activities, actual results of exploration activities, the estimation or realization of mineral reserves and mineral resources, the inability of the Company to obtain the necessary financing required to conduct its business and affairs, as currently contemplated, , the inability of the Company to enter into definitive agreements in respect of possible Letters of Intent, the timing and amount of estimated future production, the costs of production, capital expenditures, the costs and timing of the development of new deposits, requirements for additional capital, future prices of precious metals, changes in general economic conditions, changes in the financial markets and in the demand and market price for commodities, lack of investor interest in future financings, accidents, </w:t>
      </w:r>
      <w:proofErr w:type="spellStart"/>
      <w:r w:rsidRPr="004041F8">
        <w:rPr>
          <w:i/>
          <w:iCs/>
          <w:color w:val="000000"/>
          <w:sz w:val="21"/>
          <w:szCs w:val="21"/>
        </w:rPr>
        <w:t>labour</w:t>
      </w:r>
      <w:proofErr w:type="spellEnd"/>
      <w:r w:rsidRPr="004041F8">
        <w:rPr>
          <w:i/>
          <w:iCs/>
          <w:color w:val="000000"/>
          <w:sz w:val="21"/>
          <w:szCs w:val="21"/>
        </w:rPr>
        <w:t xml:space="preserve"> disputes and other risks of the mining industry, delays in obtaining governmental approvals, permits or financing or in the completion of development or construction </w:t>
      </w:r>
    </w:p>
    <w:p w14:paraId="475428DE" w14:textId="77777777" w:rsidR="00851361" w:rsidRDefault="00851361" w:rsidP="005059C0">
      <w:pPr>
        <w:pBdr>
          <w:top w:val="nil"/>
          <w:left w:val="nil"/>
          <w:bottom w:val="nil"/>
          <w:right w:val="nil"/>
          <w:between w:val="nil"/>
        </w:pBdr>
        <w:jc w:val="both"/>
        <w:rPr>
          <w:i/>
          <w:iCs/>
          <w:color w:val="000000"/>
          <w:sz w:val="21"/>
          <w:szCs w:val="21"/>
        </w:rPr>
      </w:pPr>
    </w:p>
    <w:p w14:paraId="4B1F56F0" w14:textId="440322A0" w:rsidR="005059C0" w:rsidRPr="004041F8" w:rsidRDefault="005059C0" w:rsidP="005059C0">
      <w:pPr>
        <w:pBdr>
          <w:top w:val="nil"/>
          <w:left w:val="nil"/>
          <w:bottom w:val="nil"/>
          <w:right w:val="nil"/>
          <w:between w:val="nil"/>
        </w:pBdr>
        <w:jc w:val="both"/>
        <w:rPr>
          <w:i/>
          <w:iCs/>
          <w:color w:val="000000"/>
          <w:sz w:val="21"/>
          <w:szCs w:val="21"/>
        </w:rPr>
      </w:pPr>
      <w:r w:rsidRPr="004041F8">
        <w:rPr>
          <w:i/>
          <w:iCs/>
          <w:color w:val="000000"/>
          <w:sz w:val="21"/>
          <w:szCs w:val="21"/>
        </w:rPr>
        <w:t>activities, changes in laws, regulations and policies affecting mining operations, title disputes, the inability of the Company to obtain any necessary permits, consents, approvals or authorizations, including by the Exchange, the timing and possible outcome of any pending litigation, environmental issues and liabilities, and risks related to joint venture operations, and other risks and uncertainties disclosed in the Company's latest interim Management's Discussion and Analysis and filed with certain securities commissions in Canada. All of the Company's Canadian public disclosure filings may be accessed via www.sedarplus.ca and readers are urged to review these materials.</w:t>
      </w:r>
    </w:p>
    <w:p w14:paraId="0C5716F9" w14:textId="77777777" w:rsidR="005059C0" w:rsidRPr="004041F8" w:rsidRDefault="005059C0" w:rsidP="005059C0">
      <w:pPr>
        <w:pBdr>
          <w:top w:val="nil"/>
          <w:left w:val="nil"/>
          <w:bottom w:val="nil"/>
          <w:right w:val="nil"/>
          <w:between w:val="nil"/>
        </w:pBdr>
        <w:jc w:val="both"/>
        <w:rPr>
          <w:i/>
          <w:iCs/>
          <w:color w:val="000000"/>
          <w:sz w:val="21"/>
          <w:szCs w:val="21"/>
        </w:rPr>
      </w:pPr>
    </w:p>
    <w:p w14:paraId="04190383" w14:textId="77777777" w:rsidR="005059C0" w:rsidRPr="004041F8" w:rsidRDefault="005059C0" w:rsidP="005059C0">
      <w:pPr>
        <w:pBdr>
          <w:top w:val="nil"/>
          <w:left w:val="nil"/>
          <w:bottom w:val="nil"/>
          <w:right w:val="nil"/>
          <w:between w:val="nil"/>
        </w:pBdr>
        <w:jc w:val="both"/>
        <w:rPr>
          <w:i/>
          <w:iCs/>
          <w:color w:val="000000"/>
          <w:sz w:val="21"/>
          <w:szCs w:val="21"/>
        </w:rPr>
      </w:pPr>
      <w:r w:rsidRPr="004041F8">
        <w:rPr>
          <w:i/>
          <w:iCs/>
          <w:color w:val="000000"/>
          <w:sz w:val="21"/>
          <w:szCs w:val="21"/>
        </w:rPr>
        <w:t>Readers are cautioned not to place undue reliance on forward-looking statements. The Company undertakes no obligation to update any of the forward-looking statements. The Company undertakes no obligation to update any of the forward-looking statements in this news release or incorporated by reference herein, except as otherwise required by law.</w:t>
      </w:r>
    </w:p>
    <w:p w14:paraId="4EA85CC8" w14:textId="77777777" w:rsidR="005059C0" w:rsidRDefault="005059C0" w:rsidP="005059C0">
      <w:pPr>
        <w:pBdr>
          <w:top w:val="nil"/>
          <w:left w:val="nil"/>
          <w:bottom w:val="nil"/>
          <w:right w:val="nil"/>
          <w:between w:val="nil"/>
        </w:pBdr>
        <w:rPr>
          <w:color w:val="000000"/>
        </w:rPr>
      </w:pPr>
    </w:p>
    <w:p w14:paraId="2BFC343B" w14:textId="77777777" w:rsidR="005059C0" w:rsidRPr="004041F8" w:rsidRDefault="005059C0" w:rsidP="005059C0">
      <w:pPr>
        <w:pBdr>
          <w:top w:val="nil"/>
          <w:left w:val="nil"/>
          <w:bottom w:val="nil"/>
          <w:right w:val="nil"/>
          <w:between w:val="nil"/>
        </w:pBdr>
        <w:rPr>
          <w:b/>
          <w:i/>
          <w:iCs/>
          <w:color w:val="000000"/>
          <w:sz w:val="21"/>
          <w:szCs w:val="21"/>
        </w:rPr>
      </w:pPr>
      <w:r w:rsidRPr="004041F8">
        <w:rPr>
          <w:b/>
          <w:i/>
          <w:iCs/>
          <w:color w:val="000000"/>
          <w:sz w:val="21"/>
          <w:szCs w:val="21"/>
        </w:rPr>
        <w:t>Forward-Looking Statements in This News Release</w:t>
      </w:r>
    </w:p>
    <w:p w14:paraId="52F1B220" w14:textId="77777777" w:rsidR="00C9441B" w:rsidRDefault="00C9441B" w:rsidP="005059C0">
      <w:pPr>
        <w:pBdr>
          <w:top w:val="nil"/>
          <w:left w:val="nil"/>
          <w:bottom w:val="nil"/>
          <w:right w:val="nil"/>
          <w:between w:val="nil"/>
        </w:pBdr>
        <w:rPr>
          <w:i/>
          <w:iCs/>
          <w:color w:val="000000"/>
          <w:sz w:val="21"/>
          <w:szCs w:val="21"/>
        </w:rPr>
      </w:pPr>
    </w:p>
    <w:p w14:paraId="056C9188" w14:textId="1D4B4B58" w:rsidR="005059C0" w:rsidRDefault="005059C0" w:rsidP="005059C0">
      <w:pPr>
        <w:pBdr>
          <w:top w:val="nil"/>
          <w:left w:val="nil"/>
          <w:bottom w:val="nil"/>
          <w:right w:val="nil"/>
          <w:between w:val="nil"/>
        </w:pBdr>
        <w:rPr>
          <w:i/>
          <w:iCs/>
          <w:color w:val="000000"/>
          <w:sz w:val="21"/>
          <w:szCs w:val="21"/>
        </w:rPr>
      </w:pPr>
      <w:r w:rsidRPr="004041F8">
        <w:rPr>
          <w:i/>
          <w:iCs/>
          <w:color w:val="000000"/>
          <w:sz w:val="21"/>
          <w:szCs w:val="21"/>
        </w:rPr>
        <w:t>The following statements in this news release constitute forward-looking information</w:t>
      </w:r>
      <w:r w:rsidR="00C9441B">
        <w:rPr>
          <w:i/>
          <w:iCs/>
          <w:color w:val="000000"/>
          <w:sz w:val="21"/>
          <w:szCs w:val="21"/>
        </w:rPr>
        <w:t>:</w:t>
      </w:r>
    </w:p>
    <w:p w14:paraId="4EE8CDFB" w14:textId="7EB47B10" w:rsidR="00C9441B" w:rsidRPr="00C9441B" w:rsidRDefault="00C9441B" w:rsidP="00C9441B">
      <w:pPr>
        <w:pStyle w:val="ListParagraph"/>
        <w:numPr>
          <w:ilvl w:val="0"/>
          <w:numId w:val="25"/>
        </w:numPr>
        <w:pBdr>
          <w:top w:val="nil"/>
          <w:left w:val="nil"/>
          <w:bottom w:val="nil"/>
          <w:right w:val="nil"/>
          <w:between w:val="nil"/>
        </w:pBdr>
        <w:tabs>
          <w:tab w:val="clear" w:pos="720"/>
          <w:tab w:val="num" w:pos="0"/>
        </w:tabs>
        <w:ind w:left="426" w:hanging="426"/>
        <w:rPr>
          <w:i/>
          <w:iCs/>
          <w:color w:val="000000"/>
          <w:sz w:val="21"/>
          <w:szCs w:val="21"/>
          <w:lang w:val="en-CA"/>
        </w:rPr>
      </w:pPr>
      <w:r w:rsidRPr="00C9441B">
        <w:rPr>
          <w:i/>
          <w:iCs/>
          <w:color w:val="000000"/>
          <w:sz w:val="21"/>
          <w:szCs w:val="21"/>
          <w:lang w:val="en-CA"/>
        </w:rPr>
        <w:t>Funds are expected to support a planned 5,000+ metre exploration drill program at the Magno Project, subject to permitting</w:t>
      </w:r>
      <w:r>
        <w:rPr>
          <w:i/>
          <w:iCs/>
          <w:color w:val="000000"/>
          <w:sz w:val="21"/>
          <w:szCs w:val="21"/>
          <w:lang w:val="en-CA"/>
        </w:rPr>
        <w:t>;</w:t>
      </w:r>
    </w:p>
    <w:p w14:paraId="543307D9" w14:textId="6CE21C21" w:rsidR="00C9441B" w:rsidRPr="00C9441B" w:rsidRDefault="00C9441B" w:rsidP="00C9441B">
      <w:pPr>
        <w:pStyle w:val="ListParagraph"/>
        <w:numPr>
          <w:ilvl w:val="0"/>
          <w:numId w:val="25"/>
        </w:numPr>
        <w:pBdr>
          <w:top w:val="nil"/>
          <w:left w:val="nil"/>
          <w:bottom w:val="nil"/>
          <w:right w:val="nil"/>
          <w:between w:val="nil"/>
        </w:pBdr>
        <w:tabs>
          <w:tab w:val="clear" w:pos="720"/>
          <w:tab w:val="num" w:pos="0"/>
        </w:tabs>
        <w:ind w:left="426" w:hanging="426"/>
        <w:rPr>
          <w:i/>
          <w:iCs/>
          <w:color w:val="000000"/>
          <w:sz w:val="21"/>
          <w:szCs w:val="21"/>
          <w:lang w:val="en-CA"/>
        </w:rPr>
      </w:pPr>
      <w:r w:rsidRPr="00C9441B">
        <w:rPr>
          <w:i/>
          <w:iCs/>
          <w:color w:val="000000"/>
          <w:sz w:val="21"/>
          <w:szCs w:val="21"/>
          <w:lang w:val="en-CA"/>
        </w:rPr>
        <w:t>Proceeds will be used to advance drill targeting, exploration planning, airborne geophysical surveys, geological mapping and sampling, 3D geological and structural modelling, and follow-up work on high-grade silver and tungsten targets across the Magno property</w:t>
      </w:r>
      <w:r>
        <w:rPr>
          <w:i/>
          <w:iCs/>
          <w:color w:val="000000"/>
          <w:sz w:val="21"/>
          <w:szCs w:val="21"/>
          <w:lang w:val="en-CA"/>
        </w:rPr>
        <w:t>;</w:t>
      </w:r>
      <w:r w:rsidRPr="00C9441B">
        <w:rPr>
          <w:i/>
          <w:iCs/>
          <w:color w:val="000000"/>
          <w:sz w:val="21"/>
          <w:szCs w:val="21"/>
          <w:lang w:val="en-CA"/>
        </w:rPr>
        <w:t xml:space="preserve"> </w:t>
      </w:r>
    </w:p>
    <w:p w14:paraId="3117B692" w14:textId="6AFE0C71" w:rsidR="005059C0" w:rsidRPr="00C9441B" w:rsidRDefault="00C9441B" w:rsidP="00C9441B">
      <w:pPr>
        <w:pStyle w:val="ListParagraph"/>
        <w:numPr>
          <w:ilvl w:val="0"/>
          <w:numId w:val="25"/>
        </w:numPr>
        <w:pBdr>
          <w:top w:val="nil"/>
          <w:left w:val="nil"/>
          <w:bottom w:val="nil"/>
          <w:right w:val="nil"/>
          <w:between w:val="nil"/>
        </w:pBdr>
        <w:tabs>
          <w:tab w:val="clear" w:pos="720"/>
          <w:tab w:val="num" w:pos="0"/>
        </w:tabs>
        <w:ind w:left="426" w:hanging="426"/>
        <w:rPr>
          <w:i/>
          <w:iCs/>
          <w:color w:val="000000"/>
          <w:sz w:val="21"/>
          <w:szCs w:val="21"/>
        </w:rPr>
      </w:pPr>
      <w:r w:rsidRPr="00C9441B">
        <w:rPr>
          <w:i/>
          <w:iCs/>
          <w:color w:val="000000"/>
          <w:sz w:val="21"/>
          <w:szCs w:val="21"/>
          <w:lang w:val="en-CA"/>
        </w:rPr>
        <w:t>Flow-through expenditures will be renounced to subscribers effective December 31, 2026</w:t>
      </w:r>
      <w:r>
        <w:rPr>
          <w:i/>
          <w:iCs/>
          <w:color w:val="000000"/>
          <w:sz w:val="21"/>
          <w:szCs w:val="21"/>
          <w:lang w:val="en-CA"/>
        </w:rPr>
        <w:t>.</w:t>
      </w:r>
    </w:p>
    <w:p w14:paraId="00000062" w14:textId="111FA8CE" w:rsidR="00051F4F" w:rsidRDefault="00051F4F" w:rsidP="00C9441B">
      <w:pPr>
        <w:pBdr>
          <w:top w:val="nil"/>
          <w:left w:val="nil"/>
          <w:bottom w:val="nil"/>
          <w:right w:val="nil"/>
          <w:between w:val="nil"/>
        </w:pBdr>
        <w:shd w:val="clear" w:color="auto" w:fill="FFFFFF"/>
        <w:tabs>
          <w:tab w:val="num" w:pos="0"/>
        </w:tabs>
        <w:ind w:left="426" w:hanging="426"/>
        <w:jc w:val="both"/>
        <w:rPr>
          <w:color w:val="000000"/>
        </w:rPr>
      </w:pPr>
    </w:p>
    <w:sectPr w:rsidR="00051F4F">
      <w:headerReference w:type="default" r:id="rId13"/>
      <w:footerReference w:type="default" r:id="rId14"/>
      <w:headerReference w:type="first" r:id="rId15"/>
      <w:footerReference w:type="first" r:id="rId16"/>
      <w:pgSz w:w="12240" w:h="15840"/>
      <w:pgMar w:top="720" w:right="1440" w:bottom="720" w:left="1440" w:header="70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BE53C" w14:textId="77777777" w:rsidR="00D85584" w:rsidRDefault="00D85584">
      <w:r>
        <w:separator/>
      </w:r>
    </w:p>
  </w:endnote>
  <w:endnote w:type="continuationSeparator" w:id="0">
    <w:p w14:paraId="743FFB51" w14:textId="77777777" w:rsidR="00D85584" w:rsidRDefault="00D85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4B5C9885-8AB0-4A48-BDB9-18ADC7AA9B2E}"/>
  </w:font>
  <w:font w:name="Aptos">
    <w:charset w:val="00"/>
    <w:family w:val="swiss"/>
    <w:pitch w:val="variable"/>
    <w:sig w:usb0="20000287" w:usb1="00000003" w:usb2="00000000" w:usb3="00000000" w:csb0="0000019F" w:csb1="00000000"/>
    <w:embedRegular r:id="rId2" w:fontKey="{9DD733D0-4FFE-4A52-AF54-3604E36E7494}"/>
    <w:embedBold r:id="rId3" w:fontKey="{49811516-5804-4ED8-AFA8-549F5E82E86D}"/>
    <w:embedItalic r:id="rId4" w:fontKey="{8E22E2A7-BF7F-45E8-B4CC-230A7221C39C}"/>
    <w:embedBoldItalic r:id="rId5" w:fontKey="{5BADB3A3-7E1B-4C1E-AE7E-7DF138EE86FD}"/>
  </w:font>
  <w:font w:name="Helvetica Neue">
    <w:altName w:val="Arial"/>
    <w:charset w:val="00"/>
    <w:family w:val="auto"/>
    <w:pitch w:val="default"/>
    <w:embedRegular r:id="rId6" w:fontKey="{576644E5-EE1F-4BCF-9D3C-6AB1F920CEEE}"/>
    <w:embedBold r:id="rId7" w:fontKey="{D8EE9EC3-E331-4A51-B65E-0E6CE393C58C}"/>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170CFDD1-0DF8-4437-95CD-2935565534D6}"/>
    <w:embedItalic r:id="rId9" w:fontKey="{B2E24BF0-CF18-43D2-A754-7561D12835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6" w14:textId="77777777" w:rsidR="00051F4F" w:rsidRDefault="00000000">
    <w:pPr>
      <w:pBdr>
        <w:top w:val="nil"/>
        <w:left w:val="nil"/>
        <w:bottom w:val="nil"/>
        <w:right w:val="nil"/>
        <w:between w:val="nil"/>
      </w:pBdr>
      <w:tabs>
        <w:tab w:val="center" w:pos="4680"/>
        <w:tab w:val="right" w:pos="9360"/>
        <w:tab w:val="right" w:pos="9340"/>
      </w:tabs>
      <w:jc w:val="center"/>
      <w:rPr>
        <w:b/>
        <w:bCs/>
        <w:color w:val="000000"/>
        <w:sz w:val="18"/>
        <w:szCs w:val="18"/>
        <w:u w:val="single"/>
      </w:rPr>
    </w:pPr>
    <w:r>
      <w:rPr>
        <w:b/>
        <w:bCs/>
        <w:color w:val="000000"/>
        <w:sz w:val="18"/>
        <w:szCs w:val="18"/>
        <w:u w:val="single"/>
      </w:rPr>
      <w:tab/>
    </w:r>
    <w:r>
      <w:rPr>
        <w:b/>
        <w:bCs/>
        <w:color w:val="000000"/>
        <w:sz w:val="18"/>
        <w:szCs w:val="18"/>
        <w:u w:val="single"/>
      </w:rPr>
      <w:tab/>
    </w:r>
  </w:p>
  <w:p w14:paraId="00000067" w14:textId="77777777" w:rsidR="00051F4F" w:rsidRDefault="00000000">
    <w:pPr>
      <w:pBdr>
        <w:top w:val="nil"/>
        <w:left w:val="nil"/>
        <w:bottom w:val="nil"/>
        <w:right w:val="nil"/>
        <w:between w:val="nil"/>
      </w:pBdr>
      <w:tabs>
        <w:tab w:val="center" w:pos="4680"/>
        <w:tab w:val="right" w:pos="9360"/>
        <w:tab w:val="right" w:pos="9340"/>
      </w:tabs>
      <w:jc w:val="center"/>
      <w:rPr>
        <w:b/>
        <w:bCs/>
        <w:color w:val="000000"/>
        <w:sz w:val="18"/>
        <w:szCs w:val="18"/>
      </w:rPr>
    </w:pPr>
    <w:r>
      <w:rPr>
        <w:b/>
        <w:bCs/>
        <w:color w:val="000000"/>
        <w:sz w:val="18"/>
        <w:szCs w:val="18"/>
      </w:rPr>
      <w:t>#2288 – 1177 W Hastings Street, Vancouver, BC V6E 2K3 • Tel. 604-629-8254</w:t>
    </w:r>
  </w:p>
  <w:p w14:paraId="00000068" w14:textId="77777777" w:rsidR="00051F4F" w:rsidRDefault="00000000">
    <w:pPr>
      <w:pBdr>
        <w:top w:val="nil"/>
        <w:left w:val="nil"/>
        <w:bottom w:val="nil"/>
        <w:right w:val="nil"/>
        <w:between w:val="nil"/>
      </w:pBdr>
      <w:tabs>
        <w:tab w:val="center" w:pos="4680"/>
        <w:tab w:val="right" w:pos="9360"/>
        <w:tab w:val="right" w:pos="9340"/>
      </w:tabs>
      <w:jc w:val="center"/>
      <w:rPr>
        <w:color w:val="000000"/>
      </w:rPr>
    </w:pPr>
    <w:r>
      <w:rPr>
        <w:b/>
        <w:bCs/>
        <w:color w:val="000000"/>
        <w:sz w:val="18"/>
        <w:szCs w:val="18"/>
      </w:rPr>
      <w:t xml:space="preserve">Web.  </w:t>
    </w:r>
    <w:hyperlink r:id="rId1">
      <w:r w:rsidR="00051F4F">
        <w:rPr>
          <w:b/>
          <w:bCs/>
          <w:color w:val="000000"/>
          <w:sz w:val="18"/>
          <w:szCs w:val="18"/>
          <w:u w:val="single"/>
        </w:rPr>
        <w:t>www.goldhavenresources.com</w:t>
      </w:r>
    </w:hyperlink>
    <w:r>
      <w:rPr>
        <w:b/>
        <w:bCs/>
        <w:color w:val="000000"/>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9" w14:textId="77777777" w:rsidR="00051F4F" w:rsidRDefault="00000000">
    <w:pPr>
      <w:pBdr>
        <w:top w:val="nil"/>
        <w:left w:val="nil"/>
        <w:bottom w:val="nil"/>
        <w:right w:val="nil"/>
        <w:between w:val="nil"/>
      </w:pBdr>
      <w:tabs>
        <w:tab w:val="center" w:pos="4680"/>
        <w:tab w:val="right" w:pos="9360"/>
        <w:tab w:val="right" w:pos="9340"/>
      </w:tabs>
      <w:jc w:val="center"/>
      <w:rPr>
        <w:b/>
        <w:bCs/>
        <w:color w:val="000000"/>
        <w:sz w:val="18"/>
        <w:szCs w:val="18"/>
        <w:u w:val="single"/>
      </w:rPr>
    </w:pPr>
    <w:r>
      <w:rPr>
        <w:b/>
        <w:bCs/>
        <w:color w:val="000000"/>
        <w:sz w:val="18"/>
        <w:szCs w:val="18"/>
        <w:u w:val="single"/>
      </w:rPr>
      <w:tab/>
    </w:r>
    <w:r>
      <w:rPr>
        <w:b/>
        <w:bCs/>
        <w:color w:val="000000"/>
        <w:sz w:val="18"/>
        <w:szCs w:val="18"/>
        <w:u w:val="single"/>
      </w:rPr>
      <w:tab/>
    </w:r>
  </w:p>
  <w:p w14:paraId="0000006A" w14:textId="77777777" w:rsidR="00051F4F" w:rsidRDefault="00000000">
    <w:pPr>
      <w:pBdr>
        <w:top w:val="nil"/>
        <w:left w:val="nil"/>
        <w:bottom w:val="nil"/>
        <w:right w:val="nil"/>
        <w:between w:val="nil"/>
      </w:pBdr>
      <w:tabs>
        <w:tab w:val="center" w:pos="4680"/>
        <w:tab w:val="right" w:pos="9360"/>
        <w:tab w:val="right" w:pos="9340"/>
      </w:tabs>
      <w:jc w:val="center"/>
      <w:rPr>
        <w:b/>
        <w:bCs/>
        <w:color w:val="000000"/>
        <w:sz w:val="18"/>
        <w:szCs w:val="18"/>
      </w:rPr>
    </w:pPr>
    <w:r>
      <w:rPr>
        <w:b/>
        <w:bCs/>
        <w:color w:val="000000"/>
        <w:sz w:val="18"/>
        <w:szCs w:val="18"/>
      </w:rPr>
      <w:t>#2288 – 1177 W Hastings Street, Vancouver, BC V6E 2K3 • Tel. 604-629-8254</w:t>
    </w:r>
  </w:p>
  <w:p w14:paraId="0000006B" w14:textId="77777777" w:rsidR="00051F4F" w:rsidRDefault="00000000">
    <w:pPr>
      <w:pBdr>
        <w:top w:val="nil"/>
        <w:left w:val="nil"/>
        <w:bottom w:val="nil"/>
        <w:right w:val="nil"/>
        <w:between w:val="nil"/>
      </w:pBdr>
      <w:tabs>
        <w:tab w:val="center" w:pos="4680"/>
        <w:tab w:val="right" w:pos="9360"/>
        <w:tab w:val="right" w:pos="9340"/>
      </w:tabs>
      <w:jc w:val="center"/>
      <w:rPr>
        <w:color w:val="000000"/>
      </w:rPr>
    </w:pPr>
    <w:r>
      <w:rPr>
        <w:b/>
        <w:bCs/>
        <w:color w:val="000000"/>
        <w:sz w:val="18"/>
        <w:szCs w:val="18"/>
      </w:rPr>
      <w:t xml:space="preserve">Web.  </w:t>
    </w:r>
    <w:hyperlink r:id="rId1">
      <w:r w:rsidR="00051F4F">
        <w:rPr>
          <w:b/>
          <w:bCs/>
          <w:color w:val="000000"/>
          <w:sz w:val="18"/>
          <w:szCs w:val="18"/>
          <w:u w:val="single"/>
        </w:rPr>
        <w:t>www.goldhavenresources.com</w:t>
      </w:r>
    </w:hyperlink>
    <w:r>
      <w:rPr>
        <w:b/>
        <w:bCs/>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B3137" w14:textId="77777777" w:rsidR="00D85584" w:rsidRDefault="00D85584">
      <w:r>
        <w:separator/>
      </w:r>
    </w:p>
  </w:footnote>
  <w:footnote w:type="continuationSeparator" w:id="0">
    <w:p w14:paraId="356AEB19" w14:textId="77777777" w:rsidR="00D85584" w:rsidRDefault="00D85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3" w14:textId="77777777" w:rsidR="00051F4F" w:rsidRDefault="00000000">
    <w:pPr>
      <w:pBdr>
        <w:top w:val="nil"/>
        <w:left w:val="nil"/>
        <w:bottom w:val="nil"/>
        <w:right w:val="nil"/>
        <w:between w:val="nil"/>
      </w:pBdr>
      <w:tabs>
        <w:tab w:val="center" w:pos="4680"/>
        <w:tab w:val="right" w:pos="9360"/>
        <w:tab w:val="right" w:pos="9340"/>
      </w:tabs>
      <w:rPr>
        <w:b/>
        <w:bCs/>
        <w:color w:val="000000"/>
      </w:rPr>
    </w:pPr>
    <w:r>
      <w:rPr>
        <w:b/>
        <w:bCs/>
        <w:color w:val="000000"/>
      </w:rPr>
      <w:t>GoldHaven Resources Corp.</w:t>
    </w:r>
  </w:p>
  <w:p w14:paraId="00000064" w14:textId="7684DAC7" w:rsidR="00051F4F" w:rsidRDefault="00000000">
    <w:pPr>
      <w:pBdr>
        <w:top w:val="nil"/>
        <w:left w:val="nil"/>
        <w:bottom w:val="nil"/>
        <w:right w:val="nil"/>
        <w:between w:val="nil"/>
      </w:pBdr>
      <w:tabs>
        <w:tab w:val="center" w:pos="4680"/>
        <w:tab w:val="right" w:pos="9360"/>
        <w:tab w:val="right" w:pos="9340"/>
      </w:tabs>
      <w:rPr>
        <w:color w:val="000000"/>
      </w:rPr>
    </w:pPr>
    <w:r>
      <w:rPr>
        <w:b/>
        <w:bCs/>
        <w:color w:val="000000"/>
        <w:u w:val="single"/>
      </w:rPr>
      <w:t>News Release</w:t>
    </w:r>
    <w:r>
      <w:rPr>
        <w:b/>
        <w:bCs/>
        <w:color w:val="000000"/>
        <w:u w:val="single"/>
      </w:rPr>
      <w:tab/>
    </w:r>
    <w:r>
      <w:rPr>
        <w:b/>
        <w:bCs/>
        <w:color w:val="000000"/>
        <w:u w:val="single"/>
      </w:rPr>
      <w:fldChar w:fldCharType="begin"/>
    </w:r>
    <w:r>
      <w:rPr>
        <w:b/>
        <w:bCs/>
        <w:color w:val="000000"/>
        <w:u w:val="single"/>
      </w:rPr>
      <w:instrText>PAGE</w:instrText>
    </w:r>
    <w:r>
      <w:rPr>
        <w:b/>
        <w:bCs/>
        <w:color w:val="000000"/>
        <w:u w:val="single"/>
      </w:rPr>
      <w:fldChar w:fldCharType="separate"/>
    </w:r>
    <w:r w:rsidR="007D720F">
      <w:rPr>
        <w:b/>
        <w:bCs/>
        <w:noProof/>
        <w:color w:val="000000"/>
        <w:u w:val="single"/>
      </w:rPr>
      <w:t>2</w:t>
    </w:r>
    <w:r>
      <w:rPr>
        <w:b/>
        <w:bCs/>
        <w:color w:val="000000"/>
        <w:u w:val="single"/>
      </w:rPr>
      <w:fldChar w:fldCharType="end"/>
    </w:r>
    <w:r>
      <w:rPr>
        <w:b/>
        <w:bCs/>
        <w:color w:val="000000"/>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5" w14:textId="77777777" w:rsidR="00051F4F" w:rsidRDefault="00051F4F">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1569D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035FA"/>
    <w:multiLevelType w:val="hybridMultilevel"/>
    <w:tmpl w:val="D3F28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224210"/>
    <w:multiLevelType w:val="hybridMultilevel"/>
    <w:tmpl w:val="32B22BE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A825031"/>
    <w:multiLevelType w:val="multilevel"/>
    <w:tmpl w:val="70423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23313"/>
    <w:multiLevelType w:val="multilevel"/>
    <w:tmpl w:val="3680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7B2A59"/>
    <w:multiLevelType w:val="multilevel"/>
    <w:tmpl w:val="C962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FD4C7A"/>
    <w:multiLevelType w:val="hybridMultilevel"/>
    <w:tmpl w:val="5D6457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9FF7B95"/>
    <w:multiLevelType w:val="multilevel"/>
    <w:tmpl w:val="D292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A130FF"/>
    <w:multiLevelType w:val="multilevel"/>
    <w:tmpl w:val="B7A60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263CC8"/>
    <w:multiLevelType w:val="multilevel"/>
    <w:tmpl w:val="24B2275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36E6D5E"/>
    <w:multiLevelType w:val="multilevel"/>
    <w:tmpl w:val="DCAC3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104A2D"/>
    <w:multiLevelType w:val="multilevel"/>
    <w:tmpl w:val="C3B8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2A2ACD"/>
    <w:multiLevelType w:val="multilevel"/>
    <w:tmpl w:val="80D6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7B5A4C"/>
    <w:multiLevelType w:val="multilevel"/>
    <w:tmpl w:val="D0E0D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825B65"/>
    <w:multiLevelType w:val="multilevel"/>
    <w:tmpl w:val="12C45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C14005"/>
    <w:multiLevelType w:val="hybridMultilevel"/>
    <w:tmpl w:val="74B49F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2A3700F"/>
    <w:multiLevelType w:val="multilevel"/>
    <w:tmpl w:val="937CA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C54E95"/>
    <w:multiLevelType w:val="multilevel"/>
    <w:tmpl w:val="E5D2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6C601D"/>
    <w:multiLevelType w:val="multilevel"/>
    <w:tmpl w:val="1AB84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1A0DFD"/>
    <w:multiLevelType w:val="hybridMultilevel"/>
    <w:tmpl w:val="B688F144"/>
    <w:lvl w:ilvl="0" w:tplc="DB06352E">
      <w:numFmt w:val="bullet"/>
      <w:lvlText w:val="•"/>
      <w:lvlJc w:val="left"/>
      <w:pPr>
        <w:ind w:left="720" w:hanging="360"/>
      </w:pPr>
      <w:rPr>
        <w:rFonts w:ascii="Aptos" w:eastAsia="Times New Roman" w:hAnsi="Apto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6CB3D4A"/>
    <w:multiLevelType w:val="hybridMultilevel"/>
    <w:tmpl w:val="11A8AD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87D5B88"/>
    <w:multiLevelType w:val="multilevel"/>
    <w:tmpl w:val="89400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961E4F"/>
    <w:multiLevelType w:val="multilevel"/>
    <w:tmpl w:val="CF940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6A57C6"/>
    <w:multiLevelType w:val="multilevel"/>
    <w:tmpl w:val="0C22F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2B4739"/>
    <w:multiLevelType w:val="multilevel"/>
    <w:tmpl w:val="40D47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A74F52"/>
    <w:multiLevelType w:val="multilevel"/>
    <w:tmpl w:val="70782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556150"/>
    <w:multiLevelType w:val="multilevel"/>
    <w:tmpl w:val="1698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692345"/>
    <w:multiLevelType w:val="multilevel"/>
    <w:tmpl w:val="6A2A6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8994915">
    <w:abstractNumId w:val="9"/>
  </w:num>
  <w:num w:numId="2" w16cid:durableId="497621558">
    <w:abstractNumId w:val="10"/>
  </w:num>
  <w:num w:numId="3" w16cid:durableId="64383197">
    <w:abstractNumId w:val="13"/>
  </w:num>
  <w:num w:numId="4" w16cid:durableId="1985814279">
    <w:abstractNumId w:val="25"/>
  </w:num>
  <w:num w:numId="5" w16cid:durableId="1720779642">
    <w:abstractNumId w:val="1"/>
  </w:num>
  <w:num w:numId="6" w16cid:durableId="1474637774">
    <w:abstractNumId w:val="24"/>
  </w:num>
  <w:num w:numId="7" w16cid:durableId="1293824548">
    <w:abstractNumId w:val="11"/>
  </w:num>
  <w:num w:numId="8" w16cid:durableId="591937460">
    <w:abstractNumId w:val="7"/>
  </w:num>
  <w:num w:numId="9" w16cid:durableId="405877693">
    <w:abstractNumId w:val="3"/>
  </w:num>
  <w:num w:numId="10" w16cid:durableId="192232599">
    <w:abstractNumId w:val="27"/>
  </w:num>
  <w:num w:numId="11" w16cid:durableId="1246722991">
    <w:abstractNumId w:val="22"/>
  </w:num>
  <w:num w:numId="12" w16cid:durableId="681588329">
    <w:abstractNumId w:val="18"/>
  </w:num>
  <w:num w:numId="13" w16cid:durableId="2001150870">
    <w:abstractNumId w:val="0"/>
  </w:num>
  <w:num w:numId="14" w16cid:durableId="1611736298">
    <w:abstractNumId w:val="20"/>
  </w:num>
  <w:num w:numId="15" w16cid:durableId="1428161108">
    <w:abstractNumId w:val="2"/>
  </w:num>
  <w:num w:numId="16" w16cid:durableId="1551111291">
    <w:abstractNumId w:val="4"/>
  </w:num>
  <w:num w:numId="17" w16cid:durableId="1124617280">
    <w:abstractNumId w:val="23"/>
  </w:num>
  <w:num w:numId="18" w16cid:durableId="1613394511">
    <w:abstractNumId w:val="17"/>
  </w:num>
  <w:num w:numId="19" w16cid:durableId="982927900">
    <w:abstractNumId w:val="8"/>
  </w:num>
  <w:num w:numId="20" w16cid:durableId="1657539022">
    <w:abstractNumId w:val="16"/>
  </w:num>
  <w:num w:numId="21" w16cid:durableId="307825888">
    <w:abstractNumId w:val="14"/>
  </w:num>
  <w:num w:numId="22" w16cid:durableId="708189129">
    <w:abstractNumId w:val="6"/>
  </w:num>
  <w:num w:numId="23" w16cid:durableId="73356246">
    <w:abstractNumId w:val="19"/>
  </w:num>
  <w:num w:numId="24" w16cid:durableId="989018193">
    <w:abstractNumId w:val="26"/>
  </w:num>
  <w:num w:numId="25" w16cid:durableId="1986230933">
    <w:abstractNumId w:val="12"/>
  </w:num>
  <w:num w:numId="26" w16cid:durableId="25563491">
    <w:abstractNumId w:val="21"/>
  </w:num>
  <w:num w:numId="27" w16cid:durableId="1510945564">
    <w:abstractNumId w:val="5"/>
  </w:num>
  <w:num w:numId="28" w16cid:durableId="173331348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F4F"/>
    <w:rsid w:val="00021A06"/>
    <w:rsid w:val="00032E16"/>
    <w:rsid w:val="00051F4F"/>
    <w:rsid w:val="000F3E57"/>
    <w:rsid w:val="00110C52"/>
    <w:rsid w:val="00136FFE"/>
    <w:rsid w:val="001753CC"/>
    <w:rsid w:val="0018375D"/>
    <w:rsid w:val="00186990"/>
    <w:rsid w:val="00187D3B"/>
    <w:rsid w:val="001B6A60"/>
    <w:rsid w:val="001D68CC"/>
    <w:rsid w:val="00225BC3"/>
    <w:rsid w:val="0022609B"/>
    <w:rsid w:val="00271571"/>
    <w:rsid w:val="002C38BF"/>
    <w:rsid w:val="002D73DD"/>
    <w:rsid w:val="002E68CB"/>
    <w:rsid w:val="003D6E55"/>
    <w:rsid w:val="003E74B6"/>
    <w:rsid w:val="003F111F"/>
    <w:rsid w:val="004639F6"/>
    <w:rsid w:val="00470CB0"/>
    <w:rsid w:val="00484E78"/>
    <w:rsid w:val="0049368F"/>
    <w:rsid w:val="004D010D"/>
    <w:rsid w:val="004F6D9E"/>
    <w:rsid w:val="005059C0"/>
    <w:rsid w:val="00513028"/>
    <w:rsid w:val="00517F01"/>
    <w:rsid w:val="005231C8"/>
    <w:rsid w:val="00551CA2"/>
    <w:rsid w:val="00560586"/>
    <w:rsid w:val="005D2F33"/>
    <w:rsid w:val="005D37CD"/>
    <w:rsid w:val="005E5A36"/>
    <w:rsid w:val="005F4F5F"/>
    <w:rsid w:val="00601EDE"/>
    <w:rsid w:val="0065046E"/>
    <w:rsid w:val="006619E3"/>
    <w:rsid w:val="006829C2"/>
    <w:rsid w:val="00686A7C"/>
    <w:rsid w:val="006A2C55"/>
    <w:rsid w:val="006B55E5"/>
    <w:rsid w:val="006C38A9"/>
    <w:rsid w:val="006C7B73"/>
    <w:rsid w:val="006D7E34"/>
    <w:rsid w:val="007050EA"/>
    <w:rsid w:val="00716AC4"/>
    <w:rsid w:val="0076428F"/>
    <w:rsid w:val="007B1C0E"/>
    <w:rsid w:val="007D720F"/>
    <w:rsid w:val="00824497"/>
    <w:rsid w:val="0082493B"/>
    <w:rsid w:val="008409E0"/>
    <w:rsid w:val="00851361"/>
    <w:rsid w:val="00852A6C"/>
    <w:rsid w:val="00863360"/>
    <w:rsid w:val="008A0BC5"/>
    <w:rsid w:val="008C592F"/>
    <w:rsid w:val="009166F8"/>
    <w:rsid w:val="009243E2"/>
    <w:rsid w:val="00932E08"/>
    <w:rsid w:val="00964F86"/>
    <w:rsid w:val="00A54B90"/>
    <w:rsid w:val="00A71863"/>
    <w:rsid w:val="00A91CAA"/>
    <w:rsid w:val="00AB65A1"/>
    <w:rsid w:val="00AD0D8F"/>
    <w:rsid w:val="00B55A89"/>
    <w:rsid w:val="00B93CC7"/>
    <w:rsid w:val="00BA712D"/>
    <w:rsid w:val="00BB67BA"/>
    <w:rsid w:val="00BB7F51"/>
    <w:rsid w:val="00BD237E"/>
    <w:rsid w:val="00BE751F"/>
    <w:rsid w:val="00C1743E"/>
    <w:rsid w:val="00C304BB"/>
    <w:rsid w:val="00C41371"/>
    <w:rsid w:val="00C456F6"/>
    <w:rsid w:val="00C512DE"/>
    <w:rsid w:val="00C5306C"/>
    <w:rsid w:val="00C74744"/>
    <w:rsid w:val="00C9441B"/>
    <w:rsid w:val="00CA3C42"/>
    <w:rsid w:val="00CA7EDF"/>
    <w:rsid w:val="00CF4BA8"/>
    <w:rsid w:val="00D34081"/>
    <w:rsid w:val="00D3742C"/>
    <w:rsid w:val="00D37C47"/>
    <w:rsid w:val="00D42C16"/>
    <w:rsid w:val="00D8141D"/>
    <w:rsid w:val="00D85584"/>
    <w:rsid w:val="00DB3E07"/>
    <w:rsid w:val="00DB58B2"/>
    <w:rsid w:val="00DB6F56"/>
    <w:rsid w:val="00DC59DB"/>
    <w:rsid w:val="00E173ED"/>
    <w:rsid w:val="00E97E95"/>
    <w:rsid w:val="00EB0413"/>
    <w:rsid w:val="00EB1C25"/>
    <w:rsid w:val="00EC642E"/>
    <w:rsid w:val="00EF13AE"/>
    <w:rsid w:val="00F113B2"/>
    <w:rsid w:val="00F416E2"/>
    <w:rsid w:val="00F568D3"/>
    <w:rsid w:val="00F62E93"/>
    <w:rsid w:val="00F64E94"/>
    <w:rsid w:val="00F93739"/>
    <w:rsid w:val="00F97F66"/>
    <w:rsid w:val="00FA1F53"/>
    <w:rsid w:val="00FD2751"/>
    <w:rsid w:val="00FD62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9C5D1"/>
  <w15:docId w15:val="{CFCB46AA-EB24-4926-9456-790913B09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none" w:sz="0" w:space="0" w:color="000000"/>
        <w:left w:val="none" w:sz="0" w:space="0" w:color="000000"/>
        <w:bottom w:val="none" w:sz="0" w:space="0" w:color="000000"/>
        <w:right w:val="none" w:sz="0" w:space="0" w:color="000000"/>
        <w:between w:val="none" w:sz="0" w:space="0" w:color="000000"/>
      </w:pBdr>
      <w:spacing w:after="80"/>
    </w:pPr>
    <w:rPr>
      <w:rFonts w:ascii="Helvetica Neue" w:eastAsia="Helvetica Neue" w:hAnsi="Helvetica Neue" w:cs="Helvetica Neue"/>
      <w:sz w:val="56"/>
      <w:szCs w:val="5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character" w:styleId="Hyperlink">
    <w:name w:val="Hyperlink"/>
    <w:rPr>
      <w:u w:val="single"/>
    </w:rPr>
  </w:style>
  <w:style w:type="paragraph" w:styleId="Header">
    <w:name w:val="header"/>
    <w:pPr>
      <w:tabs>
        <w:tab w:val="center" w:pos="4680"/>
        <w:tab w:val="right" w:pos="9360"/>
      </w:tabs>
    </w:pPr>
    <w:rPr>
      <w:rFonts w:cs="Arial Unicode MS"/>
      <w:color w:val="000000"/>
      <w:u w:color="000000"/>
    </w:rPr>
  </w:style>
  <w:style w:type="paragraph" w:styleId="Footer">
    <w:name w:val="footer"/>
    <w:pPr>
      <w:tabs>
        <w:tab w:val="center" w:pos="4680"/>
        <w:tab w:val="right" w:pos="9360"/>
      </w:tabs>
    </w:pPr>
    <w:rPr>
      <w:color w:val="000000"/>
      <w:u w:color="000000"/>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b/>
      <w:bCs/>
      <w:outline w:val="0"/>
      <w:color w:val="000000"/>
      <w:sz w:val="18"/>
      <w:szCs w:val="18"/>
      <w:u w:val="single" w:color="000000"/>
    </w:rPr>
  </w:style>
  <w:style w:type="paragraph" w:customStyle="1" w:styleId="HeaderFooter">
    <w:name w:val="Header &amp; Footer"/>
    <w:pPr>
      <w:tabs>
        <w:tab w:val="right" w:pos="9020"/>
      </w:tabs>
    </w:pPr>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BodyA">
    <w:name w:val="Body A"/>
    <w:rPr>
      <w:color w:val="000000"/>
      <w:u w:color="000000"/>
    </w:rPr>
  </w:style>
  <w:style w:type="paragraph" w:customStyle="1" w:styleId="BodyB">
    <w:name w:val="Body B"/>
    <w:rPr>
      <w:rFonts w:cs="Arial Unicode MS"/>
      <w:color w:val="000000"/>
      <w:u w:color="000000"/>
      <w14:textOutline w14:w="12700" w14:cap="flat" w14:cmpd="sng" w14:algn="ctr">
        <w14:noFill/>
        <w14:prstDash w14:val="solid"/>
        <w14:miter w14:lim="400000"/>
      </w14:textOutline>
    </w:rPr>
  </w:style>
  <w:style w:type="paragraph" w:customStyle="1" w:styleId="Body">
    <w:name w:val="Body"/>
    <w:rPr>
      <w:rFonts w:cs="Arial Unicode MS"/>
      <w:color w:val="000000"/>
      <w:u w:color="000000"/>
      <w14:textOutline w14:w="0" w14:cap="flat" w14:cmpd="sng" w14:algn="ctr">
        <w14:noFill/>
        <w14:prstDash w14:val="solid"/>
        <w14:bevel/>
      </w14:textOutline>
    </w:rPr>
  </w:style>
  <w:style w:type="numbering" w:customStyle="1" w:styleId="ImportedStyle1">
    <w:name w:val="Imported Style 1"/>
  </w:style>
  <w:style w:type="paragraph" w:styleId="NormalWeb">
    <w:name w:val="Normal (Web)"/>
    <w:uiPriority w:val="99"/>
    <w:pPr>
      <w:spacing w:before="100" w:after="100"/>
    </w:pPr>
    <w:rPr>
      <w:color w:val="000000"/>
      <w:u w:color="000000"/>
    </w:rPr>
  </w:style>
  <w:style w:type="numbering" w:customStyle="1" w:styleId="ImportedStyle2">
    <w:name w:val="Imported Style 2"/>
  </w:style>
  <w:style w:type="numbering" w:customStyle="1" w:styleId="ImportedStyle3">
    <w:name w:val="Imported Style 3"/>
  </w:style>
  <w:style w:type="paragraph" w:customStyle="1" w:styleId="BodyBA">
    <w:name w:val="Body B A"/>
    <w:rPr>
      <w:rFonts w:cs="Arial Unicode MS"/>
      <w:color w:val="000000"/>
      <w:u w:color="000000"/>
      <w14:textOutline w14:w="12700" w14:cap="flat" w14:cmpd="sng" w14:algn="ctr">
        <w14:noFill/>
        <w14:prstDash w14:val="solid"/>
        <w14:miter w14:lim="400000"/>
      </w14:textOutline>
    </w:rPr>
  </w:style>
  <w:style w:type="character" w:customStyle="1" w:styleId="Hyperlink1">
    <w:name w:val="Hyperlink.1"/>
    <w:basedOn w:val="None"/>
    <w:rPr>
      <w:rFonts w:ascii="Times New Roman" w:eastAsia="Times New Roman" w:hAnsi="Times New Roman" w:cs="Times New Roman"/>
      <w:b/>
      <w:bCs/>
      <w:outline w:val="0"/>
      <w:color w:val="000000"/>
      <w:sz w:val="22"/>
      <w:szCs w:val="22"/>
      <w:u w:val="single" w:color="000000"/>
      <w:lang w:val="de-DE"/>
      <w14:textOutline w14:w="12700" w14:cap="flat" w14:cmpd="sng" w14:algn="ctr">
        <w14:noFill/>
        <w14:prstDash w14:val="solid"/>
        <w14:miter w14:lim="400000"/>
      </w14:textOutline>
    </w:rPr>
  </w:style>
  <w:style w:type="character" w:customStyle="1" w:styleId="Hyperlink2">
    <w:name w:val="Hyperlink.2"/>
    <w:basedOn w:val="None"/>
    <w:rPr>
      <w:rFonts w:ascii="Times New Roman" w:eastAsia="Times New Roman" w:hAnsi="Times New Roman" w:cs="Times New Roman"/>
      <w:b/>
      <w:bCs/>
      <w:outline w:val="0"/>
      <w:color w:val="0000FF"/>
      <w:sz w:val="22"/>
      <w:szCs w:val="22"/>
      <w:u w:val="single" w:color="0000FF"/>
      <w:lang w:val="de-DE"/>
      <w14:textOutline w14:w="12700" w14:cap="flat" w14:cmpd="sng" w14:algn="ctr">
        <w14:noFill/>
        <w14:prstDash w14:val="solid"/>
        <w14:miter w14:lim="400000"/>
      </w14:textOutline>
    </w:rPr>
  </w:style>
  <w:style w:type="paragraph" w:customStyle="1" w:styleId="BodyC">
    <w:name w:val="Body C"/>
    <w:rPr>
      <w:rFonts w:cs="Arial Unicode MS"/>
      <w:color w:val="000000"/>
      <w:u w:color="000000"/>
      <w14:textOutline w14:w="12700" w14:cap="flat" w14:cmpd="sng" w14:algn="ctr">
        <w14:noFill/>
        <w14:prstDash w14:val="solid"/>
        <w14:miter w14:lim="400000"/>
      </w14:textOutline>
    </w:rPr>
  </w:style>
  <w:style w:type="table" w:styleId="TableGrid">
    <w:name w:val="Table Grid"/>
    <w:basedOn w:val="TableNormal"/>
    <w:uiPriority w:val="39"/>
    <w:rsid w:val="000234D9"/>
    <w:rPr>
      <w:rFonts w:ascii="Arial" w:eastAsiaTheme="minorHAnsi" w:hAnsi="Arial" w:cs="Arial"/>
      <w:kern w:val="2"/>
      <w:lang w:val="en-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1C95"/>
    <w:rPr>
      <w:color w:val="605E5C"/>
      <w:shd w:val="clear" w:color="auto" w:fill="E1DFDD"/>
    </w:rPr>
  </w:style>
  <w:style w:type="character" w:customStyle="1" w:styleId="TitleChar">
    <w:name w:val="Title Char"/>
    <w:basedOn w:val="DefaultParagraphFont"/>
    <w:link w:val="Title"/>
    <w:uiPriority w:val="10"/>
    <w:rsid w:val="00ED1F42"/>
    <w:rPr>
      <w:rFonts w:asciiTheme="majorHAnsi" w:eastAsiaTheme="majorEastAsia" w:hAnsiTheme="majorHAnsi" w:cstheme="majorBidi"/>
      <w:spacing w:val="-10"/>
      <w:kern w:val="28"/>
      <w:sz w:val="56"/>
      <w:szCs w:val="56"/>
      <w:bdr w:val="none" w:sz="0" w:space="0" w:color="auto"/>
      <w:lang w:val="en-CA"/>
    </w:rPr>
  </w:style>
  <w:style w:type="paragraph" w:styleId="ListParagraph">
    <w:name w:val="List Paragraph"/>
    <w:basedOn w:val="Normal"/>
    <w:uiPriority w:val="34"/>
    <w:qFormat/>
    <w:rsid w:val="00F469CE"/>
    <w:pPr>
      <w:ind w:left="720"/>
      <w:contextualSpacing/>
    </w:p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pPr>
    <w:rPr>
      <w:rFonts w:ascii="Arial" w:eastAsia="Arial" w:hAnsi="Arial" w:cs="Arial"/>
    </w:rPr>
    <w:tblPr>
      <w:tblStyleRowBandSize w:val="1"/>
      <w:tblStyleColBandSize w:val="1"/>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pPr>
    <w:rPr>
      <w:rFonts w:ascii="Arial" w:eastAsia="Arial" w:hAnsi="Arial" w:cs="Arial"/>
    </w:rPr>
    <w:tblPr>
      <w:tblStyleRowBandSize w:val="1"/>
      <w:tblStyleColBandSize w:val="1"/>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pPr>
    <w:rPr>
      <w:rFonts w:ascii="Arial" w:eastAsia="Arial" w:hAnsi="Arial" w:cs="Arial"/>
    </w:rPr>
    <w:tblPr>
      <w:tblStyleRowBandSize w:val="1"/>
      <w:tblStyleColBandSize w:val="1"/>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pPr>
    <w:rPr>
      <w:rFonts w:ascii="Arial" w:eastAsia="Arial" w:hAnsi="Arial" w:cs="Arial"/>
    </w:rPr>
    <w:tblPr>
      <w:tblStyleRowBandSize w:val="1"/>
      <w:tblStyleColBandSize w:val="1"/>
    </w:tblPr>
  </w:style>
  <w:style w:type="paragraph" w:customStyle="1" w:styleId="BodyFull">
    <w:name w:val="Body Full"/>
    <w:basedOn w:val="Normal"/>
    <w:link w:val="BodyFullChar"/>
    <w:qFormat/>
    <w:rsid w:val="00540490"/>
    <w:pPr>
      <w:spacing w:after="240"/>
      <w:jc w:val="both"/>
    </w:pPr>
    <w:rPr>
      <w:rFonts w:ascii="Arial" w:eastAsia="MS Mincho" w:hAnsi="Arial" w:cstheme="minorBidi"/>
      <w:sz w:val="20"/>
      <w:szCs w:val="22"/>
      <w:lang w:val="en-CA" w:eastAsia="en-US"/>
    </w:rPr>
  </w:style>
  <w:style w:type="character" w:customStyle="1" w:styleId="BodyFullChar">
    <w:name w:val="Body Full Char"/>
    <w:basedOn w:val="DefaultParagraphFont"/>
    <w:link w:val="BodyFull"/>
    <w:rsid w:val="00540490"/>
    <w:rPr>
      <w:rFonts w:ascii="Arial" w:eastAsia="MS Mincho" w:hAnsi="Arial" w:cstheme="minorBidi"/>
      <w:sz w:val="20"/>
      <w:szCs w:val="22"/>
      <w:lang w:val="en-CA" w:eastAsia="en-US"/>
    </w:rPr>
  </w:style>
  <w:style w:type="character" w:styleId="CommentReference">
    <w:name w:val="annotation reference"/>
    <w:basedOn w:val="DefaultParagraphFont"/>
    <w:uiPriority w:val="99"/>
    <w:semiHidden/>
    <w:unhideWhenUsed/>
    <w:rsid w:val="00415707"/>
    <w:rPr>
      <w:sz w:val="16"/>
      <w:szCs w:val="16"/>
    </w:rPr>
  </w:style>
  <w:style w:type="paragraph" w:styleId="CommentText">
    <w:name w:val="annotation text"/>
    <w:basedOn w:val="Normal"/>
    <w:link w:val="CommentTextChar"/>
    <w:uiPriority w:val="99"/>
    <w:unhideWhenUsed/>
    <w:rsid w:val="00415707"/>
    <w:rPr>
      <w:sz w:val="20"/>
      <w:szCs w:val="20"/>
    </w:rPr>
  </w:style>
  <w:style w:type="character" w:customStyle="1" w:styleId="CommentTextChar">
    <w:name w:val="Comment Text Char"/>
    <w:basedOn w:val="DefaultParagraphFont"/>
    <w:link w:val="CommentText"/>
    <w:uiPriority w:val="99"/>
    <w:rsid w:val="00415707"/>
    <w:rPr>
      <w:sz w:val="20"/>
      <w:szCs w:val="20"/>
    </w:rPr>
  </w:style>
  <w:style w:type="paragraph" w:styleId="CommentSubject">
    <w:name w:val="annotation subject"/>
    <w:basedOn w:val="CommentText"/>
    <w:next w:val="CommentText"/>
    <w:link w:val="CommentSubjectChar"/>
    <w:uiPriority w:val="99"/>
    <w:semiHidden/>
    <w:unhideWhenUsed/>
    <w:rsid w:val="00415707"/>
    <w:rPr>
      <w:b/>
      <w:bCs/>
    </w:rPr>
  </w:style>
  <w:style w:type="character" w:customStyle="1" w:styleId="CommentSubjectChar">
    <w:name w:val="Comment Subject Char"/>
    <w:basedOn w:val="CommentTextChar"/>
    <w:link w:val="CommentSubject"/>
    <w:uiPriority w:val="99"/>
    <w:semiHidden/>
    <w:rsid w:val="00415707"/>
    <w:rPr>
      <w:b/>
      <w:bCs/>
      <w:sz w:val="20"/>
      <w:szCs w:val="20"/>
    </w:rPr>
  </w:style>
  <w:style w:type="paragraph" w:styleId="Revision">
    <w:name w:val="Revision"/>
    <w:hidden/>
    <w:uiPriority w:val="99"/>
    <w:semiHidden/>
    <w:rsid w:val="00682C8F"/>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Spacing">
    <w:name w:val="No Spacing"/>
    <w:uiPriority w:val="1"/>
    <w:qFormat/>
    <w:rsid w:val="00716AC4"/>
  </w:style>
  <w:style w:type="paragraph" w:styleId="ListBullet">
    <w:name w:val="List Bullet"/>
    <w:basedOn w:val="Normal"/>
    <w:uiPriority w:val="99"/>
    <w:unhideWhenUsed/>
    <w:rsid w:val="003E74B6"/>
    <w:pPr>
      <w:numPr>
        <w:numId w:val="13"/>
      </w:numPr>
      <w:tabs>
        <w:tab w:val="clear" w:pos="360"/>
      </w:tabs>
      <w:spacing w:after="200" w:line="276" w:lineRule="auto"/>
      <w:ind w:left="0" w:firstLine="0"/>
      <w:contextualSpacing/>
    </w:pPr>
    <w:rPr>
      <w:rFonts w:ascii="Georgia" w:eastAsiaTheme="minorEastAsia" w:hAnsi="Georgia" w:cstheme="minorBidi"/>
      <w:sz w:val="20"/>
      <w:szCs w:val="22"/>
      <w:lang w:val="en-US" w:eastAsia="en-US"/>
    </w:rPr>
  </w:style>
  <w:style w:type="character" w:styleId="Strong">
    <w:name w:val="Strong"/>
    <w:basedOn w:val="DefaultParagraphFont"/>
    <w:uiPriority w:val="22"/>
    <w:qFormat/>
    <w:rsid w:val="003E74B6"/>
    <w:rPr>
      <w:b/>
      <w:bCs/>
    </w:rPr>
  </w:style>
  <w:style w:type="table" w:styleId="LightGrid-Accent1">
    <w:name w:val="Light Grid Accent 1"/>
    <w:basedOn w:val="TableNormal"/>
    <w:uiPriority w:val="62"/>
    <w:rsid w:val="003E74B6"/>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goldhavenresource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ldhavenresources.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goldhavenresourc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havenresources.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H8hqOPAMFhY7mw2JfZPypWJlwA==">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A3EA11-900A-48EC-ABAB-96ACEF7A1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5</Pages>
  <Words>1558</Words>
  <Characters>8886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birmingham</dc:creator>
  <cp:lastModifiedBy>Steve Vanry</cp:lastModifiedBy>
  <cp:revision>6</cp:revision>
  <dcterms:created xsi:type="dcterms:W3CDTF">2026-05-14T01:54:00Z</dcterms:created>
  <dcterms:modified xsi:type="dcterms:W3CDTF">2026-05-14T19:50:00Z</dcterms:modified>
</cp:coreProperties>
</file>