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5472F" w14:textId="77777777" w:rsidR="00640E94" w:rsidRDefault="00640E94">
      <w:pPr>
        <w:pStyle w:val="Title"/>
        <w:spacing w:before="0" w:after="0"/>
        <w:rPr>
          <w:color w:val="000000"/>
          <w:sz w:val="28"/>
          <w:u w:val="single"/>
        </w:rPr>
      </w:pPr>
      <w:bookmarkStart w:id="0" w:name="_Toc370788688"/>
      <w:bookmarkStart w:id="1" w:name="_Toc398005544"/>
      <w:bookmarkStart w:id="2" w:name="_Toc412279961"/>
      <w:bookmarkStart w:id="3" w:name="_Toc419096464"/>
      <w:bookmarkStart w:id="4" w:name="_Toc366558847"/>
      <w:r>
        <w:rPr>
          <w:color w:val="000000"/>
          <w:sz w:val="28"/>
        </w:rPr>
        <w:t>FORM 7</w:t>
      </w:r>
      <w:r>
        <w:rPr>
          <w:color w:val="000000"/>
          <w:sz w:val="28"/>
        </w:rPr>
        <w:br/>
      </w:r>
      <w:r>
        <w:rPr>
          <w:color w:val="000000"/>
          <w:sz w:val="28"/>
        </w:rPr>
        <w:br/>
      </w:r>
      <w:r>
        <w:rPr>
          <w:color w:val="000000"/>
          <w:sz w:val="28"/>
          <w:u w:val="single"/>
        </w:rPr>
        <w:t>MONTHLY PROGRESS REPORT</w:t>
      </w:r>
      <w:bookmarkEnd w:id="0"/>
      <w:bookmarkEnd w:id="1"/>
      <w:bookmarkEnd w:id="2"/>
      <w:bookmarkEnd w:id="3"/>
    </w:p>
    <w:p w14:paraId="75C8BA40" w14:textId="5D2DA275" w:rsidR="00640E94" w:rsidRDefault="00640E94">
      <w:pPr>
        <w:pStyle w:val="BodyText"/>
        <w:tabs>
          <w:tab w:val="left" w:pos="0"/>
        </w:tabs>
        <w:rPr>
          <w:rFonts w:ascii="Arial" w:hAnsi="Arial"/>
          <w:color w:val="000000"/>
        </w:rPr>
      </w:pPr>
      <w:r>
        <w:rPr>
          <w:rFonts w:ascii="Arial" w:hAnsi="Arial"/>
          <w:color w:val="000000"/>
        </w:rPr>
        <w:t xml:space="preserve">Name of </w:t>
      </w:r>
      <w:r w:rsidR="008B7E92">
        <w:rPr>
          <w:rFonts w:ascii="Arial" w:hAnsi="Arial"/>
          <w:color w:val="000000"/>
        </w:rPr>
        <w:t>Listed</w:t>
      </w:r>
      <w:r>
        <w:rPr>
          <w:rFonts w:ascii="Arial" w:hAnsi="Arial"/>
          <w:color w:val="000000"/>
        </w:rPr>
        <w:t xml:space="preserve"> Issuer: </w:t>
      </w:r>
      <w:r>
        <w:rPr>
          <w:rFonts w:ascii="Arial" w:hAnsi="Arial"/>
          <w:color w:val="000000"/>
          <w:u w:val="single"/>
        </w:rPr>
        <w:tab/>
      </w:r>
      <w:r w:rsidR="00DB5DBF" w:rsidRPr="00B96C4D">
        <w:rPr>
          <w:rFonts w:ascii="Arial" w:hAnsi="Arial"/>
          <w:i/>
          <w:iCs/>
          <w:color w:val="000000"/>
          <w:u w:val="single"/>
        </w:rPr>
        <w:t>Prospect Ridge Resources Corp.</w:t>
      </w:r>
      <w:r>
        <w:rPr>
          <w:rFonts w:ascii="Arial" w:hAnsi="Arial"/>
          <w:color w:val="000000"/>
          <w:u w:val="single"/>
        </w:rPr>
        <w:tab/>
      </w:r>
      <w:r>
        <w:rPr>
          <w:rFonts w:ascii="Arial" w:hAnsi="Arial"/>
          <w:color w:val="000000"/>
          <w:u w:val="single"/>
        </w:rPr>
        <w:tab/>
      </w:r>
      <w:r>
        <w:rPr>
          <w:rFonts w:ascii="Arial" w:hAnsi="Arial"/>
          <w:color w:val="000000"/>
        </w:rPr>
        <w:t>(the “Issuer”).</w:t>
      </w:r>
    </w:p>
    <w:p w14:paraId="309E23D5" w14:textId="03638AC4" w:rsidR="00640E94" w:rsidRDefault="00640E94">
      <w:pPr>
        <w:pStyle w:val="BodyText"/>
        <w:tabs>
          <w:tab w:val="left" w:pos="7920"/>
          <w:tab w:val="left" w:pos="9180"/>
        </w:tabs>
        <w:rPr>
          <w:rFonts w:ascii="Arial" w:hAnsi="Arial"/>
          <w:color w:val="000000"/>
        </w:rPr>
      </w:pPr>
      <w:r>
        <w:rPr>
          <w:rFonts w:ascii="Arial" w:hAnsi="Arial"/>
          <w:color w:val="000000"/>
        </w:rPr>
        <w:t xml:space="preserve">Trading Symbol: </w:t>
      </w:r>
      <w:r w:rsidR="00B1320B" w:rsidRPr="00B1320B">
        <w:rPr>
          <w:rFonts w:ascii="Arial" w:hAnsi="Arial"/>
          <w:color w:val="000000"/>
          <w:u w:val="single"/>
        </w:rPr>
        <w:t xml:space="preserve">              </w:t>
      </w:r>
      <w:r w:rsidR="00DB5DBF" w:rsidRPr="00B96C4D">
        <w:rPr>
          <w:rFonts w:ascii="Arial" w:hAnsi="Arial"/>
          <w:i/>
          <w:iCs/>
          <w:color w:val="000000"/>
          <w:u w:val="single"/>
        </w:rPr>
        <w:t>PRR</w:t>
      </w:r>
      <w:r>
        <w:rPr>
          <w:rFonts w:ascii="Arial" w:hAnsi="Arial"/>
          <w:color w:val="000000"/>
          <w:u w:val="single"/>
        </w:rPr>
        <w:tab/>
      </w:r>
      <w:r>
        <w:rPr>
          <w:rFonts w:ascii="Arial" w:hAnsi="Arial"/>
          <w:color w:val="000000"/>
          <w:u w:val="single"/>
        </w:rPr>
        <w:tab/>
      </w:r>
    </w:p>
    <w:p w14:paraId="3DD18283" w14:textId="7AA374AE" w:rsidR="00640E94" w:rsidRPr="005C774E" w:rsidRDefault="00640E94" w:rsidP="00706419">
      <w:pPr>
        <w:pStyle w:val="BodyText"/>
        <w:tabs>
          <w:tab w:val="left" w:pos="6300"/>
          <w:tab w:val="left" w:pos="7920"/>
          <w:tab w:val="left" w:pos="9180"/>
        </w:tabs>
        <w:rPr>
          <w:rFonts w:ascii="Arial" w:hAnsi="Arial"/>
          <w:color w:val="000000"/>
        </w:rPr>
      </w:pPr>
      <w:r>
        <w:rPr>
          <w:rFonts w:ascii="Arial" w:hAnsi="Arial"/>
          <w:color w:val="000000"/>
        </w:rPr>
        <w:t xml:space="preserve">Number of Outstanding </w:t>
      </w:r>
      <w:r w:rsidR="00C27A18">
        <w:rPr>
          <w:rFonts w:ascii="Arial" w:hAnsi="Arial"/>
          <w:color w:val="000000"/>
        </w:rPr>
        <w:t>Listed</w:t>
      </w:r>
      <w:r>
        <w:rPr>
          <w:rFonts w:ascii="Arial" w:hAnsi="Arial"/>
          <w:color w:val="000000"/>
        </w:rPr>
        <w:t xml:space="preserve"> </w:t>
      </w:r>
      <w:r w:rsidRPr="0094399F">
        <w:rPr>
          <w:rFonts w:ascii="Arial" w:hAnsi="Arial"/>
          <w:color w:val="000000"/>
        </w:rPr>
        <w:t>Securities</w:t>
      </w:r>
      <w:r w:rsidRPr="00832B61">
        <w:rPr>
          <w:rFonts w:ascii="Arial" w:hAnsi="Arial"/>
          <w:color w:val="000000"/>
        </w:rPr>
        <w:t xml:space="preserve">: </w:t>
      </w:r>
      <w:r w:rsidR="00DB5DBF" w:rsidRPr="00832B61">
        <w:rPr>
          <w:rFonts w:ascii="Arial" w:hAnsi="Arial"/>
          <w:color w:val="000000"/>
          <w:u w:val="single"/>
        </w:rPr>
        <w:t xml:space="preserve">  </w:t>
      </w:r>
      <w:r w:rsidR="00B1320B" w:rsidRPr="00832B61">
        <w:rPr>
          <w:rFonts w:ascii="Arial" w:hAnsi="Arial"/>
          <w:color w:val="000000"/>
          <w:u w:val="single"/>
        </w:rPr>
        <w:t xml:space="preserve">     </w:t>
      </w:r>
      <w:r w:rsidR="0039674E" w:rsidRPr="00832B61">
        <w:rPr>
          <w:rFonts w:ascii="Arial" w:hAnsi="Arial"/>
          <w:i/>
          <w:iCs/>
          <w:color w:val="000000"/>
          <w:u w:val="single"/>
          <w:lang w:val="en-CA"/>
        </w:rPr>
        <w:t>113,843,101</w:t>
      </w:r>
      <w:r w:rsidRPr="005C774E">
        <w:rPr>
          <w:rFonts w:ascii="Arial" w:hAnsi="Arial"/>
          <w:color w:val="000000"/>
          <w:u w:val="single"/>
        </w:rPr>
        <w:tab/>
      </w:r>
    </w:p>
    <w:p w14:paraId="2988B727" w14:textId="2BF28397" w:rsidR="00640E94" w:rsidRDefault="00640E94">
      <w:pPr>
        <w:pStyle w:val="BodyText"/>
        <w:tabs>
          <w:tab w:val="left" w:pos="7920"/>
          <w:tab w:val="left" w:pos="9180"/>
        </w:tabs>
        <w:rPr>
          <w:rFonts w:ascii="Arial" w:hAnsi="Arial"/>
          <w:color w:val="000000"/>
        </w:rPr>
      </w:pPr>
      <w:r w:rsidRPr="005C774E">
        <w:rPr>
          <w:rFonts w:ascii="Arial" w:hAnsi="Arial"/>
          <w:color w:val="000000"/>
        </w:rPr>
        <w:t xml:space="preserve">Date: </w:t>
      </w:r>
      <w:r w:rsidR="00B1320B" w:rsidRPr="005C774E">
        <w:rPr>
          <w:rFonts w:ascii="Arial" w:hAnsi="Arial"/>
          <w:color w:val="000000"/>
        </w:rPr>
        <w:t xml:space="preserve">     </w:t>
      </w:r>
      <w:r w:rsidR="00B1320B" w:rsidRPr="005C774E">
        <w:rPr>
          <w:rFonts w:ascii="Arial" w:hAnsi="Arial"/>
          <w:color w:val="000000"/>
          <w:u w:val="single"/>
        </w:rPr>
        <w:t xml:space="preserve">                      </w:t>
      </w:r>
      <w:r w:rsidR="0039674E">
        <w:rPr>
          <w:rFonts w:ascii="Arial" w:hAnsi="Arial"/>
          <w:i/>
          <w:iCs/>
          <w:color w:val="000000"/>
          <w:u w:val="single"/>
        </w:rPr>
        <w:t>March</w:t>
      </w:r>
      <w:r w:rsidR="00393901">
        <w:rPr>
          <w:rFonts w:ascii="Arial" w:hAnsi="Arial"/>
          <w:i/>
          <w:iCs/>
          <w:color w:val="000000"/>
          <w:u w:val="single"/>
        </w:rPr>
        <w:t xml:space="preserve"> 2026</w:t>
      </w:r>
      <w:r>
        <w:rPr>
          <w:rFonts w:ascii="Arial" w:hAnsi="Arial"/>
          <w:color w:val="000000"/>
          <w:u w:val="single"/>
        </w:rPr>
        <w:tab/>
      </w:r>
    </w:p>
    <w:p w14:paraId="7CE72BA8" w14:textId="20B84776" w:rsidR="00640E94" w:rsidRDefault="00640E94">
      <w:pPr>
        <w:pStyle w:val="BodyText"/>
        <w:tabs>
          <w:tab w:val="left" w:pos="7920"/>
          <w:tab w:val="left" w:pos="9180"/>
        </w:tabs>
        <w:jc w:val="both"/>
        <w:rPr>
          <w:rFonts w:ascii="Arial" w:hAnsi="Arial"/>
          <w:color w:val="000000"/>
        </w:rPr>
      </w:pPr>
      <w:r>
        <w:rPr>
          <w:rFonts w:ascii="Arial" w:hAnsi="Arial"/>
          <w:color w:val="000000"/>
        </w:rPr>
        <w:t xml:space="preserve">This Monthly Progress Report must be posted before the opening of trading on the fifth trading day of each month.  This report is not intended to replace the Issuer’s obligation to separately report material information forthwith upon the information becoming known to management or to post the forms required by </w:t>
      </w:r>
      <w:r w:rsidR="008B7E92">
        <w:rPr>
          <w:rFonts w:ascii="Arial" w:hAnsi="Arial"/>
          <w:color w:val="000000"/>
        </w:rPr>
        <w:t>Exchange</w:t>
      </w:r>
      <w:r>
        <w:rPr>
          <w:rFonts w:ascii="Arial" w:hAnsi="Arial"/>
          <w:color w:val="000000"/>
        </w:rPr>
        <w:t xml:space="preserve"> Policies. If material information became known and was reported during the preceding month to which this report relates, this report should refer to the material information, the news release date and the posting date on the </w:t>
      </w:r>
      <w:r w:rsidR="008B7E92">
        <w:rPr>
          <w:rFonts w:ascii="Arial" w:hAnsi="Arial"/>
          <w:color w:val="000000"/>
        </w:rPr>
        <w:t>Exchange</w:t>
      </w:r>
      <w:r>
        <w:rPr>
          <w:rFonts w:ascii="Arial" w:hAnsi="Arial"/>
          <w:color w:val="000000"/>
        </w:rPr>
        <w:t xml:space="preserve"> website.</w:t>
      </w:r>
    </w:p>
    <w:p w14:paraId="4B82B9BA" w14:textId="589A31C3" w:rsidR="00640E94" w:rsidRDefault="00640E94">
      <w:pPr>
        <w:pStyle w:val="BodyText"/>
        <w:tabs>
          <w:tab w:val="left" w:pos="7920"/>
          <w:tab w:val="left" w:pos="9180"/>
        </w:tabs>
        <w:jc w:val="both"/>
        <w:rPr>
          <w:rFonts w:ascii="Arial" w:hAnsi="Arial"/>
          <w:color w:val="000000"/>
        </w:rPr>
      </w:pPr>
      <w:r>
        <w:rPr>
          <w:rFonts w:ascii="Arial" w:hAnsi="Arial"/>
          <w:color w:val="000000"/>
        </w:rPr>
        <w:t>This report is intended to keep investors and the market informed of the Issuer’s ongoing business and management activities that occurred during the preceding month. Do not discuss goals or future plans unless they have crystallized to the point that they are "material information" as defined in the Policies. The discussion in this report must be factual, balanced and non-promotional.</w:t>
      </w:r>
    </w:p>
    <w:p w14:paraId="711BEB69" w14:textId="77777777" w:rsidR="00640E94" w:rsidRDefault="00640E94">
      <w:pPr>
        <w:pStyle w:val="BodyText"/>
        <w:tabs>
          <w:tab w:val="left" w:pos="7920"/>
          <w:tab w:val="left" w:pos="9180"/>
        </w:tabs>
        <w:rPr>
          <w:rFonts w:ascii="Arial" w:hAnsi="Arial"/>
          <w:color w:val="000000"/>
        </w:rPr>
      </w:pPr>
      <w:r>
        <w:rPr>
          <w:rFonts w:ascii="Arial" w:hAnsi="Arial"/>
          <w:b/>
          <w:color w:val="000000"/>
        </w:rPr>
        <w:t>General Instructions</w:t>
      </w:r>
    </w:p>
    <w:p w14:paraId="572308FD" w14:textId="46BB5A48"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Prepare this Monthly Progress Report using the format set out below. The sequence of questions must not be altered nor should questions be omitted or left unanswered.  The answers to the items must be in narrative form. State when the answer to any item is negative or not applicable to the Issuer. The title to each item must precede the answer.</w:t>
      </w:r>
    </w:p>
    <w:p w14:paraId="761CB6D6"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The term “Issuer” includes the Issuer and any of its subsidiaries.</w:t>
      </w:r>
    </w:p>
    <w:p w14:paraId="469F2348" w14:textId="77777777" w:rsidR="00640E94" w:rsidRDefault="00640E94">
      <w:pPr>
        <w:pStyle w:val="BodyText"/>
        <w:numPr>
          <w:ilvl w:val="0"/>
          <w:numId w:val="26"/>
        </w:numPr>
        <w:tabs>
          <w:tab w:val="left" w:pos="1440"/>
          <w:tab w:val="left" w:pos="7920"/>
          <w:tab w:val="left" w:pos="9180"/>
        </w:tabs>
        <w:rPr>
          <w:rFonts w:ascii="Arial" w:hAnsi="Arial"/>
          <w:color w:val="000000"/>
        </w:rPr>
      </w:pPr>
      <w:r>
        <w:rPr>
          <w:rFonts w:ascii="Arial" w:hAnsi="Arial"/>
          <w:color w:val="000000"/>
        </w:rPr>
        <w:t>Terms used and not defined in this form are defined or interpreted in Policy 1 – Interpretation and General Provisions.</w:t>
      </w:r>
    </w:p>
    <w:p w14:paraId="27D19949" w14:textId="77777777" w:rsidR="00B9218A" w:rsidRDefault="00B9218A">
      <w:pPr>
        <w:pStyle w:val="List"/>
        <w:keepLines/>
        <w:spacing w:before="120"/>
        <w:ind w:left="0" w:firstLine="0"/>
        <w:rPr>
          <w:rFonts w:ascii="Arial" w:hAnsi="Arial"/>
          <w:b/>
        </w:rPr>
      </w:pPr>
    </w:p>
    <w:p w14:paraId="62195E97" w14:textId="5E6019FB" w:rsidR="00640E94" w:rsidRDefault="00640E94">
      <w:pPr>
        <w:pStyle w:val="List"/>
        <w:keepLines/>
        <w:spacing w:before="120"/>
        <w:ind w:left="0" w:firstLine="0"/>
        <w:rPr>
          <w:rFonts w:ascii="Arial" w:hAnsi="Arial"/>
          <w:b/>
        </w:rPr>
      </w:pPr>
      <w:r>
        <w:rPr>
          <w:rFonts w:ascii="Arial" w:hAnsi="Arial"/>
          <w:b/>
        </w:rPr>
        <w:t>Report on Business</w:t>
      </w:r>
    </w:p>
    <w:p w14:paraId="024EB41B" w14:textId="3D4825C0" w:rsidR="00640E94" w:rsidRDefault="00640E94">
      <w:pPr>
        <w:pStyle w:val="List"/>
        <w:numPr>
          <w:ilvl w:val="0"/>
          <w:numId w:val="28"/>
        </w:numPr>
        <w:spacing w:before="120"/>
        <w:jc w:val="both"/>
        <w:rPr>
          <w:rFonts w:ascii="Arial" w:hAnsi="Arial"/>
        </w:rPr>
      </w:pPr>
      <w:r>
        <w:rPr>
          <w:rFonts w:ascii="Arial" w:hAnsi="Arial"/>
        </w:rPr>
        <w:t>Provide a general overview and discussion of the development of the Issuer’s business and operations over the previous month.  Where the Issuer was inactive disclose this fact.</w:t>
      </w:r>
    </w:p>
    <w:p w14:paraId="69811867" w14:textId="74624765" w:rsidR="00B1320B" w:rsidRDefault="00F8624C" w:rsidP="00F8624C">
      <w:pPr>
        <w:pStyle w:val="List"/>
        <w:spacing w:before="120"/>
        <w:ind w:left="720" w:hanging="720"/>
        <w:jc w:val="both"/>
        <w:rPr>
          <w:rFonts w:ascii="Arial" w:hAnsi="Arial"/>
          <w:i/>
          <w:iCs/>
        </w:rPr>
      </w:pPr>
      <w:r>
        <w:rPr>
          <w:rFonts w:ascii="Arial" w:hAnsi="Arial"/>
        </w:rPr>
        <w:tab/>
      </w:r>
      <w:r w:rsidRPr="00B96C4D">
        <w:rPr>
          <w:rFonts w:ascii="Arial" w:hAnsi="Arial"/>
          <w:i/>
          <w:iCs/>
        </w:rPr>
        <w:t xml:space="preserve">The </w:t>
      </w:r>
      <w:r w:rsidR="000969DB" w:rsidRPr="00B96C4D">
        <w:rPr>
          <w:rFonts w:ascii="Arial" w:hAnsi="Arial"/>
          <w:i/>
          <w:iCs/>
        </w:rPr>
        <w:t>Issuer’s business and operations</w:t>
      </w:r>
      <w:r w:rsidRPr="00B96C4D">
        <w:rPr>
          <w:rFonts w:ascii="Arial" w:hAnsi="Arial"/>
          <w:i/>
          <w:iCs/>
        </w:rPr>
        <w:t xml:space="preserve"> </w:t>
      </w:r>
      <w:r w:rsidR="000969DB" w:rsidRPr="00B96C4D">
        <w:rPr>
          <w:rFonts w:ascii="Arial" w:hAnsi="Arial"/>
          <w:i/>
          <w:iCs/>
        </w:rPr>
        <w:t xml:space="preserve">focused on the acquisition, exploration, and development of </w:t>
      </w:r>
      <w:r w:rsidR="000838FB" w:rsidRPr="006C75A4">
        <w:rPr>
          <w:rFonts w:ascii="Arial" w:hAnsi="Arial"/>
          <w:i/>
          <w:iCs/>
        </w:rPr>
        <w:t xml:space="preserve">critical metal and </w:t>
      </w:r>
      <w:r w:rsidR="000969DB" w:rsidRPr="006C75A4">
        <w:rPr>
          <w:rFonts w:ascii="Arial" w:hAnsi="Arial"/>
          <w:i/>
          <w:iCs/>
        </w:rPr>
        <w:t>gold projects</w:t>
      </w:r>
      <w:r w:rsidR="000969DB" w:rsidRPr="00B96C4D">
        <w:rPr>
          <w:rFonts w:ascii="Arial" w:hAnsi="Arial"/>
          <w:i/>
          <w:iCs/>
        </w:rPr>
        <w:t xml:space="preserve"> in</w:t>
      </w:r>
      <w:r w:rsidRPr="00B96C4D">
        <w:rPr>
          <w:rFonts w:ascii="Arial" w:hAnsi="Arial"/>
          <w:i/>
          <w:iCs/>
        </w:rPr>
        <w:t xml:space="preserve"> </w:t>
      </w:r>
      <w:r w:rsidR="000969DB" w:rsidRPr="00B96C4D">
        <w:rPr>
          <w:rFonts w:ascii="Arial" w:hAnsi="Arial"/>
          <w:i/>
          <w:iCs/>
        </w:rPr>
        <w:t>Canada.</w:t>
      </w:r>
      <w:r w:rsidRPr="00B96C4D">
        <w:rPr>
          <w:rFonts w:ascii="Arial" w:hAnsi="Arial"/>
          <w:i/>
          <w:iCs/>
        </w:rPr>
        <w:t xml:space="preserve"> </w:t>
      </w:r>
    </w:p>
    <w:p w14:paraId="0F2406EA" w14:textId="77777777" w:rsidR="00374AAA" w:rsidRPr="00B96C4D" w:rsidRDefault="00374AAA" w:rsidP="00F8624C">
      <w:pPr>
        <w:pStyle w:val="List"/>
        <w:spacing w:before="120"/>
        <w:ind w:left="720" w:hanging="720"/>
        <w:jc w:val="both"/>
        <w:rPr>
          <w:rFonts w:ascii="Arial" w:hAnsi="Arial"/>
          <w:i/>
          <w:iCs/>
        </w:rPr>
      </w:pPr>
    </w:p>
    <w:p w14:paraId="20B3CACD" w14:textId="77777777" w:rsidR="00374AAA" w:rsidRDefault="00374AAA" w:rsidP="003A01CD">
      <w:pPr>
        <w:pStyle w:val="Default"/>
        <w:ind w:left="720"/>
        <w:jc w:val="both"/>
        <w:rPr>
          <w:rFonts w:ascii="Arial" w:hAnsi="Arial" w:cs="Arial"/>
          <w:i/>
          <w:iCs/>
        </w:rPr>
      </w:pPr>
    </w:p>
    <w:p w14:paraId="6C4F3000" w14:textId="70ECC5B1" w:rsidR="00184750" w:rsidRDefault="00184750" w:rsidP="00184750">
      <w:pPr>
        <w:pStyle w:val="Default"/>
        <w:ind w:left="720"/>
        <w:jc w:val="both"/>
        <w:rPr>
          <w:rFonts w:ascii="Arial" w:hAnsi="Arial" w:cs="Arial"/>
          <w:i/>
          <w:iCs/>
        </w:rPr>
      </w:pPr>
      <w:r>
        <w:rPr>
          <w:rFonts w:ascii="Arial" w:hAnsi="Arial" w:cs="Arial"/>
          <w:i/>
          <w:iCs/>
        </w:rPr>
        <w:t xml:space="preserve">The </w:t>
      </w:r>
      <w:r w:rsidRPr="007937C2">
        <w:rPr>
          <w:rFonts w:ascii="Arial" w:hAnsi="Arial" w:cs="Arial"/>
          <w:i/>
          <w:iCs/>
        </w:rPr>
        <w:t xml:space="preserve">Company owns </w:t>
      </w:r>
      <w:r w:rsidR="00D30E76" w:rsidRPr="007937C2">
        <w:rPr>
          <w:rFonts w:ascii="Arial" w:hAnsi="Arial" w:cs="Arial"/>
          <w:i/>
          <w:iCs/>
        </w:rPr>
        <w:t xml:space="preserve">outright or has options to acquire </w:t>
      </w:r>
      <w:r w:rsidRPr="007937C2">
        <w:rPr>
          <w:rFonts w:ascii="Arial" w:hAnsi="Arial" w:cs="Arial"/>
          <w:i/>
          <w:iCs/>
        </w:rPr>
        <w:t>100% interests in the Holy Grail</w:t>
      </w:r>
      <w:r w:rsidR="003427B7" w:rsidRPr="007937C2">
        <w:rPr>
          <w:rFonts w:ascii="Arial" w:hAnsi="Arial" w:cs="Arial"/>
          <w:i/>
          <w:iCs/>
        </w:rPr>
        <w:t xml:space="preserve">, </w:t>
      </w:r>
      <w:r w:rsidRPr="007937C2">
        <w:rPr>
          <w:rFonts w:ascii="Arial" w:hAnsi="Arial" w:cs="Arial"/>
          <w:i/>
          <w:iCs/>
        </w:rPr>
        <w:t>Knauss Creek</w:t>
      </w:r>
      <w:r w:rsidR="005B519F" w:rsidRPr="007937C2">
        <w:rPr>
          <w:rFonts w:ascii="Arial" w:hAnsi="Arial" w:cs="Arial"/>
          <w:i/>
          <w:iCs/>
        </w:rPr>
        <w:t>,</w:t>
      </w:r>
      <w:r w:rsidR="005B519F" w:rsidRPr="007937C2">
        <w:rPr>
          <w:rFonts w:ascii="Poppins" w:hAnsi="Poppins" w:cs="Poppins"/>
          <w:color w:val="212529"/>
          <w:sz w:val="20"/>
          <w:szCs w:val="20"/>
          <w:shd w:val="clear" w:color="auto" w:fill="FFFFFF"/>
        </w:rPr>
        <w:t xml:space="preserve"> </w:t>
      </w:r>
      <w:r w:rsidR="005B519F" w:rsidRPr="007937C2">
        <w:rPr>
          <w:rFonts w:ascii="Arial" w:hAnsi="Arial" w:cs="Arial"/>
          <w:i/>
          <w:iCs/>
        </w:rPr>
        <w:t xml:space="preserve">Castle, Excalibur and </w:t>
      </w:r>
      <w:r w:rsidR="003427B7" w:rsidRPr="007937C2">
        <w:rPr>
          <w:rFonts w:ascii="Arial" w:hAnsi="Arial" w:cs="Arial"/>
          <w:i/>
          <w:iCs/>
        </w:rPr>
        <w:t>Camelot</w:t>
      </w:r>
      <w:r w:rsidRPr="007937C2">
        <w:rPr>
          <w:rFonts w:ascii="Arial" w:hAnsi="Arial" w:cs="Arial"/>
          <w:i/>
          <w:iCs/>
        </w:rPr>
        <w:t xml:space="preserve"> Prop</w:t>
      </w:r>
      <w:r>
        <w:rPr>
          <w:rFonts w:ascii="Arial" w:hAnsi="Arial" w:cs="Arial"/>
          <w:i/>
          <w:iCs/>
        </w:rPr>
        <w:t>erties in British Columbia.</w:t>
      </w:r>
    </w:p>
    <w:p w14:paraId="34F16471" w14:textId="77777777" w:rsidR="00184750" w:rsidRDefault="00184750" w:rsidP="00184750">
      <w:pPr>
        <w:pStyle w:val="Default"/>
        <w:ind w:left="720"/>
        <w:jc w:val="both"/>
        <w:rPr>
          <w:rFonts w:ascii="Arial" w:hAnsi="Arial" w:cs="Arial"/>
          <w:i/>
          <w:iCs/>
        </w:rPr>
      </w:pPr>
    </w:p>
    <w:p w14:paraId="666AD400" w14:textId="6CCD8CFB" w:rsidR="00374AAA" w:rsidRDefault="00374AAA" w:rsidP="00374AAA">
      <w:pPr>
        <w:pStyle w:val="Default"/>
        <w:ind w:left="720"/>
        <w:jc w:val="both"/>
        <w:rPr>
          <w:rFonts w:ascii="Arial" w:hAnsi="Arial"/>
          <w:i/>
          <w:iCs/>
          <w:color w:val="auto"/>
          <w:szCs w:val="20"/>
        </w:rPr>
      </w:pPr>
      <w:r>
        <w:rPr>
          <w:rFonts w:ascii="Arial" w:hAnsi="Arial"/>
          <w:i/>
          <w:iCs/>
          <w:color w:val="auto"/>
          <w:szCs w:val="20"/>
        </w:rPr>
        <w:t>The Company</w:t>
      </w:r>
      <w:r w:rsidRPr="00374AAA">
        <w:rPr>
          <w:rFonts w:ascii="Arial" w:hAnsi="Arial"/>
          <w:i/>
          <w:iCs/>
          <w:color w:val="auto"/>
          <w:szCs w:val="20"/>
        </w:rPr>
        <w:t xml:space="preserve"> is actively exploring its Holy Grail property in British Columbia, fo</w:t>
      </w:r>
      <w:r w:rsidRPr="004F2FB9">
        <w:rPr>
          <w:rFonts w:ascii="Arial" w:hAnsi="Arial"/>
          <w:i/>
          <w:iCs/>
          <w:color w:val="auto"/>
          <w:szCs w:val="20"/>
        </w:rPr>
        <w:t xml:space="preserve">cusing on identifying high-grade gold, silver, and base metal mineralization. </w:t>
      </w:r>
      <w:r w:rsidR="00B80B60" w:rsidRPr="004F2FB9">
        <w:rPr>
          <w:rFonts w:ascii="Arial" w:hAnsi="Arial"/>
          <w:i/>
          <w:iCs/>
          <w:color w:val="auto"/>
          <w:szCs w:val="20"/>
        </w:rPr>
        <w:t xml:space="preserve">During this field season, Equity Exploration Consultants Inc.  has mapped and ground-truthed a total of 19 target areas. To date, assay results have been received for 63 of 80 rock samples collected in 2025.  The new assays include 17 samples with &gt;100 ppm copper, of which eight samples had copper values of &gt;1,000 ppm and four samples returned &gt;10,000 ppm Cu.  Mapping has determined that the anomalous Cu values are consistent with NW-SE trending regional structures and smaller splays. </w:t>
      </w:r>
      <w:r w:rsidR="00B80B60" w:rsidRPr="004F2FB9">
        <w:rPr>
          <w:rFonts w:ascii="Arial" w:hAnsi="Arial"/>
          <w:i/>
          <w:iCs/>
          <w:color w:val="auto"/>
          <w:szCs w:val="20"/>
          <w:lang w:val="en-CA"/>
        </w:rPr>
        <w:t>These values and their distribution suggest a strong structural control on mineralization that will require follow-up in 2026 with a program that includes an IP survey.</w:t>
      </w:r>
      <w:r w:rsidR="00B80B60" w:rsidRPr="004F2FB9">
        <w:rPr>
          <w:rFonts w:ascii="Arial" w:hAnsi="Arial"/>
          <w:b/>
          <w:bCs/>
          <w:i/>
          <w:iCs/>
          <w:color w:val="auto"/>
          <w:szCs w:val="20"/>
          <w:lang w:val="en-CA"/>
        </w:rPr>
        <w:t xml:space="preserve">  </w:t>
      </w:r>
      <w:r w:rsidRPr="004F2FB9">
        <w:rPr>
          <w:rFonts w:ascii="Arial" w:hAnsi="Arial"/>
          <w:i/>
          <w:iCs/>
          <w:color w:val="auto"/>
          <w:szCs w:val="20"/>
        </w:rPr>
        <w:t>These initiatives aim to delineate drill targets and assess the property's potential for hosting economically</w:t>
      </w:r>
      <w:r w:rsidRPr="00374AAA">
        <w:rPr>
          <w:rFonts w:ascii="Arial" w:hAnsi="Arial"/>
          <w:i/>
          <w:iCs/>
          <w:color w:val="auto"/>
          <w:szCs w:val="20"/>
        </w:rPr>
        <w:t xml:space="preserve"> viable mineral deposits.</w:t>
      </w:r>
    </w:p>
    <w:p w14:paraId="3CEFDD63" w14:textId="77777777" w:rsidR="00BF621E" w:rsidRDefault="00BF621E" w:rsidP="00374AAA">
      <w:pPr>
        <w:pStyle w:val="Default"/>
        <w:ind w:left="720"/>
        <w:jc w:val="both"/>
        <w:rPr>
          <w:rFonts w:ascii="Arial" w:hAnsi="Arial"/>
          <w:i/>
          <w:iCs/>
          <w:color w:val="auto"/>
          <w:szCs w:val="20"/>
        </w:rPr>
      </w:pPr>
    </w:p>
    <w:p w14:paraId="5FAF3FA8" w14:textId="581F2AB1" w:rsidR="00BF621E" w:rsidRPr="004F2FB9" w:rsidRDefault="00BF621E" w:rsidP="00374AAA">
      <w:pPr>
        <w:pStyle w:val="Default"/>
        <w:ind w:left="720"/>
        <w:jc w:val="both"/>
        <w:rPr>
          <w:rFonts w:ascii="Arial" w:hAnsi="Arial"/>
          <w:i/>
          <w:iCs/>
          <w:color w:val="auto"/>
          <w:szCs w:val="20"/>
        </w:rPr>
      </w:pPr>
      <w:r w:rsidRPr="00BF621E">
        <w:rPr>
          <w:rFonts w:ascii="Arial" w:hAnsi="Arial"/>
          <w:i/>
          <w:iCs/>
          <w:color w:val="auto"/>
          <w:szCs w:val="20"/>
        </w:rPr>
        <w:t>The Company also confirms that its previously announced options to acquire a 100% interest in the Castle and Excalibur Copper- Gold porphyry projects have been approved by the Canadian Securities Exchange. The Company has completed the initial payments for the two projects, comprising a combined total of $12,000 in cash and 360,000 shares subject to a hold period that expires Novemb</w:t>
      </w:r>
      <w:r w:rsidRPr="004F2FB9">
        <w:rPr>
          <w:rFonts w:ascii="Arial" w:hAnsi="Arial"/>
          <w:i/>
          <w:iCs/>
          <w:color w:val="auto"/>
          <w:szCs w:val="20"/>
        </w:rPr>
        <w:t>er 17, 2025.  </w:t>
      </w:r>
    </w:p>
    <w:p w14:paraId="3A81851D" w14:textId="77777777" w:rsidR="00B80B60" w:rsidRPr="004F2FB9" w:rsidRDefault="00B80B60" w:rsidP="00374AAA">
      <w:pPr>
        <w:pStyle w:val="Default"/>
        <w:ind w:left="720"/>
        <w:jc w:val="both"/>
        <w:rPr>
          <w:rFonts w:ascii="Arial" w:hAnsi="Arial"/>
          <w:i/>
          <w:iCs/>
          <w:color w:val="auto"/>
          <w:szCs w:val="20"/>
        </w:rPr>
      </w:pPr>
    </w:p>
    <w:p w14:paraId="3FBF9B72" w14:textId="1C613130" w:rsidR="00B80B60" w:rsidRPr="007937C2" w:rsidRDefault="00B80B60" w:rsidP="00B80B60">
      <w:pPr>
        <w:pStyle w:val="Default"/>
        <w:ind w:left="720"/>
        <w:jc w:val="both"/>
        <w:rPr>
          <w:rFonts w:ascii="Arial" w:hAnsi="Arial"/>
          <w:i/>
          <w:iCs/>
          <w:lang w:val="en-CA"/>
        </w:rPr>
      </w:pPr>
      <w:r w:rsidRPr="007937C2">
        <w:rPr>
          <w:rFonts w:ascii="Arial" w:hAnsi="Arial"/>
          <w:i/>
          <w:iCs/>
          <w:lang w:val="en-CA"/>
        </w:rPr>
        <w:t>At the Excalibur project a ~2</w:t>
      </w:r>
      <w:r w:rsidR="00D30E76" w:rsidRPr="007937C2">
        <w:rPr>
          <w:rFonts w:ascii="Arial" w:hAnsi="Arial"/>
          <w:i/>
          <w:iCs/>
          <w:lang w:val="en-CA"/>
        </w:rPr>
        <w:t>6</w:t>
      </w:r>
      <w:r w:rsidRPr="007937C2">
        <w:rPr>
          <w:rFonts w:ascii="Arial" w:hAnsi="Arial"/>
          <w:i/>
          <w:iCs/>
          <w:lang w:val="en-CA"/>
        </w:rPr>
        <w:t xml:space="preserve"> line-km Induced Polarization (“IP”) survey was completed in late October with results </w:t>
      </w:r>
      <w:r w:rsidR="00D33367">
        <w:rPr>
          <w:rFonts w:ascii="Arial" w:hAnsi="Arial"/>
          <w:i/>
          <w:iCs/>
          <w:lang w:val="en-CA"/>
        </w:rPr>
        <w:t>announced January 23, 2026</w:t>
      </w:r>
      <w:r w:rsidRPr="007937C2">
        <w:rPr>
          <w:rFonts w:ascii="Arial" w:hAnsi="Arial"/>
          <w:i/>
          <w:iCs/>
          <w:lang w:val="en-CA"/>
        </w:rPr>
        <w:t>; soil sampling from a summer 2025 program has identified a second, 150 m x 200 m western porphyry target identified by elevated (&gt;150 ppm) Cu in soils.</w:t>
      </w:r>
    </w:p>
    <w:p w14:paraId="0B67623A" w14:textId="77777777" w:rsidR="00B80B60" w:rsidRPr="007937C2" w:rsidRDefault="00B80B60" w:rsidP="00B80B60">
      <w:pPr>
        <w:pStyle w:val="Default"/>
        <w:ind w:left="720"/>
        <w:jc w:val="both"/>
        <w:rPr>
          <w:rFonts w:ascii="Arial" w:hAnsi="Arial"/>
          <w:i/>
          <w:iCs/>
          <w:lang w:val="en-CA"/>
        </w:rPr>
      </w:pPr>
    </w:p>
    <w:p w14:paraId="5EFF1FC7" w14:textId="751728B2" w:rsidR="00B80B60" w:rsidRPr="007937C2" w:rsidRDefault="00B80B60" w:rsidP="00B80B60">
      <w:pPr>
        <w:pStyle w:val="Default"/>
        <w:ind w:left="720"/>
        <w:jc w:val="both"/>
        <w:rPr>
          <w:rFonts w:ascii="Arial" w:hAnsi="Arial"/>
          <w:i/>
          <w:iCs/>
          <w:lang w:val="en-CA"/>
        </w:rPr>
      </w:pPr>
      <w:r w:rsidRPr="007937C2">
        <w:rPr>
          <w:rFonts w:ascii="Arial" w:hAnsi="Arial"/>
          <w:i/>
          <w:iCs/>
          <w:lang w:val="en-CA"/>
        </w:rPr>
        <w:t xml:space="preserve">At the Castle project a 500 line-km aerial magnetics survey has been completed, magnetics and results from an IP survey completed in September are expected </w:t>
      </w:r>
      <w:r w:rsidR="003D7C1B">
        <w:rPr>
          <w:rFonts w:ascii="Arial" w:hAnsi="Arial"/>
          <w:i/>
          <w:iCs/>
          <w:lang w:val="en-CA"/>
        </w:rPr>
        <w:t>by mid-May</w:t>
      </w:r>
      <w:r w:rsidRPr="007937C2">
        <w:rPr>
          <w:rFonts w:ascii="Arial" w:hAnsi="Arial"/>
          <w:i/>
          <w:iCs/>
          <w:lang w:val="en-CA"/>
        </w:rPr>
        <w:t>.</w:t>
      </w:r>
    </w:p>
    <w:p w14:paraId="0CB0C056" w14:textId="77777777" w:rsidR="00972DA7" w:rsidRPr="007937C2" w:rsidRDefault="00972DA7" w:rsidP="001F1952">
      <w:pPr>
        <w:pStyle w:val="Default"/>
        <w:jc w:val="both"/>
        <w:rPr>
          <w:rFonts w:ascii="Arial" w:hAnsi="Arial" w:cs="Arial"/>
          <w:i/>
          <w:iCs/>
        </w:rPr>
      </w:pPr>
    </w:p>
    <w:p w14:paraId="674164AD" w14:textId="156C36AF" w:rsidR="003427B7" w:rsidRPr="007937C2" w:rsidRDefault="003427B7" w:rsidP="00B80B60">
      <w:pPr>
        <w:pStyle w:val="Default"/>
        <w:ind w:left="720"/>
        <w:jc w:val="both"/>
        <w:rPr>
          <w:rFonts w:ascii="Arial" w:hAnsi="Arial" w:cs="Arial"/>
          <w:i/>
          <w:iCs/>
        </w:rPr>
      </w:pPr>
      <w:r w:rsidRPr="007937C2">
        <w:rPr>
          <w:rFonts w:ascii="Arial" w:hAnsi="Arial" w:cs="Arial"/>
          <w:i/>
          <w:iCs/>
        </w:rPr>
        <w:t xml:space="preserve">The Company </w:t>
      </w:r>
      <w:r w:rsidR="00D30E76" w:rsidRPr="007937C2">
        <w:rPr>
          <w:rFonts w:ascii="Arial" w:hAnsi="Arial" w:cs="Arial"/>
          <w:i/>
          <w:iCs/>
        </w:rPr>
        <w:t>completed a</w:t>
      </w:r>
      <w:r w:rsidR="00B80B60" w:rsidRPr="007937C2">
        <w:rPr>
          <w:rFonts w:ascii="Arial" w:hAnsi="Arial" w:cs="Arial"/>
          <w:i/>
          <w:iCs/>
        </w:rPr>
        <w:t xml:space="preserve"> </w:t>
      </w:r>
      <w:r w:rsidRPr="007937C2">
        <w:rPr>
          <w:rFonts w:ascii="Arial" w:hAnsi="Arial" w:cs="Arial"/>
          <w:i/>
          <w:iCs/>
        </w:rPr>
        <w:t xml:space="preserve">2,000 m diamond drill program at the Company’s 100% owned Camelot copper-gold porphyry project in British Columbia’s prolific Cariboo Mining District. Drilling </w:t>
      </w:r>
      <w:r w:rsidR="00B80B60" w:rsidRPr="007937C2">
        <w:rPr>
          <w:rFonts w:ascii="Arial" w:hAnsi="Arial" w:cs="Arial"/>
          <w:i/>
          <w:iCs/>
        </w:rPr>
        <w:t>commenced</w:t>
      </w:r>
      <w:r w:rsidRPr="007937C2">
        <w:rPr>
          <w:rFonts w:ascii="Arial" w:hAnsi="Arial" w:cs="Arial"/>
          <w:i/>
          <w:iCs/>
        </w:rPr>
        <w:t xml:space="preserve"> November 1</w:t>
      </w:r>
      <w:r w:rsidR="00D30E76" w:rsidRPr="007937C2">
        <w:rPr>
          <w:rFonts w:ascii="Arial" w:hAnsi="Arial" w:cs="Arial"/>
          <w:i/>
          <w:iCs/>
        </w:rPr>
        <w:t xml:space="preserve"> and was completed by December 1, 2025</w:t>
      </w:r>
      <w:r w:rsidRPr="007937C2">
        <w:rPr>
          <w:rFonts w:ascii="Arial" w:hAnsi="Arial" w:cs="Arial"/>
          <w:i/>
          <w:iCs/>
        </w:rPr>
        <w:t>.</w:t>
      </w:r>
    </w:p>
    <w:p w14:paraId="64AB9F00" w14:textId="77777777" w:rsidR="00614A05" w:rsidRPr="007937C2" w:rsidRDefault="00614A05" w:rsidP="00B80B60">
      <w:pPr>
        <w:pStyle w:val="Default"/>
        <w:ind w:left="720"/>
        <w:jc w:val="both"/>
        <w:rPr>
          <w:rFonts w:ascii="Arial" w:hAnsi="Arial" w:cs="Arial"/>
          <w:i/>
          <w:iCs/>
        </w:rPr>
      </w:pPr>
    </w:p>
    <w:p w14:paraId="3A725046" w14:textId="2525662A" w:rsidR="00614A05" w:rsidRDefault="00D30E76" w:rsidP="00B80B60">
      <w:pPr>
        <w:pStyle w:val="Default"/>
        <w:ind w:left="720"/>
        <w:jc w:val="both"/>
        <w:rPr>
          <w:rFonts w:ascii="Arial" w:hAnsi="Arial" w:cs="Arial"/>
          <w:i/>
          <w:iCs/>
        </w:rPr>
      </w:pPr>
      <w:r w:rsidRPr="007937C2">
        <w:rPr>
          <w:rFonts w:ascii="Arial" w:hAnsi="Arial" w:cs="Arial"/>
          <w:i/>
          <w:iCs/>
        </w:rPr>
        <w:t>On December 4 and 22 t</w:t>
      </w:r>
      <w:r w:rsidR="00614A05" w:rsidRPr="007937C2">
        <w:rPr>
          <w:rFonts w:ascii="Arial" w:hAnsi="Arial" w:cs="Arial"/>
          <w:i/>
          <w:iCs/>
        </w:rPr>
        <w:t xml:space="preserve">he Company </w:t>
      </w:r>
      <w:r w:rsidRPr="007937C2">
        <w:rPr>
          <w:rFonts w:ascii="Arial" w:hAnsi="Arial" w:cs="Arial"/>
          <w:i/>
          <w:iCs/>
        </w:rPr>
        <w:t xml:space="preserve">announced </w:t>
      </w:r>
      <w:r w:rsidR="00614A05" w:rsidRPr="007937C2">
        <w:rPr>
          <w:rFonts w:ascii="Arial" w:hAnsi="Arial" w:cs="Arial"/>
          <w:i/>
          <w:iCs/>
        </w:rPr>
        <w:t xml:space="preserve">visual observations and portable X-ray fluorescence spectrometer (pXRF) results for </w:t>
      </w:r>
      <w:r w:rsidRPr="007937C2">
        <w:rPr>
          <w:rFonts w:ascii="Arial" w:hAnsi="Arial" w:cs="Arial"/>
          <w:i/>
          <w:iCs/>
        </w:rPr>
        <w:t xml:space="preserve">all </w:t>
      </w:r>
      <w:r w:rsidR="00614A05" w:rsidRPr="007937C2">
        <w:rPr>
          <w:rFonts w:ascii="Arial" w:hAnsi="Arial" w:cs="Arial"/>
          <w:i/>
          <w:iCs/>
        </w:rPr>
        <w:t>ten hole</w:t>
      </w:r>
      <w:r w:rsidRPr="007937C2">
        <w:rPr>
          <w:rFonts w:ascii="Arial" w:hAnsi="Arial" w:cs="Arial"/>
          <w:i/>
          <w:iCs/>
        </w:rPr>
        <w:t>s of the</w:t>
      </w:r>
      <w:r w:rsidR="00614A05" w:rsidRPr="007937C2">
        <w:rPr>
          <w:rFonts w:ascii="Arial" w:hAnsi="Arial" w:cs="Arial"/>
          <w:i/>
          <w:iCs/>
        </w:rPr>
        <w:t xml:space="preserve"> diamond drill program at the Company’s 100% owned Camelot copper-gold project in British Columbia’s prolific Cariboo Mining District.</w:t>
      </w:r>
    </w:p>
    <w:p w14:paraId="5F2BE6FF" w14:textId="77777777" w:rsidR="00D33367" w:rsidRDefault="00D33367" w:rsidP="00B80B60">
      <w:pPr>
        <w:pStyle w:val="Default"/>
        <w:ind w:left="720"/>
        <w:jc w:val="both"/>
        <w:rPr>
          <w:rFonts w:ascii="Arial" w:hAnsi="Arial" w:cs="Arial"/>
          <w:i/>
          <w:iCs/>
        </w:rPr>
      </w:pPr>
    </w:p>
    <w:p w14:paraId="2AE93548" w14:textId="77777777" w:rsidR="00930C4D" w:rsidRPr="00930C4D" w:rsidRDefault="00D33367" w:rsidP="00930C4D">
      <w:pPr>
        <w:pStyle w:val="Default"/>
        <w:ind w:left="720"/>
        <w:jc w:val="both"/>
        <w:rPr>
          <w:rFonts w:ascii="Arial" w:hAnsi="Arial" w:cs="Arial"/>
          <w:i/>
          <w:iCs/>
        </w:rPr>
      </w:pPr>
      <w:r>
        <w:rPr>
          <w:rFonts w:ascii="Arial" w:hAnsi="Arial" w:cs="Arial"/>
          <w:i/>
          <w:iCs/>
        </w:rPr>
        <w:t>On January 22, 2026 the Company announced assay results from DDH CAM25-009</w:t>
      </w:r>
      <w:r w:rsidR="00930C4D">
        <w:rPr>
          <w:rFonts w:ascii="Arial" w:hAnsi="Arial" w:cs="Arial"/>
          <w:i/>
          <w:iCs/>
        </w:rPr>
        <w:t xml:space="preserve"> drilled at the Camelot project.  </w:t>
      </w:r>
      <w:r w:rsidR="00930C4D" w:rsidRPr="00930C4D">
        <w:rPr>
          <w:rFonts w:ascii="Arial" w:hAnsi="Arial" w:cs="Arial"/>
          <w:i/>
          <w:iCs/>
          <w:lang w:val="en-CA"/>
        </w:rPr>
        <w:t>Highlights of hole CAM25-009 include:</w:t>
      </w:r>
    </w:p>
    <w:p w14:paraId="4FADD52F" w14:textId="77777777" w:rsidR="00930C4D" w:rsidRDefault="00930C4D" w:rsidP="00930C4D">
      <w:pPr>
        <w:pStyle w:val="Default"/>
        <w:numPr>
          <w:ilvl w:val="0"/>
          <w:numId w:val="31"/>
        </w:numPr>
        <w:jc w:val="both"/>
        <w:rPr>
          <w:rFonts w:ascii="Arial" w:hAnsi="Arial" w:cs="Arial"/>
          <w:i/>
          <w:iCs/>
        </w:rPr>
      </w:pPr>
      <w:r w:rsidRPr="00930C4D">
        <w:rPr>
          <w:rFonts w:ascii="Arial" w:hAnsi="Arial" w:cs="Arial"/>
          <w:i/>
          <w:iCs/>
        </w:rPr>
        <w:lastRenderedPageBreak/>
        <w:t>Assays that returned 0.1 g/t Au and 0.1% Cu over 156.6 metres from 23.4 metres depth, including a subinterval of 7.5 metres with 0.2 g/t Au and 0.3% Cu (Table 1).</w:t>
      </w:r>
    </w:p>
    <w:p w14:paraId="7DBBEA90" w14:textId="77777777" w:rsidR="00930C4D" w:rsidRPr="00930C4D" w:rsidRDefault="00930C4D" w:rsidP="00930C4D">
      <w:pPr>
        <w:pStyle w:val="Default"/>
        <w:ind w:left="720"/>
        <w:jc w:val="both"/>
        <w:rPr>
          <w:rFonts w:ascii="Arial" w:hAnsi="Arial" w:cs="Arial"/>
          <w:i/>
          <w:iCs/>
        </w:rPr>
      </w:pPr>
    </w:p>
    <w:p w14:paraId="5AD85798" w14:textId="77777777" w:rsidR="00930C4D" w:rsidRDefault="00930C4D" w:rsidP="00930C4D">
      <w:pPr>
        <w:pStyle w:val="Default"/>
        <w:numPr>
          <w:ilvl w:val="0"/>
          <w:numId w:val="31"/>
        </w:numPr>
        <w:jc w:val="both"/>
        <w:rPr>
          <w:rFonts w:ascii="Arial" w:hAnsi="Arial" w:cs="Arial"/>
          <w:i/>
          <w:iCs/>
        </w:rPr>
      </w:pPr>
      <w:r w:rsidRPr="00930C4D">
        <w:rPr>
          <w:rFonts w:ascii="Arial" w:hAnsi="Arial" w:cs="Arial"/>
          <w:i/>
          <w:iCs/>
        </w:rPr>
        <w:t>Association of mineralized intervals with chalcopyrite, epidote + K-feldspar ± albite alteration, and quartz ± carbonate veins.</w:t>
      </w:r>
    </w:p>
    <w:p w14:paraId="01D0967E" w14:textId="77777777" w:rsidR="00930C4D" w:rsidRDefault="00930C4D" w:rsidP="0024350B">
      <w:pPr>
        <w:pStyle w:val="Default"/>
        <w:jc w:val="both"/>
        <w:rPr>
          <w:rFonts w:ascii="Arial" w:hAnsi="Arial" w:cs="Arial"/>
          <w:i/>
          <w:iCs/>
        </w:rPr>
      </w:pPr>
    </w:p>
    <w:p w14:paraId="4DDD8504" w14:textId="7EA5C1E5" w:rsidR="008726BD" w:rsidRDefault="008726BD" w:rsidP="00B80B60">
      <w:pPr>
        <w:pStyle w:val="Default"/>
        <w:ind w:left="720"/>
        <w:jc w:val="both"/>
        <w:rPr>
          <w:rFonts w:ascii="Arial" w:hAnsi="Arial" w:cs="Arial"/>
          <w:i/>
          <w:iCs/>
        </w:rPr>
      </w:pPr>
      <w:r>
        <w:rPr>
          <w:rFonts w:ascii="Arial" w:hAnsi="Arial" w:cs="Arial"/>
          <w:i/>
          <w:iCs/>
        </w:rPr>
        <w:t xml:space="preserve">On </w:t>
      </w:r>
      <w:r w:rsidRPr="008726BD">
        <w:rPr>
          <w:rFonts w:ascii="Arial" w:hAnsi="Arial" w:cs="Arial"/>
          <w:i/>
          <w:iCs/>
        </w:rPr>
        <w:t>January 23, 2026</w:t>
      </w:r>
      <w:r>
        <w:rPr>
          <w:rFonts w:ascii="Arial" w:hAnsi="Arial" w:cs="Arial"/>
          <w:i/>
          <w:iCs/>
        </w:rPr>
        <w:t>,</w:t>
      </w:r>
      <w:r w:rsidRPr="008726BD">
        <w:rPr>
          <w:rFonts w:ascii="Poppins" w:hAnsi="Poppins" w:cs="Poppins"/>
          <w:color w:val="212529"/>
          <w:sz w:val="27"/>
          <w:szCs w:val="27"/>
          <w:shd w:val="clear" w:color="auto" w:fill="FFFFFF"/>
        </w:rPr>
        <w:t xml:space="preserve"> </w:t>
      </w:r>
      <w:r>
        <w:rPr>
          <w:rFonts w:ascii="Arial" w:hAnsi="Arial" w:cs="Arial"/>
          <w:i/>
          <w:iCs/>
        </w:rPr>
        <w:t xml:space="preserve">the Company </w:t>
      </w:r>
      <w:r w:rsidRPr="008726BD">
        <w:rPr>
          <w:rFonts w:ascii="Arial" w:hAnsi="Arial" w:cs="Arial"/>
          <w:i/>
          <w:iCs/>
        </w:rPr>
        <w:t>announce</w:t>
      </w:r>
      <w:r w:rsidR="00D33367">
        <w:rPr>
          <w:rFonts w:ascii="Arial" w:hAnsi="Arial" w:cs="Arial"/>
          <w:i/>
          <w:iCs/>
        </w:rPr>
        <w:t>d</w:t>
      </w:r>
      <w:r w:rsidRPr="008726BD">
        <w:rPr>
          <w:rFonts w:ascii="Arial" w:hAnsi="Arial" w:cs="Arial"/>
          <w:i/>
          <w:iCs/>
        </w:rPr>
        <w:t xml:space="preserve"> the receipt of final 2D inversions from an induced polarization (“IP”) survey completed on the Company’s 100%* owned Excalibur copper-gold calc-alkaline porphyry project. </w:t>
      </w:r>
      <w:r w:rsidR="00D33367">
        <w:rPr>
          <w:rFonts w:ascii="Arial" w:hAnsi="Arial" w:cs="Arial"/>
          <w:i/>
          <w:iCs/>
        </w:rPr>
        <w:t>The IP survey identified several targets for a drill program in 2026.</w:t>
      </w:r>
    </w:p>
    <w:p w14:paraId="72CF1436" w14:textId="77777777" w:rsidR="001B4725" w:rsidRDefault="001B4725" w:rsidP="00B80B60">
      <w:pPr>
        <w:pStyle w:val="Default"/>
        <w:ind w:left="720"/>
        <w:jc w:val="both"/>
        <w:rPr>
          <w:rFonts w:ascii="Arial" w:hAnsi="Arial" w:cs="Arial"/>
          <w:i/>
          <w:iCs/>
        </w:rPr>
      </w:pPr>
    </w:p>
    <w:p w14:paraId="06860E6F" w14:textId="5EEF68EE" w:rsidR="001B4725" w:rsidRDefault="001B4725" w:rsidP="001B4725">
      <w:pPr>
        <w:pStyle w:val="Default"/>
        <w:ind w:left="720"/>
        <w:jc w:val="both"/>
        <w:rPr>
          <w:rFonts w:ascii="Arial" w:hAnsi="Arial" w:cs="Arial"/>
          <w:i/>
          <w:iCs/>
        </w:rPr>
      </w:pPr>
      <w:r>
        <w:rPr>
          <w:rFonts w:ascii="Arial" w:hAnsi="Arial" w:cs="Arial"/>
          <w:i/>
          <w:iCs/>
        </w:rPr>
        <w:t xml:space="preserve">On </w:t>
      </w:r>
      <w:r w:rsidR="00BF1ABF">
        <w:rPr>
          <w:rFonts w:ascii="Arial" w:hAnsi="Arial" w:cs="Arial"/>
          <w:i/>
          <w:iCs/>
        </w:rPr>
        <w:t>February</w:t>
      </w:r>
      <w:r>
        <w:rPr>
          <w:rFonts w:ascii="Arial" w:hAnsi="Arial" w:cs="Arial"/>
          <w:i/>
          <w:iCs/>
        </w:rPr>
        <w:t xml:space="preserve"> 25, 2026, the Company </w:t>
      </w:r>
      <w:r w:rsidRPr="00396995">
        <w:rPr>
          <w:rFonts w:ascii="Arial" w:hAnsi="Arial" w:cs="Arial"/>
          <w:i/>
          <w:iCs/>
        </w:rPr>
        <w:t>announce</w:t>
      </w:r>
      <w:r>
        <w:rPr>
          <w:rFonts w:ascii="Arial" w:hAnsi="Arial" w:cs="Arial"/>
          <w:i/>
          <w:iCs/>
        </w:rPr>
        <w:t>d</w:t>
      </w:r>
      <w:r w:rsidRPr="00396995">
        <w:rPr>
          <w:rFonts w:ascii="Arial" w:hAnsi="Arial" w:cs="Arial"/>
          <w:i/>
          <w:iCs/>
        </w:rPr>
        <w:t xml:space="preserve"> assay results from the Company’s 100% owned Camelot copper-gold project</w:t>
      </w:r>
      <w:r>
        <w:rPr>
          <w:rFonts w:ascii="Arial" w:hAnsi="Arial" w:cs="Arial"/>
          <w:i/>
          <w:iCs/>
        </w:rPr>
        <w:t xml:space="preserve">, for the </w:t>
      </w:r>
      <w:r w:rsidRPr="00396995">
        <w:rPr>
          <w:rFonts w:ascii="Arial" w:hAnsi="Arial" w:cs="Arial"/>
          <w:i/>
          <w:iCs/>
        </w:rPr>
        <w:t xml:space="preserve">ten holes (CAM25-001 to CAM25-010) that tested a ~1.7 km long </w:t>
      </w:r>
      <w:r>
        <w:rPr>
          <w:rFonts w:ascii="Arial" w:hAnsi="Arial" w:cs="Arial"/>
          <w:i/>
          <w:iCs/>
        </w:rPr>
        <w:tab/>
      </w:r>
      <w:r w:rsidRPr="00396995">
        <w:rPr>
          <w:rFonts w:ascii="Arial" w:hAnsi="Arial" w:cs="Arial"/>
          <w:i/>
          <w:iCs/>
        </w:rPr>
        <w:t xml:space="preserve">prospective geochemical and geophysical trend </w:t>
      </w:r>
      <w:r w:rsidR="00BF1ABF">
        <w:rPr>
          <w:rFonts w:ascii="Arial" w:hAnsi="Arial" w:cs="Arial"/>
          <w:i/>
          <w:iCs/>
        </w:rPr>
        <w:t>along with assays for the entirety of hole LL22-0, for which a previous operator only provided assays for the top 59 metres.</w:t>
      </w:r>
    </w:p>
    <w:p w14:paraId="51A66C03" w14:textId="77777777" w:rsidR="00BF1ABF" w:rsidRDefault="00BF1ABF" w:rsidP="001B4725">
      <w:pPr>
        <w:pStyle w:val="Default"/>
        <w:ind w:left="720"/>
        <w:jc w:val="both"/>
        <w:rPr>
          <w:rFonts w:ascii="Arial" w:hAnsi="Arial" w:cs="Arial"/>
          <w:i/>
          <w:iCs/>
        </w:rPr>
      </w:pPr>
    </w:p>
    <w:p w14:paraId="618D7577" w14:textId="77777777" w:rsidR="00BF1ABF" w:rsidRDefault="00BF1ABF" w:rsidP="00BF1ABF">
      <w:pPr>
        <w:pStyle w:val="Default"/>
        <w:ind w:left="720"/>
        <w:rPr>
          <w:rFonts w:ascii="Arial" w:hAnsi="Arial" w:cs="Arial"/>
          <w:i/>
          <w:iCs/>
          <w:lang w:val="en-CA"/>
        </w:rPr>
      </w:pPr>
      <w:r w:rsidRPr="00BF1ABF">
        <w:rPr>
          <w:rFonts w:ascii="Arial" w:hAnsi="Arial" w:cs="Arial"/>
          <w:i/>
          <w:iCs/>
          <w:lang w:val="en-CA"/>
        </w:rPr>
        <w:t>The discovery of a new copper-gold porphyry system at Camelot was highlighted by drill hole CAM25-009</w:t>
      </w:r>
      <w:r w:rsidRPr="00BF1ABF">
        <w:rPr>
          <w:rFonts w:ascii="Arial" w:hAnsi="Arial" w:cs="Arial"/>
          <w:i/>
          <w:iCs/>
        </w:rPr>
        <w:t xml:space="preserve"> with assays that returned 0.07 g/t Au and 0.08 % Cu over 156.6 meters from 23.4 meters depth, as described in a news release dated January 22, 2026. Assay results from this hole are again presented in Table 1, which now also includes calculated gold (AuEq) and copper (CuEq) equivalent values based on metal prices </w:t>
      </w:r>
      <w:r w:rsidRPr="00BF1ABF">
        <w:rPr>
          <w:rFonts w:ascii="Arial" w:hAnsi="Arial" w:cs="Arial"/>
          <w:i/>
          <w:iCs/>
          <w:lang w:val="en-CA"/>
        </w:rPr>
        <w:t>of $3,000/oz gold, $4.00/lb for copper, and $30/oz silver, and assumed recoveries of 80% for each metal.</w:t>
      </w:r>
    </w:p>
    <w:p w14:paraId="79D2E863" w14:textId="77777777" w:rsidR="00BF1ABF" w:rsidRPr="00BF1ABF" w:rsidRDefault="00BF1ABF" w:rsidP="00BF1ABF">
      <w:pPr>
        <w:pStyle w:val="Default"/>
        <w:ind w:left="720"/>
        <w:rPr>
          <w:rFonts w:ascii="Arial" w:hAnsi="Arial" w:cs="Arial"/>
          <w:i/>
          <w:iCs/>
        </w:rPr>
      </w:pPr>
    </w:p>
    <w:p w14:paraId="0AE03910" w14:textId="6AEE44CE" w:rsidR="00BF1ABF" w:rsidRPr="00BF1ABF" w:rsidRDefault="00BF1ABF" w:rsidP="00BF1ABF">
      <w:pPr>
        <w:pStyle w:val="Default"/>
        <w:ind w:left="720"/>
        <w:rPr>
          <w:rFonts w:ascii="Arial" w:hAnsi="Arial" w:cs="Arial"/>
          <w:i/>
          <w:iCs/>
        </w:rPr>
      </w:pPr>
      <w:r w:rsidRPr="00BF1ABF">
        <w:rPr>
          <w:rFonts w:ascii="Arial" w:hAnsi="Arial" w:cs="Arial"/>
          <w:i/>
          <w:iCs/>
        </w:rPr>
        <w:t>Historical drill hole LL-22-01 was collared from approximately the same location as CAM25-009 but drilled in the opposite direction and to a depth of 250 meters. Original sampling was continuous from the surface to a core depth of 64 meters, then spaced to one 2 m sample for every 15 meters of core in the lowermost 186 meters of the hole. Infill sampling and assay in this lowermost 186 m of drill core were integrated with historical sampling to return a composite of 0.07 g/t Au and 0.06 % Cu over 153 meters, starting from 5 meters core depth.</w:t>
      </w:r>
    </w:p>
    <w:p w14:paraId="7868A4F6" w14:textId="77777777" w:rsidR="00BF1ABF" w:rsidRPr="001B4725" w:rsidRDefault="00BF1ABF" w:rsidP="001B4725">
      <w:pPr>
        <w:pStyle w:val="Default"/>
        <w:ind w:left="720"/>
        <w:jc w:val="both"/>
        <w:rPr>
          <w:rFonts w:ascii="Arial" w:hAnsi="Arial"/>
        </w:rPr>
      </w:pPr>
    </w:p>
    <w:p w14:paraId="3BB770B3" w14:textId="77777777" w:rsidR="0024350B" w:rsidRPr="00BF1ABF" w:rsidRDefault="0024350B" w:rsidP="0024350B">
      <w:pPr>
        <w:pStyle w:val="Default"/>
        <w:jc w:val="both"/>
        <w:rPr>
          <w:b/>
          <w:bCs/>
          <w:sz w:val="18"/>
          <w:szCs w:val="18"/>
          <w:bdr w:val="nil"/>
        </w:rPr>
      </w:pPr>
      <w:r w:rsidRPr="00BF1ABF">
        <w:rPr>
          <w:b/>
          <w:bCs/>
          <w:sz w:val="18"/>
          <w:szCs w:val="18"/>
          <w:bdr w:val="nil"/>
        </w:rPr>
        <w:t xml:space="preserve">Table </w:t>
      </w:r>
      <w:r w:rsidRPr="00BF1ABF">
        <w:rPr>
          <w:b/>
          <w:bCs/>
          <w:sz w:val="18"/>
          <w:szCs w:val="18"/>
          <w:bdr w:val="nil"/>
        </w:rPr>
        <w:fldChar w:fldCharType="begin"/>
      </w:r>
      <w:r w:rsidRPr="00BF1ABF">
        <w:rPr>
          <w:b/>
          <w:bCs/>
          <w:sz w:val="18"/>
          <w:szCs w:val="18"/>
          <w:bdr w:val="nil"/>
        </w:rPr>
        <w:instrText xml:space="preserve"> SEQ Table \* ARABIC </w:instrText>
      </w:r>
      <w:r w:rsidRPr="00BF1ABF">
        <w:rPr>
          <w:b/>
          <w:bCs/>
          <w:sz w:val="18"/>
          <w:szCs w:val="18"/>
          <w:bdr w:val="nil"/>
        </w:rPr>
        <w:fldChar w:fldCharType="separate"/>
      </w:r>
      <w:r w:rsidRPr="00BF1ABF">
        <w:rPr>
          <w:b/>
          <w:bCs/>
          <w:sz w:val="18"/>
          <w:szCs w:val="18"/>
          <w:bdr w:val="nil"/>
        </w:rPr>
        <w:t>1</w:t>
      </w:r>
      <w:r w:rsidRPr="00BF1ABF">
        <w:rPr>
          <w:b/>
          <w:bCs/>
          <w:sz w:val="18"/>
          <w:szCs w:val="18"/>
          <w:bdr w:val="nil"/>
        </w:rPr>
        <w:fldChar w:fldCharType="end"/>
      </w:r>
      <w:r w:rsidRPr="00BF1ABF">
        <w:rPr>
          <w:b/>
          <w:bCs/>
          <w:sz w:val="18"/>
          <w:szCs w:val="18"/>
          <w:bdr w:val="nil"/>
        </w:rPr>
        <w:t xml:space="preserve">: Newly reported assay results from CAM25-001 to 008, 010, and infill sampling of LL-22-01, as well as Au and Cu equivalencies for previously released CAM25-009.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938"/>
        <w:gridCol w:w="1141"/>
        <w:gridCol w:w="1150"/>
        <w:gridCol w:w="801"/>
        <w:gridCol w:w="783"/>
        <w:gridCol w:w="792"/>
        <w:gridCol w:w="1083"/>
        <w:gridCol w:w="1065"/>
      </w:tblGrid>
      <w:tr w:rsidR="0024350B" w:rsidRPr="00BF1ABF" w14:paraId="5475B2D9" w14:textId="77777777" w:rsidTr="00211DD2">
        <w:trPr>
          <w:trHeight w:val="255"/>
          <w:jc w:val="center"/>
        </w:trPr>
        <w:tc>
          <w:tcPr>
            <w:tcW w:w="0" w:type="auto"/>
            <w:tcBorders>
              <w:bottom w:val="single" w:sz="4" w:space="0" w:color="auto"/>
            </w:tcBorders>
            <w:noWrap/>
            <w:vAlign w:val="center"/>
            <w:hideMark/>
          </w:tcPr>
          <w:p w14:paraId="076B4C6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Hole ID</w:t>
            </w:r>
          </w:p>
        </w:tc>
        <w:tc>
          <w:tcPr>
            <w:tcW w:w="0" w:type="auto"/>
            <w:tcBorders>
              <w:bottom w:val="single" w:sz="4" w:space="0" w:color="auto"/>
            </w:tcBorders>
            <w:noWrap/>
            <w:vAlign w:val="center"/>
            <w:hideMark/>
          </w:tcPr>
          <w:p w14:paraId="3A5E1EC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From (m)</w:t>
            </w:r>
          </w:p>
        </w:tc>
        <w:tc>
          <w:tcPr>
            <w:tcW w:w="0" w:type="auto"/>
            <w:tcBorders>
              <w:bottom w:val="single" w:sz="4" w:space="0" w:color="auto"/>
            </w:tcBorders>
            <w:noWrap/>
            <w:vAlign w:val="center"/>
            <w:hideMark/>
          </w:tcPr>
          <w:p w14:paraId="47CF5D3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To (m)</w:t>
            </w:r>
          </w:p>
        </w:tc>
        <w:tc>
          <w:tcPr>
            <w:tcW w:w="0" w:type="auto"/>
            <w:tcBorders>
              <w:bottom w:val="single" w:sz="4" w:space="0" w:color="auto"/>
            </w:tcBorders>
            <w:noWrap/>
            <w:vAlign w:val="center"/>
            <w:hideMark/>
          </w:tcPr>
          <w:p w14:paraId="79388F5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Interval</w:t>
            </w:r>
            <w:r w:rsidRPr="00BF1ABF">
              <w:rPr>
                <w:b/>
                <w:bCs/>
                <w:sz w:val="18"/>
                <w:szCs w:val="18"/>
                <w:bdr w:val="nil"/>
                <w:vertAlign w:val="superscript"/>
                <w:lang w:val="en-CA"/>
              </w:rPr>
              <w:t xml:space="preserve">1 </w:t>
            </w:r>
            <w:r w:rsidRPr="00BF1ABF">
              <w:rPr>
                <w:b/>
                <w:bCs/>
                <w:sz w:val="18"/>
                <w:szCs w:val="18"/>
                <w:bdr w:val="nil"/>
                <w:lang w:val="en-CA"/>
              </w:rPr>
              <w:t>(m)</w:t>
            </w:r>
          </w:p>
        </w:tc>
        <w:tc>
          <w:tcPr>
            <w:tcW w:w="0" w:type="auto"/>
            <w:tcBorders>
              <w:bottom w:val="single" w:sz="4" w:space="0" w:color="auto"/>
            </w:tcBorders>
            <w:noWrap/>
            <w:vAlign w:val="center"/>
            <w:hideMark/>
          </w:tcPr>
          <w:p w14:paraId="09DF5CC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Au (g/t)</w:t>
            </w:r>
          </w:p>
        </w:tc>
        <w:tc>
          <w:tcPr>
            <w:tcW w:w="0" w:type="auto"/>
            <w:tcBorders>
              <w:bottom w:val="single" w:sz="4" w:space="0" w:color="auto"/>
            </w:tcBorders>
            <w:noWrap/>
            <w:vAlign w:val="center"/>
            <w:hideMark/>
          </w:tcPr>
          <w:p w14:paraId="58F6772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Cu (%)</w:t>
            </w:r>
          </w:p>
        </w:tc>
        <w:tc>
          <w:tcPr>
            <w:tcW w:w="0" w:type="auto"/>
            <w:tcBorders>
              <w:bottom w:val="single" w:sz="4" w:space="0" w:color="auto"/>
            </w:tcBorders>
            <w:noWrap/>
            <w:vAlign w:val="center"/>
            <w:hideMark/>
          </w:tcPr>
          <w:p w14:paraId="024737D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Ag (g/t)</w:t>
            </w:r>
          </w:p>
        </w:tc>
        <w:tc>
          <w:tcPr>
            <w:tcW w:w="0" w:type="auto"/>
            <w:tcBorders>
              <w:bottom w:val="single" w:sz="4" w:space="0" w:color="auto"/>
            </w:tcBorders>
            <w:noWrap/>
            <w:vAlign w:val="center"/>
            <w:hideMark/>
          </w:tcPr>
          <w:p w14:paraId="01351C6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AuEq (g/t)*</w:t>
            </w:r>
          </w:p>
        </w:tc>
        <w:tc>
          <w:tcPr>
            <w:tcW w:w="0" w:type="auto"/>
            <w:tcBorders>
              <w:bottom w:val="single" w:sz="4" w:space="0" w:color="auto"/>
            </w:tcBorders>
            <w:noWrap/>
            <w:vAlign w:val="center"/>
            <w:hideMark/>
          </w:tcPr>
          <w:p w14:paraId="6D9050B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CuEq (%)*</w:t>
            </w:r>
          </w:p>
        </w:tc>
      </w:tr>
      <w:tr w:rsidR="0024350B" w:rsidRPr="00BF1ABF" w14:paraId="116C16F8" w14:textId="77777777" w:rsidTr="00211DD2">
        <w:trPr>
          <w:trHeight w:val="255"/>
          <w:jc w:val="center"/>
        </w:trPr>
        <w:tc>
          <w:tcPr>
            <w:tcW w:w="0" w:type="auto"/>
            <w:tcBorders>
              <w:bottom w:val="nil"/>
            </w:tcBorders>
            <w:noWrap/>
            <w:vAlign w:val="center"/>
            <w:hideMark/>
          </w:tcPr>
          <w:p w14:paraId="425B205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CAM25-001</w:t>
            </w:r>
          </w:p>
        </w:tc>
        <w:tc>
          <w:tcPr>
            <w:tcW w:w="0" w:type="auto"/>
            <w:tcBorders>
              <w:bottom w:val="nil"/>
            </w:tcBorders>
            <w:noWrap/>
            <w:vAlign w:val="center"/>
            <w:hideMark/>
          </w:tcPr>
          <w:p w14:paraId="3CF4D74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10.5</w:t>
            </w:r>
          </w:p>
        </w:tc>
        <w:tc>
          <w:tcPr>
            <w:tcW w:w="0" w:type="auto"/>
            <w:tcBorders>
              <w:bottom w:val="nil"/>
            </w:tcBorders>
            <w:noWrap/>
            <w:vAlign w:val="center"/>
            <w:hideMark/>
          </w:tcPr>
          <w:p w14:paraId="17F40D5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14.8</w:t>
            </w:r>
          </w:p>
        </w:tc>
        <w:tc>
          <w:tcPr>
            <w:tcW w:w="0" w:type="auto"/>
            <w:tcBorders>
              <w:bottom w:val="nil"/>
            </w:tcBorders>
            <w:shd w:val="clear" w:color="000000" w:fill="E3E382"/>
            <w:noWrap/>
            <w:vAlign w:val="center"/>
            <w:hideMark/>
          </w:tcPr>
          <w:p w14:paraId="08B1C70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4.3</w:t>
            </w:r>
          </w:p>
        </w:tc>
        <w:tc>
          <w:tcPr>
            <w:tcW w:w="0" w:type="auto"/>
            <w:tcBorders>
              <w:bottom w:val="nil"/>
            </w:tcBorders>
            <w:shd w:val="clear" w:color="000000" w:fill="FFE884"/>
            <w:noWrap/>
            <w:vAlign w:val="center"/>
            <w:hideMark/>
          </w:tcPr>
          <w:p w14:paraId="272D6FB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bottom w:val="nil"/>
            </w:tcBorders>
            <w:shd w:val="clear" w:color="000000" w:fill="96CC7D"/>
            <w:noWrap/>
            <w:vAlign w:val="center"/>
            <w:hideMark/>
          </w:tcPr>
          <w:p w14:paraId="1523E2A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bottom w:val="nil"/>
            </w:tcBorders>
            <w:shd w:val="clear" w:color="000000" w:fill="93CB7D"/>
            <w:noWrap/>
            <w:vAlign w:val="center"/>
            <w:hideMark/>
          </w:tcPr>
          <w:p w14:paraId="1CBBD1D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c>
          <w:tcPr>
            <w:tcW w:w="0" w:type="auto"/>
            <w:tcBorders>
              <w:bottom w:val="nil"/>
            </w:tcBorders>
            <w:shd w:val="clear" w:color="000000" w:fill="FFEB84"/>
            <w:noWrap/>
            <w:vAlign w:val="center"/>
            <w:hideMark/>
          </w:tcPr>
          <w:p w14:paraId="6C6E6B3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c>
          <w:tcPr>
            <w:tcW w:w="0" w:type="auto"/>
            <w:tcBorders>
              <w:bottom w:val="nil"/>
            </w:tcBorders>
            <w:shd w:val="clear" w:color="000000" w:fill="FFEB84"/>
            <w:noWrap/>
            <w:vAlign w:val="center"/>
            <w:hideMark/>
          </w:tcPr>
          <w:p w14:paraId="631400B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r>
      <w:tr w:rsidR="0024350B" w:rsidRPr="00BF1ABF" w14:paraId="2BC7E983" w14:textId="77777777" w:rsidTr="00211DD2">
        <w:trPr>
          <w:trHeight w:val="255"/>
          <w:jc w:val="center"/>
        </w:trPr>
        <w:tc>
          <w:tcPr>
            <w:tcW w:w="0" w:type="auto"/>
            <w:tcBorders>
              <w:top w:val="nil"/>
              <w:bottom w:val="nil"/>
            </w:tcBorders>
            <w:noWrap/>
            <w:vAlign w:val="center"/>
            <w:hideMark/>
          </w:tcPr>
          <w:p w14:paraId="7AB9DB3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471AE25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135.0</w:t>
            </w:r>
          </w:p>
        </w:tc>
        <w:tc>
          <w:tcPr>
            <w:tcW w:w="0" w:type="auto"/>
            <w:tcBorders>
              <w:top w:val="nil"/>
              <w:bottom w:val="nil"/>
            </w:tcBorders>
            <w:noWrap/>
            <w:vAlign w:val="center"/>
            <w:hideMark/>
          </w:tcPr>
          <w:p w14:paraId="6D6AAB2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139.0</w:t>
            </w:r>
          </w:p>
        </w:tc>
        <w:tc>
          <w:tcPr>
            <w:tcW w:w="0" w:type="auto"/>
            <w:tcBorders>
              <w:top w:val="nil"/>
              <w:bottom w:val="nil"/>
            </w:tcBorders>
            <w:shd w:val="clear" w:color="000000" w:fill="D8DF81"/>
            <w:noWrap/>
            <w:vAlign w:val="center"/>
            <w:hideMark/>
          </w:tcPr>
          <w:p w14:paraId="3033E44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4.0</w:t>
            </w:r>
          </w:p>
        </w:tc>
        <w:tc>
          <w:tcPr>
            <w:tcW w:w="0" w:type="auto"/>
            <w:tcBorders>
              <w:top w:val="nil"/>
              <w:bottom w:val="nil"/>
            </w:tcBorders>
            <w:shd w:val="clear" w:color="000000" w:fill="7EC57C"/>
            <w:noWrap/>
            <w:vAlign w:val="center"/>
            <w:hideMark/>
          </w:tcPr>
          <w:p w14:paraId="51CA83F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nil"/>
            </w:tcBorders>
            <w:shd w:val="clear" w:color="000000" w:fill="EAE482"/>
            <w:noWrap/>
            <w:vAlign w:val="center"/>
            <w:hideMark/>
          </w:tcPr>
          <w:p w14:paraId="613474D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top w:val="nil"/>
              <w:bottom w:val="nil"/>
            </w:tcBorders>
            <w:shd w:val="clear" w:color="000000" w:fill="9BCE7E"/>
            <w:noWrap/>
            <w:vAlign w:val="center"/>
            <w:hideMark/>
          </w:tcPr>
          <w:p w14:paraId="3473301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c>
          <w:tcPr>
            <w:tcW w:w="0" w:type="auto"/>
            <w:tcBorders>
              <w:top w:val="nil"/>
              <w:bottom w:val="nil"/>
            </w:tcBorders>
            <w:shd w:val="clear" w:color="000000" w:fill="80C67C"/>
            <w:noWrap/>
            <w:vAlign w:val="center"/>
            <w:hideMark/>
          </w:tcPr>
          <w:p w14:paraId="420920A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c>
          <w:tcPr>
            <w:tcW w:w="0" w:type="auto"/>
            <w:tcBorders>
              <w:top w:val="nil"/>
              <w:bottom w:val="nil"/>
            </w:tcBorders>
            <w:shd w:val="clear" w:color="000000" w:fill="80C67C"/>
            <w:noWrap/>
            <w:vAlign w:val="center"/>
            <w:hideMark/>
          </w:tcPr>
          <w:p w14:paraId="73374E6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r>
      <w:tr w:rsidR="0024350B" w:rsidRPr="00BF1ABF" w14:paraId="00A2D2D7" w14:textId="77777777" w:rsidTr="00211DD2">
        <w:trPr>
          <w:trHeight w:val="255"/>
          <w:jc w:val="center"/>
        </w:trPr>
        <w:tc>
          <w:tcPr>
            <w:tcW w:w="0" w:type="auto"/>
            <w:tcBorders>
              <w:top w:val="nil"/>
              <w:bottom w:val="single" w:sz="4" w:space="0" w:color="auto"/>
            </w:tcBorders>
            <w:noWrap/>
            <w:vAlign w:val="center"/>
            <w:hideMark/>
          </w:tcPr>
          <w:p w14:paraId="2F5618A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14FBFB1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154.5</w:t>
            </w:r>
          </w:p>
        </w:tc>
        <w:tc>
          <w:tcPr>
            <w:tcW w:w="0" w:type="auto"/>
            <w:tcBorders>
              <w:top w:val="nil"/>
              <w:bottom w:val="single" w:sz="4" w:space="0" w:color="auto"/>
            </w:tcBorders>
            <w:noWrap/>
            <w:vAlign w:val="center"/>
            <w:hideMark/>
          </w:tcPr>
          <w:p w14:paraId="21DC349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167.0</w:t>
            </w:r>
          </w:p>
        </w:tc>
        <w:tc>
          <w:tcPr>
            <w:tcW w:w="0" w:type="auto"/>
            <w:tcBorders>
              <w:top w:val="nil"/>
              <w:bottom w:val="single" w:sz="4" w:space="0" w:color="auto"/>
            </w:tcBorders>
            <w:shd w:val="clear" w:color="000000" w:fill="FFE583"/>
            <w:noWrap/>
            <w:vAlign w:val="center"/>
            <w:hideMark/>
          </w:tcPr>
          <w:p w14:paraId="17DB38A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12.5</w:t>
            </w:r>
          </w:p>
        </w:tc>
        <w:tc>
          <w:tcPr>
            <w:tcW w:w="0" w:type="auto"/>
            <w:tcBorders>
              <w:top w:val="nil"/>
              <w:bottom w:val="single" w:sz="4" w:space="0" w:color="auto"/>
            </w:tcBorders>
            <w:shd w:val="clear" w:color="000000" w:fill="E3E382"/>
            <w:noWrap/>
            <w:vAlign w:val="center"/>
            <w:hideMark/>
          </w:tcPr>
          <w:p w14:paraId="50198C2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c>
          <w:tcPr>
            <w:tcW w:w="0" w:type="auto"/>
            <w:tcBorders>
              <w:top w:val="nil"/>
              <w:bottom w:val="single" w:sz="4" w:space="0" w:color="auto"/>
            </w:tcBorders>
            <w:shd w:val="clear" w:color="000000" w:fill="B2D47F"/>
            <w:noWrap/>
            <w:vAlign w:val="center"/>
            <w:hideMark/>
          </w:tcPr>
          <w:p w14:paraId="7F21949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single" w:sz="4" w:space="0" w:color="auto"/>
            </w:tcBorders>
            <w:shd w:val="clear" w:color="000000" w:fill="E4E382"/>
            <w:noWrap/>
            <w:vAlign w:val="center"/>
            <w:hideMark/>
          </w:tcPr>
          <w:p w14:paraId="464D82E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0.32</w:t>
            </w:r>
          </w:p>
        </w:tc>
        <w:tc>
          <w:tcPr>
            <w:tcW w:w="0" w:type="auto"/>
            <w:tcBorders>
              <w:top w:val="nil"/>
              <w:bottom w:val="single" w:sz="4" w:space="0" w:color="auto"/>
            </w:tcBorders>
            <w:shd w:val="clear" w:color="000000" w:fill="BED880"/>
            <w:noWrap/>
            <w:vAlign w:val="center"/>
            <w:hideMark/>
          </w:tcPr>
          <w:p w14:paraId="26A488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c>
          <w:tcPr>
            <w:tcW w:w="0" w:type="auto"/>
            <w:tcBorders>
              <w:top w:val="nil"/>
              <w:bottom w:val="single" w:sz="4" w:space="0" w:color="auto"/>
            </w:tcBorders>
            <w:shd w:val="clear" w:color="000000" w:fill="BED880"/>
            <w:noWrap/>
            <w:vAlign w:val="center"/>
            <w:hideMark/>
          </w:tcPr>
          <w:p w14:paraId="11157E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r>
      <w:tr w:rsidR="0024350B" w:rsidRPr="00BF1ABF" w14:paraId="12FD9A9F" w14:textId="77777777" w:rsidTr="00211DD2">
        <w:trPr>
          <w:trHeight w:val="255"/>
          <w:jc w:val="center"/>
        </w:trPr>
        <w:tc>
          <w:tcPr>
            <w:tcW w:w="0" w:type="auto"/>
            <w:tcBorders>
              <w:bottom w:val="nil"/>
            </w:tcBorders>
            <w:noWrap/>
            <w:vAlign w:val="center"/>
            <w:hideMark/>
          </w:tcPr>
          <w:p w14:paraId="017F298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CAM25-002</w:t>
            </w:r>
          </w:p>
        </w:tc>
        <w:tc>
          <w:tcPr>
            <w:tcW w:w="0" w:type="auto"/>
            <w:tcBorders>
              <w:bottom w:val="nil"/>
            </w:tcBorders>
            <w:noWrap/>
            <w:vAlign w:val="center"/>
            <w:hideMark/>
          </w:tcPr>
          <w:p w14:paraId="06689BA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34.0</w:t>
            </w:r>
          </w:p>
        </w:tc>
        <w:tc>
          <w:tcPr>
            <w:tcW w:w="0" w:type="auto"/>
            <w:tcBorders>
              <w:bottom w:val="nil"/>
            </w:tcBorders>
            <w:noWrap/>
            <w:vAlign w:val="center"/>
            <w:hideMark/>
          </w:tcPr>
          <w:p w14:paraId="762712F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39.0</w:t>
            </w:r>
          </w:p>
        </w:tc>
        <w:tc>
          <w:tcPr>
            <w:tcW w:w="0" w:type="auto"/>
            <w:tcBorders>
              <w:bottom w:val="nil"/>
            </w:tcBorders>
            <w:shd w:val="clear" w:color="000000" w:fill="FFEB84"/>
            <w:noWrap/>
            <w:vAlign w:val="center"/>
            <w:hideMark/>
          </w:tcPr>
          <w:p w14:paraId="540F640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5.0</w:t>
            </w:r>
          </w:p>
        </w:tc>
        <w:tc>
          <w:tcPr>
            <w:tcW w:w="0" w:type="auto"/>
            <w:tcBorders>
              <w:bottom w:val="nil"/>
            </w:tcBorders>
            <w:shd w:val="clear" w:color="000000" w:fill="A7D17E"/>
            <w:noWrap/>
            <w:vAlign w:val="center"/>
            <w:hideMark/>
          </w:tcPr>
          <w:p w14:paraId="6D7CEFE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bottom w:val="nil"/>
            </w:tcBorders>
            <w:shd w:val="clear" w:color="000000" w:fill="71C27B"/>
            <w:noWrap/>
            <w:vAlign w:val="center"/>
            <w:hideMark/>
          </w:tcPr>
          <w:p w14:paraId="6D0C53D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0.01</w:t>
            </w:r>
          </w:p>
        </w:tc>
        <w:tc>
          <w:tcPr>
            <w:tcW w:w="0" w:type="auto"/>
            <w:tcBorders>
              <w:bottom w:val="nil"/>
            </w:tcBorders>
            <w:shd w:val="clear" w:color="000000" w:fill="63BE7B"/>
            <w:noWrap/>
            <w:vAlign w:val="center"/>
            <w:hideMark/>
          </w:tcPr>
          <w:p w14:paraId="0CF896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63BE7B"/>
            <w:noWrap/>
            <w:vAlign w:val="center"/>
            <w:hideMark/>
          </w:tcPr>
          <w:p w14:paraId="37B2860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63BE7B"/>
            <w:noWrap/>
            <w:vAlign w:val="center"/>
            <w:hideMark/>
          </w:tcPr>
          <w:p w14:paraId="56CD09C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r>
      <w:tr w:rsidR="0024350B" w:rsidRPr="00BF1ABF" w14:paraId="129FBC30" w14:textId="77777777" w:rsidTr="00211DD2">
        <w:trPr>
          <w:trHeight w:val="255"/>
          <w:jc w:val="center"/>
        </w:trPr>
        <w:tc>
          <w:tcPr>
            <w:tcW w:w="0" w:type="auto"/>
            <w:tcBorders>
              <w:top w:val="nil"/>
              <w:bottom w:val="nil"/>
            </w:tcBorders>
            <w:noWrap/>
            <w:vAlign w:val="center"/>
            <w:hideMark/>
          </w:tcPr>
          <w:p w14:paraId="2621927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70FD9F3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59.0</w:t>
            </w:r>
          </w:p>
        </w:tc>
        <w:tc>
          <w:tcPr>
            <w:tcW w:w="0" w:type="auto"/>
            <w:tcBorders>
              <w:top w:val="nil"/>
              <w:bottom w:val="nil"/>
            </w:tcBorders>
            <w:noWrap/>
            <w:vAlign w:val="center"/>
            <w:hideMark/>
          </w:tcPr>
          <w:p w14:paraId="4CD32BE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66.0</w:t>
            </w:r>
          </w:p>
        </w:tc>
        <w:tc>
          <w:tcPr>
            <w:tcW w:w="0" w:type="auto"/>
            <w:tcBorders>
              <w:top w:val="nil"/>
              <w:bottom w:val="nil"/>
            </w:tcBorders>
            <w:shd w:val="clear" w:color="000000" w:fill="FFEA84"/>
            <w:noWrap/>
            <w:vAlign w:val="center"/>
            <w:hideMark/>
          </w:tcPr>
          <w:p w14:paraId="5C48D64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7.0</w:t>
            </w:r>
          </w:p>
        </w:tc>
        <w:tc>
          <w:tcPr>
            <w:tcW w:w="0" w:type="auto"/>
            <w:tcBorders>
              <w:top w:val="nil"/>
              <w:bottom w:val="nil"/>
            </w:tcBorders>
            <w:shd w:val="clear" w:color="000000" w:fill="FFEB84"/>
            <w:noWrap/>
            <w:vAlign w:val="center"/>
            <w:hideMark/>
          </w:tcPr>
          <w:p w14:paraId="7151179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bottom w:val="nil"/>
            </w:tcBorders>
            <w:shd w:val="clear" w:color="000000" w:fill="FFEB84"/>
            <w:noWrap/>
            <w:vAlign w:val="center"/>
            <w:hideMark/>
          </w:tcPr>
          <w:p w14:paraId="4F02E5B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top w:val="nil"/>
              <w:bottom w:val="nil"/>
            </w:tcBorders>
            <w:shd w:val="clear" w:color="000000" w:fill="AED37F"/>
            <w:noWrap/>
            <w:vAlign w:val="center"/>
            <w:hideMark/>
          </w:tcPr>
          <w:p w14:paraId="3D3403B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0.22</w:t>
            </w:r>
          </w:p>
        </w:tc>
        <w:tc>
          <w:tcPr>
            <w:tcW w:w="0" w:type="auto"/>
            <w:tcBorders>
              <w:top w:val="nil"/>
              <w:bottom w:val="nil"/>
            </w:tcBorders>
            <w:shd w:val="clear" w:color="000000" w:fill="FFEB84"/>
            <w:noWrap/>
            <w:vAlign w:val="center"/>
            <w:hideMark/>
          </w:tcPr>
          <w:p w14:paraId="0F80241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c>
          <w:tcPr>
            <w:tcW w:w="0" w:type="auto"/>
            <w:tcBorders>
              <w:top w:val="nil"/>
              <w:bottom w:val="nil"/>
            </w:tcBorders>
            <w:shd w:val="clear" w:color="000000" w:fill="FFEB84"/>
            <w:noWrap/>
            <w:vAlign w:val="center"/>
            <w:hideMark/>
          </w:tcPr>
          <w:p w14:paraId="41F5ED5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r>
      <w:tr w:rsidR="0024350B" w:rsidRPr="00BF1ABF" w14:paraId="13B62C34" w14:textId="77777777" w:rsidTr="00211DD2">
        <w:trPr>
          <w:trHeight w:val="255"/>
          <w:jc w:val="center"/>
        </w:trPr>
        <w:tc>
          <w:tcPr>
            <w:tcW w:w="0" w:type="auto"/>
            <w:tcBorders>
              <w:top w:val="nil"/>
              <w:bottom w:val="nil"/>
            </w:tcBorders>
            <w:noWrap/>
            <w:vAlign w:val="center"/>
            <w:hideMark/>
          </w:tcPr>
          <w:p w14:paraId="1503482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39F36A9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84.0</w:t>
            </w:r>
          </w:p>
        </w:tc>
        <w:tc>
          <w:tcPr>
            <w:tcW w:w="0" w:type="auto"/>
            <w:tcBorders>
              <w:top w:val="nil"/>
              <w:bottom w:val="nil"/>
            </w:tcBorders>
            <w:noWrap/>
            <w:vAlign w:val="center"/>
            <w:hideMark/>
          </w:tcPr>
          <w:p w14:paraId="4A4CF0B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96.0</w:t>
            </w:r>
          </w:p>
        </w:tc>
        <w:tc>
          <w:tcPr>
            <w:tcW w:w="0" w:type="auto"/>
            <w:tcBorders>
              <w:top w:val="nil"/>
              <w:bottom w:val="nil"/>
            </w:tcBorders>
            <w:shd w:val="clear" w:color="000000" w:fill="FFE583"/>
            <w:noWrap/>
            <w:vAlign w:val="center"/>
            <w:hideMark/>
          </w:tcPr>
          <w:p w14:paraId="04BB1F0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12.0</w:t>
            </w:r>
          </w:p>
        </w:tc>
        <w:tc>
          <w:tcPr>
            <w:tcW w:w="0" w:type="auto"/>
            <w:tcBorders>
              <w:top w:val="nil"/>
              <w:bottom w:val="nil"/>
            </w:tcBorders>
            <w:shd w:val="clear" w:color="000000" w:fill="B2D47F"/>
            <w:noWrap/>
            <w:vAlign w:val="center"/>
            <w:hideMark/>
          </w:tcPr>
          <w:p w14:paraId="19A2302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top w:val="nil"/>
              <w:bottom w:val="nil"/>
            </w:tcBorders>
            <w:shd w:val="clear" w:color="000000" w:fill="E7E482"/>
            <w:noWrap/>
            <w:vAlign w:val="center"/>
            <w:hideMark/>
          </w:tcPr>
          <w:p w14:paraId="7E1D1AA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top w:val="nil"/>
              <w:bottom w:val="nil"/>
            </w:tcBorders>
            <w:shd w:val="clear" w:color="000000" w:fill="9DCE7E"/>
            <w:noWrap/>
            <w:vAlign w:val="center"/>
            <w:hideMark/>
          </w:tcPr>
          <w:p w14:paraId="3D939EF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c>
          <w:tcPr>
            <w:tcW w:w="0" w:type="auto"/>
            <w:tcBorders>
              <w:top w:val="nil"/>
              <w:bottom w:val="nil"/>
            </w:tcBorders>
            <w:shd w:val="clear" w:color="000000" w:fill="ACD37F"/>
            <w:noWrap/>
            <w:vAlign w:val="center"/>
            <w:hideMark/>
          </w:tcPr>
          <w:p w14:paraId="6346CCD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c>
          <w:tcPr>
            <w:tcW w:w="0" w:type="auto"/>
            <w:tcBorders>
              <w:top w:val="nil"/>
              <w:bottom w:val="nil"/>
            </w:tcBorders>
            <w:shd w:val="clear" w:color="000000" w:fill="ACD37F"/>
            <w:noWrap/>
            <w:vAlign w:val="center"/>
            <w:hideMark/>
          </w:tcPr>
          <w:p w14:paraId="2E2D1CC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r>
      <w:tr w:rsidR="0024350B" w:rsidRPr="00BF1ABF" w14:paraId="673C1C4C" w14:textId="77777777" w:rsidTr="00211DD2">
        <w:trPr>
          <w:trHeight w:val="255"/>
          <w:jc w:val="center"/>
        </w:trPr>
        <w:tc>
          <w:tcPr>
            <w:tcW w:w="0" w:type="auto"/>
            <w:tcBorders>
              <w:top w:val="nil"/>
              <w:bottom w:val="single" w:sz="4" w:space="0" w:color="auto"/>
            </w:tcBorders>
            <w:noWrap/>
            <w:vAlign w:val="center"/>
            <w:hideMark/>
          </w:tcPr>
          <w:p w14:paraId="4ECA90E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4C2672E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187.5</w:t>
            </w:r>
          </w:p>
        </w:tc>
        <w:tc>
          <w:tcPr>
            <w:tcW w:w="0" w:type="auto"/>
            <w:tcBorders>
              <w:top w:val="nil"/>
              <w:bottom w:val="single" w:sz="4" w:space="0" w:color="auto"/>
            </w:tcBorders>
            <w:noWrap/>
            <w:vAlign w:val="center"/>
            <w:hideMark/>
          </w:tcPr>
          <w:p w14:paraId="7A1287C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190.0</w:t>
            </w:r>
          </w:p>
        </w:tc>
        <w:tc>
          <w:tcPr>
            <w:tcW w:w="0" w:type="auto"/>
            <w:tcBorders>
              <w:top w:val="nil"/>
              <w:bottom w:val="single" w:sz="4" w:space="0" w:color="auto"/>
            </w:tcBorders>
            <w:shd w:val="clear" w:color="000000" w:fill="9DCE7E"/>
            <w:noWrap/>
            <w:vAlign w:val="center"/>
            <w:hideMark/>
          </w:tcPr>
          <w:p w14:paraId="33EF5C7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2.5</w:t>
            </w:r>
          </w:p>
        </w:tc>
        <w:tc>
          <w:tcPr>
            <w:tcW w:w="0" w:type="auto"/>
            <w:tcBorders>
              <w:top w:val="nil"/>
              <w:bottom w:val="single" w:sz="4" w:space="0" w:color="auto"/>
            </w:tcBorders>
            <w:shd w:val="clear" w:color="000000" w:fill="FCEA83"/>
            <w:noWrap/>
            <w:vAlign w:val="center"/>
            <w:hideMark/>
          </w:tcPr>
          <w:p w14:paraId="00BB419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bottom w:val="single" w:sz="4" w:space="0" w:color="auto"/>
            </w:tcBorders>
            <w:shd w:val="clear" w:color="000000" w:fill="FFE984"/>
            <w:noWrap/>
            <w:vAlign w:val="center"/>
            <w:hideMark/>
          </w:tcPr>
          <w:p w14:paraId="2ACFD0B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c>
          <w:tcPr>
            <w:tcW w:w="0" w:type="auto"/>
            <w:tcBorders>
              <w:top w:val="nil"/>
              <w:bottom w:val="single" w:sz="4" w:space="0" w:color="auto"/>
            </w:tcBorders>
            <w:shd w:val="clear" w:color="000000" w:fill="CCDC81"/>
            <w:noWrap/>
            <w:vAlign w:val="center"/>
            <w:hideMark/>
          </w:tcPr>
          <w:p w14:paraId="0187B3D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0.28</w:t>
            </w:r>
          </w:p>
        </w:tc>
        <w:tc>
          <w:tcPr>
            <w:tcW w:w="0" w:type="auto"/>
            <w:tcBorders>
              <w:top w:val="nil"/>
              <w:bottom w:val="single" w:sz="4" w:space="0" w:color="auto"/>
            </w:tcBorders>
            <w:shd w:val="clear" w:color="000000" w:fill="FFEB84"/>
            <w:noWrap/>
            <w:vAlign w:val="center"/>
            <w:hideMark/>
          </w:tcPr>
          <w:p w14:paraId="4E09E6A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c>
          <w:tcPr>
            <w:tcW w:w="0" w:type="auto"/>
            <w:tcBorders>
              <w:top w:val="nil"/>
              <w:bottom w:val="single" w:sz="4" w:space="0" w:color="auto"/>
            </w:tcBorders>
            <w:shd w:val="clear" w:color="000000" w:fill="FFEB84"/>
            <w:noWrap/>
            <w:vAlign w:val="center"/>
            <w:hideMark/>
          </w:tcPr>
          <w:p w14:paraId="6CE34E3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r>
      <w:tr w:rsidR="0024350B" w:rsidRPr="00BF1ABF" w14:paraId="5B457B86" w14:textId="77777777" w:rsidTr="00211DD2">
        <w:trPr>
          <w:trHeight w:val="255"/>
          <w:jc w:val="center"/>
        </w:trPr>
        <w:tc>
          <w:tcPr>
            <w:tcW w:w="0" w:type="auto"/>
            <w:tcBorders>
              <w:bottom w:val="nil"/>
            </w:tcBorders>
            <w:noWrap/>
            <w:vAlign w:val="center"/>
            <w:hideMark/>
          </w:tcPr>
          <w:p w14:paraId="08166FB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CAM25-003</w:t>
            </w:r>
          </w:p>
        </w:tc>
        <w:tc>
          <w:tcPr>
            <w:tcW w:w="0" w:type="auto"/>
            <w:tcBorders>
              <w:bottom w:val="nil"/>
            </w:tcBorders>
            <w:noWrap/>
            <w:vAlign w:val="center"/>
            <w:hideMark/>
          </w:tcPr>
          <w:p w14:paraId="5FC9A79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127.0</w:t>
            </w:r>
          </w:p>
        </w:tc>
        <w:tc>
          <w:tcPr>
            <w:tcW w:w="0" w:type="auto"/>
            <w:tcBorders>
              <w:bottom w:val="nil"/>
            </w:tcBorders>
            <w:noWrap/>
            <w:vAlign w:val="center"/>
            <w:hideMark/>
          </w:tcPr>
          <w:p w14:paraId="562EFDF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133.0</w:t>
            </w:r>
          </w:p>
        </w:tc>
        <w:tc>
          <w:tcPr>
            <w:tcW w:w="0" w:type="auto"/>
            <w:tcBorders>
              <w:bottom w:val="nil"/>
            </w:tcBorders>
            <w:shd w:val="clear" w:color="000000" w:fill="FFEB84"/>
            <w:noWrap/>
            <w:vAlign w:val="center"/>
            <w:hideMark/>
          </w:tcPr>
          <w:p w14:paraId="63D273E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6.0</w:t>
            </w:r>
          </w:p>
        </w:tc>
        <w:tc>
          <w:tcPr>
            <w:tcW w:w="0" w:type="auto"/>
            <w:tcBorders>
              <w:bottom w:val="nil"/>
            </w:tcBorders>
            <w:shd w:val="clear" w:color="000000" w:fill="CFDD81"/>
            <w:noWrap/>
            <w:vAlign w:val="center"/>
            <w:hideMark/>
          </w:tcPr>
          <w:p w14:paraId="1BB4559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FCEA83"/>
            <w:noWrap/>
            <w:vAlign w:val="center"/>
            <w:hideMark/>
          </w:tcPr>
          <w:p w14:paraId="7043FC9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C2D980"/>
            <w:noWrap/>
            <w:vAlign w:val="center"/>
            <w:hideMark/>
          </w:tcPr>
          <w:p w14:paraId="7B3ED17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0.26</w:t>
            </w:r>
          </w:p>
        </w:tc>
        <w:tc>
          <w:tcPr>
            <w:tcW w:w="0" w:type="auto"/>
            <w:tcBorders>
              <w:bottom w:val="nil"/>
            </w:tcBorders>
            <w:shd w:val="clear" w:color="000000" w:fill="D2DE81"/>
            <w:noWrap/>
            <w:vAlign w:val="center"/>
            <w:hideMark/>
          </w:tcPr>
          <w:p w14:paraId="33F60E7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bottom w:val="nil"/>
            </w:tcBorders>
            <w:shd w:val="clear" w:color="000000" w:fill="D2DE81"/>
            <w:noWrap/>
            <w:vAlign w:val="center"/>
            <w:hideMark/>
          </w:tcPr>
          <w:p w14:paraId="019564B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r>
      <w:tr w:rsidR="0024350B" w:rsidRPr="00BF1ABF" w14:paraId="3FBD2E37" w14:textId="77777777" w:rsidTr="00211DD2">
        <w:trPr>
          <w:trHeight w:val="255"/>
          <w:jc w:val="center"/>
        </w:trPr>
        <w:tc>
          <w:tcPr>
            <w:tcW w:w="0" w:type="auto"/>
            <w:tcBorders>
              <w:top w:val="nil"/>
            </w:tcBorders>
            <w:noWrap/>
            <w:vAlign w:val="center"/>
            <w:hideMark/>
          </w:tcPr>
          <w:p w14:paraId="13A0A29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tcBorders>
            <w:noWrap/>
            <w:vAlign w:val="center"/>
            <w:hideMark/>
          </w:tcPr>
          <w:p w14:paraId="148B4B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191.0</w:t>
            </w:r>
          </w:p>
        </w:tc>
        <w:tc>
          <w:tcPr>
            <w:tcW w:w="0" w:type="auto"/>
            <w:tcBorders>
              <w:top w:val="nil"/>
            </w:tcBorders>
            <w:noWrap/>
            <w:vAlign w:val="center"/>
            <w:hideMark/>
          </w:tcPr>
          <w:p w14:paraId="3EE2581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193.0</w:t>
            </w:r>
          </w:p>
        </w:tc>
        <w:tc>
          <w:tcPr>
            <w:tcW w:w="0" w:type="auto"/>
            <w:tcBorders>
              <w:top w:val="nil"/>
            </w:tcBorders>
            <w:shd w:val="clear" w:color="000000" w:fill="8AC97D"/>
            <w:noWrap/>
            <w:vAlign w:val="center"/>
            <w:hideMark/>
          </w:tcPr>
          <w:p w14:paraId="0C59CE4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w:t>
            </w:r>
          </w:p>
        </w:tc>
        <w:tc>
          <w:tcPr>
            <w:tcW w:w="0" w:type="auto"/>
            <w:tcBorders>
              <w:top w:val="nil"/>
            </w:tcBorders>
            <w:shd w:val="clear" w:color="000000" w:fill="F8E983"/>
            <w:noWrap/>
            <w:vAlign w:val="center"/>
            <w:hideMark/>
          </w:tcPr>
          <w:p w14:paraId="6C4A8F6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tcBorders>
            <w:shd w:val="clear" w:color="000000" w:fill="FFEB84"/>
            <w:noWrap/>
            <w:vAlign w:val="center"/>
            <w:hideMark/>
          </w:tcPr>
          <w:p w14:paraId="036BF23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top w:val="nil"/>
            </w:tcBorders>
            <w:shd w:val="clear" w:color="000000" w:fill="BAD780"/>
            <w:noWrap/>
            <w:vAlign w:val="center"/>
            <w:hideMark/>
          </w:tcPr>
          <w:p w14:paraId="5F38817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0.24</w:t>
            </w:r>
          </w:p>
        </w:tc>
        <w:tc>
          <w:tcPr>
            <w:tcW w:w="0" w:type="auto"/>
            <w:tcBorders>
              <w:top w:val="nil"/>
            </w:tcBorders>
            <w:shd w:val="clear" w:color="000000" w:fill="FFEB84"/>
            <w:noWrap/>
            <w:vAlign w:val="center"/>
            <w:hideMark/>
          </w:tcPr>
          <w:p w14:paraId="15CCCA9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c>
          <w:tcPr>
            <w:tcW w:w="0" w:type="auto"/>
            <w:tcBorders>
              <w:top w:val="nil"/>
            </w:tcBorders>
            <w:shd w:val="clear" w:color="000000" w:fill="FFEB84"/>
            <w:noWrap/>
            <w:vAlign w:val="center"/>
            <w:hideMark/>
          </w:tcPr>
          <w:p w14:paraId="6C84DA7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r>
      <w:tr w:rsidR="0024350B" w:rsidRPr="00BF1ABF" w14:paraId="3B11C7A2" w14:textId="77777777" w:rsidTr="00211DD2">
        <w:trPr>
          <w:trHeight w:val="255"/>
          <w:jc w:val="center"/>
        </w:trPr>
        <w:tc>
          <w:tcPr>
            <w:tcW w:w="0" w:type="auto"/>
            <w:tcBorders>
              <w:bottom w:val="single" w:sz="4" w:space="0" w:color="auto"/>
            </w:tcBorders>
            <w:noWrap/>
            <w:vAlign w:val="center"/>
            <w:hideMark/>
          </w:tcPr>
          <w:p w14:paraId="57A2D5E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CAM25-004</w:t>
            </w:r>
          </w:p>
        </w:tc>
        <w:tc>
          <w:tcPr>
            <w:tcW w:w="0" w:type="auto"/>
            <w:tcBorders>
              <w:bottom w:val="single" w:sz="4" w:space="0" w:color="auto"/>
            </w:tcBorders>
            <w:noWrap/>
            <w:vAlign w:val="center"/>
            <w:hideMark/>
          </w:tcPr>
          <w:p w14:paraId="1CF534F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79.0</w:t>
            </w:r>
          </w:p>
        </w:tc>
        <w:tc>
          <w:tcPr>
            <w:tcW w:w="0" w:type="auto"/>
            <w:tcBorders>
              <w:bottom w:val="single" w:sz="4" w:space="0" w:color="auto"/>
            </w:tcBorders>
            <w:noWrap/>
            <w:vAlign w:val="center"/>
            <w:hideMark/>
          </w:tcPr>
          <w:p w14:paraId="05FEDCF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81.0</w:t>
            </w:r>
          </w:p>
        </w:tc>
        <w:tc>
          <w:tcPr>
            <w:tcW w:w="0" w:type="auto"/>
            <w:tcBorders>
              <w:bottom w:val="single" w:sz="4" w:space="0" w:color="auto"/>
            </w:tcBorders>
            <w:shd w:val="clear" w:color="000000" w:fill="8AC97D"/>
            <w:noWrap/>
            <w:vAlign w:val="center"/>
            <w:hideMark/>
          </w:tcPr>
          <w:p w14:paraId="1D6F269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w:t>
            </w:r>
          </w:p>
        </w:tc>
        <w:tc>
          <w:tcPr>
            <w:tcW w:w="0" w:type="auto"/>
            <w:tcBorders>
              <w:bottom w:val="single" w:sz="4" w:space="0" w:color="auto"/>
            </w:tcBorders>
            <w:shd w:val="clear" w:color="000000" w:fill="CADB80"/>
            <w:noWrap/>
            <w:vAlign w:val="center"/>
            <w:hideMark/>
          </w:tcPr>
          <w:p w14:paraId="4C28B0F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single" w:sz="4" w:space="0" w:color="auto"/>
            </w:tcBorders>
            <w:shd w:val="clear" w:color="000000" w:fill="D8DF81"/>
            <w:noWrap/>
            <w:vAlign w:val="center"/>
            <w:hideMark/>
          </w:tcPr>
          <w:p w14:paraId="501AF25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bottom w:val="single" w:sz="4" w:space="0" w:color="auto"/>
            </w:tcBorders>
            <w:shd w:val="clear" w:color="000000" w:fill="96CC7D"/>
            <w:noWrap/>
            <w:vAlign w:val="center"/>
            <w:hideMark/>
          </w:tcPr>
          <w:p w14:paraId="34CED27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c>
          <w:tcPr>
            <w:tcW w:w="0" w:type="auto"/>
            <w:tcBorders>
              <w:bottom w:val="single" w:sz="4" w:space="0" w:color="auto"/>
            </w:tcBorders>
            <w:shd w:val="clear" w:color="000000" w:fill="B8D67F"/>
            <w:noWrap/>
            <w:vAlign w:val="center"/>
            <w:hideMark/>
          </w:tcPr>
          <w:p w14:paraId="7D6BD15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c>
          <w:tcPr>
            <w:tcW w:w="0" w:type="auto"/>
            <w:tcBorders>
              <w:bottom w:val="single" w:sz="4" w:space="0" w:color="auto"/>
            </w:tcBorders>
            <w:shd w:val="clear" w:color="000000" w:fill="B8D67F"/>
            <w:noWrap/>
            <w:vAlign w:val="center"/>
            <w:hideMark/>
          </w:tcPr>
          <w:p w14:paraId="2C4A57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r>
      <w:tr w:rsidR="0024350B" w:rsidRPr="00BF1ABF" w14:paraId="06049767" w14:textId="77777777" w:rsidTr="00211DD2">
        <w:trPr>
          <w:trHeight w:val="255"/>
          <w:jc w:val="center"/>
        </w:trPr>
        <w:tc>
          <w:tcPr>
            <w:tcW w:w="0" w:type="auto"/>
            <w:tcBorders>
              <w:bottom w:val="nil"/>
            </w:tcBorders>
            <w:noWrap/>
            <w:vAlign w:val="center"/>
            <w:hideMark/>
          </w:tcPr>
          <w:p w14:paraId="342478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CAM25-005</w:t>
            </w:r>
          </w:p>
        </w:tc>
        <w:tc>
          <w:tcPr>
            <w:tcW w:w="0" w:type="auto"/>
            <w:tcBorders>
              <w:bottom w:val="nil"/>
            </w:tcBorders>
            <w:noWrap/>
            <w:vAlign w:val="center"/>
            <w:hideMark/>
          </w:tcPr>
          <w:p w14:paraId="762FC0D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73.5</w:t>
            </w:r>
          </w:p>
        </w:tc>
        <w:tc>
          <w:tcPr>
            <w:tcW w:w="0" w:type="auto"/>
            <w:tcBorders>
              <w:bottom w:val="nil"/>
            </w:tcBorders>
            <w:noWrap/>
            <w:vAlign w:val="center"/>
            <w:hideMark/>
          </w:tcPr>
          <w:p w14:paraId="2106832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78.2</w:t>
            </w:r>
          </w:p>
        </w:tc>
        <w:tc>
          <w:tcPr>
            <w:tcW w:w="0" w:type="auto"/>
            <w:tcBorders>
              <w:bottom w:val="nil"/>
            </w:tcBorders>
            <w:shd w:val="clear" w:color="000000" w:fill="F3E783"/>
            <w:noWrap/>
            <w:vAlign w:val="center"/>
            <w:hideMark/>
          </w:tcPr>
          <w:p w14:paraId="11E230B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4.7</w:t>
            </w:r>
          </w:p>
        </w:tc>
        <w:tc>
          <w:tcPr>
            <w:tcW w:w="0" w:type="auto"/>
            <w:tcBorders>
              <w:bottom w:val="nil"/>
            </w:tcBorders>
            <w:shd w:val="clear" w:color="000000" w:fill="B0D47F"/>
            <w:noWrap/>
            <w:vAlign w:val="center"/>
            <w:hideMark/>
          </w:tcPr>
          <w:p w14:paraId="2D744D4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bottom w:val="nil"/>
            </w:tcBorders>
            <w:shd w:val="clear" w:color="000000" w:fill="80C67C"/>
            <w:noWrap/>
            <w:vAlign w:val="center"/>
            <w:hideMark/>
          </w:tcPr>
          <w:p w14:paraId="61C654D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bottom w:val="nil"/>
            </w:tcBorders>
            <w:shd w:val="clear" w:color="000000" w:fill="CBDC81"/>
            <w:noWrap/>
            <w:vAlign w:val="center"/>
            <w:hideMark/>
          </w:tcPr>
          <w:p w14:paraId="10B2B6F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0.27</w:t>
            </w:r>
          </w:p>
        </w:tc>
        <w:tc>
          <w:tcPr>
            <w:tcW w:w="0" w:type="auto"/>
            <w:tcBorders>
              <w:bottom w:val="nil"/>
            </w:tcBorders>
            <w:shd w:val="clear" w:color="000000" w:fill="76C37C"/>
            <w:noWrap/>
            <w:vAlign w:val="center"/>
            <w:hideMark/>
          </w:tcPr>
          <w:p w14:paraId="332123C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76C37C"/>
            <w:noWrap/>
            <w:vAlign w:val="center"/>
            <w:hideMark/>
          </w:tcPr>
          <w:p w14:paraId="1966562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r>
      <w:tr w:rsidR="0024350B" w:rsidRPr="00BF1ABF" w14:paraId="616EC60A" w14:textId="77777777" w:rsidTr="00211DD2">
        <w:trPr>
          <w:trHeight w:val="255"/>
          <w:jc w:val="center"/>
        </w:trPr>
        <w:tc>
          <w:tcPr>
            <w:tcW w:w="0" w:type="auto"/>
            <w:tcBorders>
              <w:top w:val="nil"/>
              <w:bottom w:val="single" w:sz="4" w:space="0" w:color="auto"/>
            </w:tcBorders>
            <w:noWrap/>
            <w:vAlign w:val="center"/>
            <w:hideMark/>
          </w:tcPr>
          <w:p w14:paraId="7930ED7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6513882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163.0</w:t>
            </w:r>
          </w:p>
        </w:tc>
        <w:tc>
          <w:tcPr>
            <w:tcW w:w="0" w:type="auto"/>
            <w:tcBorders>
              <w:top w:val="nil"/>
              <w:bottom w:val="single" w:sz="4" w:space="0" w:color="auto"/>
            </w:tcBorders>
            <w:noWrap/>
            <w:vAlign w:val="center"/>
            <w:hideMark/>
          </w:tcPr>
          <w:p w14:paraId="395C60B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164.3</w:t>
            </w:r>
          </w:p>
        </w:tc>
        <w:tc>
          <w:tcPr>
            <w:tcW w:w="0" w:type="auto"/>
            <w:tcBorders>
              <w:top w:val="nil"/>
              <w:bottom w:val="single" w:sz="4" w:space="0" w:color="auto"/>
            </w:tcBorders>
            <w:shd w:val="clear" w:color="000000" w:fill="6EC17B"/>
            <w:noWrap/>
            <w:vAlign w:val="center"/>
            <w:hideMark/>
          </w:tcPr>
          <w:p w14:paraId="27F65C8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1.3</w:t>
            </w:r>
          </w:p>
        </w:tc>
        <w:tc>
          <w:tcPr>
            <w:tcW w:w="0" w:type="auto"/>
            <w:tcBorders>
              <w:top w:val="nil"/>
              <w:bottom w:val="single" w:sz="4" w:space="0" w:color="auto"/>
            </w:tcBorders>
            <w:shd w:val="clear" w:color="000000" w:fill="FFEA84"/>
            <w:noWrap/>
            <w:vAlign w:val="center"/>
            <w:hideMark/>
          </w:tcPr>
          <w:p w14:paraId="3148E5B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c>
          <w:tcPr>
            <w:tcW w:w="0" w:type="auto"/>
            <w:tcBorders>
              <w:top w:val="nil"/>
              <w:bottom w:val="single" w:sz="4" w:space="0" w:color="auto"/>
            </w:tcBorders>
            <w:shd w:val="clear" w:color="000000" w:fill="A1D07E"/>
            <w:noWrap/>
            <w:vAlign w:val="center"/>
            <w:hideMark/>
          </w:tcPr>
          <w:p w14:paraId="54A241B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single" w:sz="4" w:space="0" w:color="auto"/>
            </w:tcBorders>
            <w:shd w:val="clear" w:color="000000" w:fill="D9E081"/>
            <w:noWrap/>
            <w:vAlign w:val="center"/>
            <w:hideMark/>
          </w:tcPr>
          <w:p w14:paraId="6FBF592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0.30</w:t>
            </w:r>
          </w:p>
        </w:tc>
        <w:tc>
          <w:tcPr>
            <w:tcW w:w="0" w:type="auto"/>
            <w:tcBorders>
              <w:top w:val="nil"/>
              <w:bottom w:val="single" w:sz="4" w:space="0" w:color="auto"/>
            </w:tcBorders>
            <w:shd w:val="clear" w:color="000000" w:fill="ECE582"/>
            <w:noWrap/>
            <w:vAlign w:val="center"/>
            <w:hideMark/>
          </w:tcPr>
          <w:p w14:paraId="1ACC00F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single" w:sz="4" w:space="0" w:color="auto"/>
            </w:tcBorders>
            <w:shd w:val="clear" w:color="000000" w:fill="ECE582"/>
            <w:noWrap/>
            <w:vAlign w:val="center"/>
            <w:hideMark/>
          </w:tcPr>
          <w:p w14:paraId="1F4CD40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r>
      <w:tr w:rsidR="0024350B" w:rsidRPr="00BF1ABF" w14:paraId="0E97C2C3" w14:textId="77777777" w:rsidTr="00211DD2">
        <w:trPr>
          <w:trHeight w:val="255"/>
          <w:jc w:val="center"/>
        </w:trPr>
        <w:tc>
          <w:tcPr>
            <w:tcW w:w="0" w:type="auto"/>
            <w:tcBorders>
              <w:bottom w:val="nil"/>
            </w:tcBorders>
            <w:noWrap/>
            <w:vAlign w:val="center"/>
            <w:hideMark/>
          </w:tcPr>
          <w:p w14:paraId="71B061F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lastRenderedPageBreak/>
              <w:t>CAM25-006</w:t>
            </w:r>
          </w:p>
        </w:tc>
        <w:tc>
          <w:tcPr>
            <w:tcW w:w="0" w:type="auto"/>
            <w:tcBorders>
              <w:bottom w:val="nil"/>
            </w:tcBorders>
            <w:noWrap/>
            <w:vAlign w:val="center"/>
            <w:hideMark/>
          </w:tcPr>
          <w:p w14:paraId="16AC50D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8.0</w:t>
            </w:r>
          </w:p>
        </w:tc>
        <w:tc>
          <w:tcPr>
            <w:tcW w:w="0" w:type="auto"/>
            <w:tcBorders>
              <w:bottom w:val="nil"/>
            </w:tcBorders>
            <w:noWrap/>
            <w:vAlign w:val="center"/>
            <w:hideMark/>
          </w:tcPr>
          <w:p w14:paraId="6BA66D2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18.0</w:t>
            </w:r>
          </w:p>
        </w:tc>
        <w:tc>
          <w:tcPr>
            <w:tcW w:w="0" w:type="auto"/>
            <w:tcBorders>
              <w:bottom w:val="nil"/>
            </w:tcBorders>
            <w:shd w:val="clear" w:color="000000" w:fill="FFE784"/>
            <w:noWrap/>
            <w:vAlign w:val="center"/>
            <w:hideMark/>
          </w:tcPr>
          <w:p w14:paraId="6AB710B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10.0</w:t>
            </w:r>
          </w:p>
        </w:tc>
        <w:tc>
          <w:tcPr>
            <w:tcW w:w="0" w:type="auto"/>
            <w:tcBorders>
              <w:bottom w:val="nil"/>
            </w:tcBorders>
            <w:shd w:val="clear" w:color="000000" w:fill="82C77C"/>
            <w:noWrap/>
            <w:vAlign w:val="center"/>
            <w:hideMark/>
          </w:tcPr>
          <w:p w14:paraId="0C0A284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bottom w:val="nil"/>
            </w:tcBorders>
            <w:shd w:val="clear" w:color="000000" w:fill="C5DA80"/>
            <w:noWrap/>
            <w:vAlign w:val="center"/>
            <w:hideMark/>
          </w:tcPr>
          <w:p w14:paraId="7CB740A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0.04</w:t>
            </w:r>
          </w:p>
        </w:tc>
        <w:tc>
          <w:tcPr>
            <w:tcW w:w="0" w:type="auto"/>
            <w:tcBorders>
              <w:bottom w:val="nil"/>
            </w:tcBorders>
            <w:shd w:val="clear" w:color="000000" w:fill="FFEA84"/>
            <w:noWrap/>
            <w:vAlign w:val="center"/>
            <w:hideMark/>
          </w:tcPr>
          <w:p w14:paraId="1D37DD8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0.42</w:t>
            </w:r>
          </w:p>
        </w:tc>
        <w:tc>
          <w:tcPr>
            <w:tcW w:w="0" w:type="auto"/>
            <w:tcBorders>
              <w:bottom w:val="nil"/>
            </w:tcBorders>
            <w:shd w:val="clear" w:color="000000" w:fill="74C37C"/>
            <w:noWrap/>
            <w:vAlign w:val="center"/>
            <w:hideMark/>
          </w:tcPr>
          <w:p w14:paraId="033A209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74C37C"/>
            <w:noWrap/>
            <w:vAlign w:val="center"/>
            <w:hideMark/>
          </w:tcPr>
          <w:p w14:paraId="6801228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r>
      <w:tr w:rsidR="0024350B" w:rsidRPr="00BF1ABF" w14:paraId="2685043C" w14:textId="77777777" w:rsidTr="00211DD2">
        <w:trPr>
          <w:trHeight w:val="255"/>
          <w:jc w:val="center"/>
        </w:trPr>
        <w:tc>
          <w:tcPr>
            <w:tcW w:w="0" w:type="auto"/>
            <w:tcBorders>
              <w:top w:val="nil"/>
              <w:bottom w:val="nil"/>
            </w:tcBorders>
            <w:noWrap/>
            <w:vAlign w:val="center"/>
            <w:hideMark/>
          </w:tcPr>
          <w:p w14:paraId="6F17722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71832E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88.0</w:t>
            </w:r>
          </w:p>
        </w:tc>
        <w:tc>
          <w:tcPr>
            <w:tcW w:w="0" w:type="auto"/>
            <w:tcBorders>
              <w:top w:val="nil"/>
              <w:bottom w:val="nil"/>
            </w:tcBorders>
            <w:noWrap/>
            <w:vAlign w:val="center"/>
            <w:hideMark/>
          </w:tcPr>
          <w:p w14:paraId="50A20A3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110.0</w:t>
            </w:r>
          </w:p>
        </w:tc>
        <w:tc>
          <w:tcPr>
            <w:tcW w:w="0" w:type="auto"/>
            <w:tcBorders>
              <w:top w:val="nil"/>
              <w:bottom w:val="nil"/>
            </w:tcBorders>
            <w:shd w:val="clear" w:color="000000" w:fill="FFDD82"/>
            <w:noWrap/>
            <w:vAlign w:val="center"/>
            <w:hideMark/>
          </w:tcPr>
          <w:p w14:paraId="736E034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22.0</w:t>
            </w:r>
          </w:p>
        </w:tc>
        <w:tc>
          <w:tcPr>
            <w:tcW w:w="0" w:type="auto"/>
            <w:tcBorders>
              <w:top w:val="nil"/>
              <w:bottom w:val="nil"/>
            </w:tcBorders>
            <w:shd w:val="clear" w:color="000000" w:fill="84C77C"/>
            <w:noWrap/>
            <w:vAlign w:val="center"/>
            <w:hideMark/>
          </w:tcPr>
          <w:p w14:paraId="5E8139F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nil"/>
            </w:tcBorders>
            <w:shd w:val="clear" w:color="000000" w:fill="A5D17E"/>
            <w:noWrap/>
            <w:vAlign w:val="center"/>
            <w:hideMark/>
          </w:tcPr>
          <w:p w14:paraId="1E9ADF4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nil"/>
            </w:tcBorders>
            <w:shd w:val="clear" w:color="000000" w:fill="C2D980"/>
            <w:noWrap/>
            <w:vAlign w:val="center"/>
            <w:hideMark/>
          </w:tcPr>
          <w:p w14:paraId="36737E8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0.26</w:t>
            </w:r>
          </w:p>
        </w:tc>
        <w:tc>
          <w:tcPr>
            <w:tcW w:w="0" w:type="auto"/>
            <w:tcBorders>
              <w:top w:val="nil"/>
              <w:bottom w:val="nil"/>
            </w:tcBorders>
            <w:shd w:val="clear" w:color="000000" w:fill="63BE7B"/>
            <w:noWrap/>
            <w:vAlign w:val="center"/>
            <w:hideMark/>
          </w:tcPr>
          <w:p w14:paraId="07C8F60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top w:val="nil"/>
              <w:bottom w:val="nil"/>
            </w:tcBorders>
            <w:shd w:val="clear" w:color="000000" w:fill="63BE7B"/>
            <w:noWrap/>
            <w:vAlign w:val="center"/>
            <w:hideMark/>
          </w:tcPr>
          <w:p w14:paraId="43942CB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r>
      <w:tr w:rsidR="0024350B" w:rsidRPr="00BF1ABF" w14:paraId="7C756910" w14:textId="77777777" w:rsidTr="00211DD2">
        <w:trPr>
          <w:trHeight w:val="255"/>
          <w:jc w:val="center"/>
        </w:trPr>
        <w:tc>
          <w:tcPr>
            <w:tcW w:w="0" w:type="auto"/>
            <w:tcBorders>
              <w:top w:val="nil"/>
              <w:bottom w:val="nil"/>
            </w:tcBorders>
            <w:noWrap/>
            <w:vAlign w:val="center"/>
            <w:hideMark/>
          </w:tcPr>
          <w:p w14:paraId="580046C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nil"/>
            </w:tcBorders>
            <w:noWrap/>
            <w:vAlign w:val="center"/>
            <w:hideMark/>
          </w:tcPr>
          <w:p w14:paraId="1DA7A64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140.0</w:t>
            </w:r>
          </w:p>
        </w:tc>
        <w:tc>
          <w:tcPr>
            <w:tcW w:w="0" w:type="auto"/>
            <w:tcBorders>
              <w:top w:val="nil"/>
              <w:bottom w:val="nil"/>
            </w:tcBorders>
            <w:noWrap/>
            <w:vAlign w:val="center"/>
            <w:hideMark/>
          </w:tcPr>
          <w:p w14:paraId="43A363F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179.0</w:t>
            </w:r>
          </w:p>
        </w:tc>
        <w:tc>
          <w:tcPr>
            <w:tcW w:w="0" w:type="auto"/>
            <w:tcBorders>
              <w:top w:val="nil"/>
              <w:bottom w:val="nil"/>
            </w:tcBorders>
            <w:shd w:val="clear" w:color="000000" w:fill="FECE7F"/>
            <w:noWrap/>
            <w:vAlign w:val="center"/>
            <w:hideMark/>
          </w:tcPr>
          <w:p w14:paraId="6E3EB09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39.0</w:t>
            </w:r>
          </w:p>
        </w:tc>
        <w:tc>
          <w:tcPr>
            <w:tcW w:w="0" w:type="auto"/>
            <w:tcBorders>
              <w:top w:val="nil"/>
              <w:bottom w:val="nil"/>
            </w:tcBorders>
            <w:shd w:val="clear" w:color="000000" w:fill="82C77C"/>
            <w:noWrap/>
            <w:vAlign w:val="center"/>
            <w:hideMark/>
          </w:tcPr>
          <w:p w14:paraId="7609F4C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nil"/>
            </w:tcBorders>
            <w:shd w:val="clear" w:color="000000" w:fill="BFD880"/>
            <w:noWrap/>
            <w:vAlign w:val="center"/>
            <w:hideMark/>
          </w:tcPr>
          <w:p w14:paraId="7700B22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0.04</w:t>
            </w:r>
          </w:p>
        </w:tc>
        <w:tc>
          <w:tcPr>
            <w:tcW w:w="0" w:type="auto"/>
            <w:tcBorders>
              <w:top w:val="nil"/>
              <w:bottom w:val="nil"/>
            </w:tcBorders>
            <w:shd w:val="clear" w:color="000000" w:fill="FFEA84"/>
            <w:noWrap/>
            <w:vAlign w:val="center"/>
            <w:hideMark/>
          </w:tcPr>
          <w:p w14:paraId="70BED0F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0.41</w:t>
            </w:r>
          </w:p>
        </w:tc>
        <w:tc>
          <w:tcPr>
            <w:tcW w:w="0" w:type="auto"/>
            <w:tcBorders>
              <w:top w:val="nil"/>
              <w:bottom w:val="nil"/>
            </w:tcBorders>
            <w:shd w:val="clear" w:color="000000" w:fill="72C27B"/>
            <w:noWrap/>
            <w:vAlign w:val="center"/>
            <w:hideMark/>
          </w:tcPr>
          <w:p w14:paraId="63627A8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top w:val="nil"/>
              <w:bottom w:val="nil"/>
            </w:tcBorders>
            <w:shd w:val="clear" w:color="000000" w:fill="72C27B"/>
            <w:noWrap/>
            <w:vAlign w:val="center"/>
            <w:hideMark/>
          </w:tcPr>
          <w:p w14:paraId="54026F5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r>
      <w:tr w:rsidR="0024350B" w:rsidRPr="00BF1ABF" w14:paraId="5D546C4B" w14:textId="77777777" w:rsidTr="00211DD2">
        <w:trPr>
          <w:trHeight w:val="255"/>
          <w:jc w:val="center"/>
        </w:trPr>
        <w:tc>
          <w:tcPr>
            <w:tcW w:w="0" w:type="auto"/>
            <w:tcBorders>
              <w:top w:val="nil"/>
              <w:bottom w:val="nil"/>
            </w:tcBorders>
            <w:noWrap/>
            <w:vAlign w:val="center"/>
            <w:hideMark/>
          </w:tcPr>
          <w:p w14:paraId="3F4C879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including</w:t>
            </w:r>
          </w:p>
        </w:tc>
        <w:tc>
          <w:tcPr>
            <w:tcW w:w="0" w:type="auto"/>
            <w:tcBorders>
              <w:top w:val="nil"/>
              <w:bottom w:val="nil"/>
            </w:tcBorders>
            <w:noWrap/>
            <w:vAlign w:val="center"/>
            <w:hideMark/>
          </w:tcPr>
          <w:p w14:paraId="75F9B02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142.0</w:t>
            </w:r>
          </w:p>
        </w:tc>
        <w:tc>
          <w:tcPr>
            <w:tcW w:w="0" w:type="auto"/>
            <w:tcBorders>
              <w:top w:val="nil"/>
              <w:bottom w:val="nil"/>
            </w:tcBorders>
            <w:noWrap/>
            <w:vAlign w:val="center"/>
            <w:hideMark/>
          </w:tcPr>
          <w:p w14:paraId="06E77FE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144.0</w:t>
            </w:r>
          </w:p>
        </w:tc>
        <w:tc>
          <w:tcPr>
            <w:tcW w:w="0" w:type="auto"/>
            <w:tcBorders>
              <w:top w:val="nil"/>
              <w:bottom w:val="nil"/>
            </w:tcBorders>
            <w:shd w:val="clear" w:color="000000" w:fill="8AC97D"/>
            <w:noWrap/>
            <w:vAlign w:val="center"/>
            <w:hideMark/>
          </w:tcPr>
          <w:p w14:paraId="7A23133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w:t>
            </w:r>
          </w:p>
        </w:tc>
        <w:tc>
          <w:tcPr>
            <w:tcW w:w="0" w:type="auto"/>
            <w:tcBorders>
              <w:top w:val="nil"/>
              <w:bottom w:val="nil"/>
            </w:tcBorders>
            <w:shd w:val="clear" w:color="000000" w:fill="D4DE81"/>
            <w:noWrap/>
            <w:vAlign w:val="center"/>
            <w:hideMark/>
          </w:tcPr>
          <w:p w14:paraId="2EA6063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top w:val="nil"/>
              <w:bottom w:val="nil"/>
            </w:tcBorders>
            <w:shd w:val="clear" w:color="000000" w:fill="FFE884"/>
            <w:noWrap/>
            <w:vAlign w:val="center"/>
            <w:hideMark/>
          </w:tcPr>
          <w:p w14:paraId="3248698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bottom w:val="nil"/>
            </w:tcBorders>
            <w:shd w:val="clear" w:color="000000" w:fill="DEE182"/>
            <w:noWrap/>
            <w:vAlign w:val="center"/>
            <w:hideMark/>
          </w:tcPr>
          <w:p w14:paraId="1F05572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0.31</w:t>
            </w:r>
          </w:p>
        </w:tc>
        <w:tc>
          <w:tcPr>
            <w:tcW w:w="0" w:type="auto"/>
            <w:tcBorders>
              <w:top w:val="nil"/>
              <w:bottom w:val="nil"/>
            </w:tcBorders>
            <w:shd w:val="clear" w:color="000000" w:fill="FFEB84"/>
            <w:noWrap/>
            <w:vAlign w:val="center"/>
            <w:hideMark/>
          </w:tcPr>
          <w:p w14:paraId="2AEE523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c>
          <w:tcPr>
            <w:tcW w:w="0" w:type="auto"/>
            <w:tcBorders>
              <w:top w:val="nil"/>
              <w:bottom w:val="nil"/>
            </w:tcBorders>
            <w:shd w:val="clear" w:color="000000" w:fill="FFEB84"/>
            <w:noWrap/>
            <w:vAlign w:val="center"/>
            <w:hideMark/>
          </w:tcPr>
          <w:p w14:paraId="13D4949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r>
      <w:tr w:rsidR="0024350B" w:rsidRPr="00BF1ABF" w14:paraId="0B94AE9A" w14:textId="77777777" w:rsidTr="00211DD2">
        <w:trPr>
          <w:trHeight w:val="255"/>
          <w:jc w:val="center"/>
        </w:trPr>
        <w:tc>
          <w:tcPr>
            <w:tcW w:w="0" w:type="auto"/>
            <w:tcBorders>
              <w:top w:val="nil"/>
              <w:bottom w:val="single" w:sz="4" w:space="0" w:color="auto"/>
            </w:tcBorders>
            <w:noWrap/>
            <w:vAlign w:val="center"/>
            <w:hideMark/>
          </w:tcPr>
          <w:p w14:paraId="0ACB6F7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including</w:t>
            </w:r>
          </w:p>
        </w:tc>
        <w:tc>
          <w:tcPr>
            <w:tcW w:w="0" w:type="auto"/>
            <w:tcBorders>
              <w:top w:val="nil"/>
              <w:bottom w:val="single" w:sz="4" w:space="0" w:color="auto"/>
            </w:tcBorders>
            <w:noWrap/>
            <w:vAlign w:val="center"/>
            <w:hideMark/>
          </w:tcPr>
          <w:p w14:paraId="3980B3A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159.0</w:t>
            </w:r>
          </w:p>
        </w:tc>
        <w:tc>
          <w:tcPr>
            <w:tcW w:w="0" w:type="auto"/>
            <w:tcBorders>
              <w:top w:val="nil"/>
              <w:bottom w:val="single" w:sz="4" w:space="0" w:color="auto"/>
            </w:tcBorders>
            <w:noWrap/>
            <w:vAlign w:val="center"/>
            <w:hideMark/>
          </w:tcPr>
          <w:p w14:paraId="1978CBB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161.0</w:t>
            </w:r>
          </w:p>
        </w:tc>
        <w:tc>
          <w:tcPr>
            <w:tcW w:w="0" w:type="auto"/>
            <w:tcBorders>
              <w:top w:val="nil"/>
              <w:bottom w:val="single" w:sz="4" w:space="0" w:color="auto"/>
            </w:tcBorders>
            <w:shd w:val="clear" w:color="000000" w:fill="8AC97D"/>
            <w:noWrap/>
            <w:vAlign w:val="center"/>
            <w:hideMark/>
          </w:tcPr>
          <w:p w14:paraId="4A2BC7E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w:t>
            </w:r>
          </w:p>
        </w:tc>
        <w:tc>
          <w:tcPr>
            <w:tcW w:w="0" w:type="auto"/>
            <w:tcBorders>
              <w:top w:val="nil"/>
              <w:bottom w:val="single" w:sz="4" w:space="0" w:color="auto"/>
            </w:tcBorders>
            <w:shd w:val="clear" w:color="000000" w:fill="FFE984"/>
            <w:noWrap/>
            <w:vAlign w:val="center"/>
            <w:hideMark/>
          </w:tcPr>
          <w:p w14:paraId="0C9FD68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top w:val="nil"/>
              <w:bottom w:val="single" w:sz="4" w:space="0" w:color="auto"/>
            </w:tcBorders>
            <w:shd w:val="clear" w:color="000000" w:fill="95CC7D"/>
            <w:noWrap/>
            <w:vAlign w:val="center"/>
            <w:hideMark/>
          </w:tcPr>
          <w:p w14:paraId="6AF515E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top w:val="nil"/>
              <w:bottom w:val="single" w:sz="4" w:space="0" w:color="auto"/>
            </w:tcBorders>
            <w:shd w:val="clear" w:color="000000" w:fill="D9E081"/>
            <w:noWrap/>
            <w:vAlign w:val="center"/>
            <w:hideMark/>
          </w:tcPr>
          <w:p w14:paraId="57567FE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0.30</w:t>
            </w:r>
          </w:p>
        </w:tc>
        <w:tc>
          <w:tcPr>
            <w:tcW w:w="0" w:type="auto"/>
            <w:tcBorders>
              <w:top w:val="nil"/>
              <w:bottom w:val="single" w:sz="4" w:space="0" w:color="auto"/>
            </w:tcBorders>
            <w:shd w:val="clear" w:color="000000" w:fill="F9E983"/>
            <w:noWrap/>
            <w:vAlign w:val="center"/>
            <w:hideMark/>
          </w:tcPr>
          <w:p w14:paraId="2C76CA1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single" w:sz="4" w:space="0" w:color="auto"/>
            </w:tcBorders>
            <w:shd w:val="clear" w:color="000000" w:fill="F9E983"/>
            <w:noWrap/>
            <w:vAlign w:val="center"/>
            <w:hideMark/>
          </w:tcPr>
          <w:p w14:paraId="6432CAA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r>
      <w:tr w:rsidR="0024350B" w:rsidRPr="00BF1ABF" w14:paraId="66662657" w14:textId="77777777" w:rsidTr="00211DD2">
        <w:trPr>
          <w:trHeight w:val="255"/>
          <w:jc w:val="center"/>
        </w:trPr>
        <w:tc>
          <w:tcPr>
            <w:tcW w:w="0" w:type="auto"/>
            <w:tcBorders>
              <w:bottom w:val="nil"/>
            </w:tcBorders>
            <w:noWrap/>
            <w:vAlign w:val="center"/>
            <w:hideMark/>
          </w:tcPr>
          <w:p w14:paraId="61FB063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CAM25-007</w:t>
            </w:r>
          </w:p>
        </w:tc>
        <w:tc>
          <w:tcPr>
            <w:tcW w:w="0" w:type="auto"/>
            <w:tcBorders>
              <w:bottom w:val="nil"/>
            </w:tcBorders>
            <w:noWrap/>
            <w:vAlign w:val="center"/>
            <w:hideMark/>
          </w:tcPr>
          <w:p w14:paraId="76293AC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186.0</w:t>
            </w:r>
          </w:p>
        </w:tc>
        <w:tc>
          <w:tcPr>
            <w:tcW w:w="0" w:type="auto"/>
            <w:tcBorders>
              <w:bottom w:val="nil"/>
            </w:tcBorders>
            <w:noWrap/>
            <w:vAlign w:val="center"/>
            <w:hideMark/>
          </w:tcPr>
          <w:p w14:paraId="26C0A7E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198.0</w:t>
            </w:r>
          </w:p>
        </w:tc>
        <w:tc>
          <w:tcPr>
            <w:tcW w:w="0" w:type="auto"/>
            <w:tcBorders>
              <w:bottom w:val="nil"/>
            </w:tcBorders>
            <w:shd w:val="clear" w:color="000000" w:fill="FFE583"/>
            <w:noWrap/>
            <w:vAlign w:val="center"/>
            <w:hideMark/>
          </w:tcPr>
          <w:p w14:paraId="47F5369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12.0</w:t>
            </w:r>
          </w:p>
        </w:tc>
        <w:tc>
          <w:tcPr>
            <w:tcW w:w="0" w:type="auto"/>
            <w:tcBorders>
              <w:bottom w:val="nil"/>
            </w:tcBorders>
            <w:shd w:val="clear" w:color="000000" w:fill="FFE984"/>
            <w:noWrap/>
            <w:vAlign w:val="center"/>
            <w:hideMark/>
          </w:tcPr>
          <w:p w14:paraId="253BD5C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bottom w:val="nil"/>
            </w:tcBorders>
            <w:shd w:val="clear" w:color="000000" w:fill="FFEB84"/>
            <w:noWrap/>
            <w:vAlign w:val="center"/>
            <w:hideMark/>
          </w:tcPr>
          <w:p w14:paraId="038549D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FFEA84"/>
            <w:noWrap/>
            <w:vAlign w:val="center"/>
            <w:hideMark/>
          </w:tcPr>
          <w:p w14:paraId="2B6DFA4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0.42</w:t>
            </w:r>
          </w:p>
        </w:tc>
        <w:tc>
          <w:tcPr>
            <w:tcW w:w="0" w:type="auto"/>
            <w:tcBorders>
              <w:bottom w:val="nil"/>
            </w:tcBorders>
            <w:shd w:val="clear" w:color="000000" w:fill="FFEA84"/>
            <w:noWrap/>
            <w:vAlign w:val="center"/>
            <w:hideMark/>
          </w:tcPr>
          <w:p w14:paraId="3527020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0.19</w:t>
            </w:r>
          </w:p>
        </w:tc>
        <w:tc>
          <w:tcPr>
            <w:tcW w:w="0" w:type="auto"/>
            <w:tcBorders>
              <w:bottom w:val="nil"/>
            </w:tcBorders>
            <w:shd w:val="clear" w:color="000000" w:fill="FFEA84"/>
            <w:noWrap/>
            <w:vAlign w:val="center"/>
            <w:hideMark/>
          </w:tcPr>
          <w:p w14:paraId="3484D18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0.21</w:t>
            </w:r>
          </w:p>
        </w:tc>
      </w:tr>
      <w:tr w:rsidR="0024350B" w:rsidRPr="00BF1ABF" w14:paraId="6C504F9D" w14:textId="77777777" w:rsidTr="00211DD2">
        <w:trPr>
          <w:trHeight w:val="255"/>
          <w:jc w:val="center"/>
        </w:trPr>
        <w:tc>
          <w:tcPr>
            <w:tcW w:w="0" w:type="auto"/>
            <w:tcBorders>
              <w:top w:val="nil"/>
              <w:bottom w:val="single" w:sz="4" w:space="0" w:color="auto"/>
            </w:tcBorders>
            <w:noWrap/>
            <w:vAlign w:val="center"/>
            <w:hideMark/>
          </w:tcPr>
          <w:p w14:paraId="77D9C7B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including</w:t>
            </w:r>
          </w:p>
        </w:tc>
        <w:tc>
          <w:tcPr>
            <w:tcW w:w="0" w:type="auto"/>
            <w:tcBorders>
              <w:top w:val="nil"/>
              <w:bottom w:val="single" w:sz="4" w:space="0" w:color="auto"/>
            </w:tcBorders>
            <w:noWrap/>
            <w:vAlign w:val="center"/>
            <w:hideMark/>
          </w:tcPr>
          <w:p w14:paraId="78CEEDA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188.0</w:t>
            </w:r>
          </w:p>
        </w:tc>
        <w:tc>
          <w:tcPr>
            <w:tcW w:w="0" w:type="auto"/>
            <w:tcBorders>
              <w:top w:val="nil"/>
              <w:bottom w:val="single" w:sz="4" w:space="0" w:color="auto"/>
            </w:tcBorders>
            <w:noWrap/>
            <w:vAlign w:val="center"/>
            <w:hideMark/>
          </w:tcPr>
          <w:p w14:paraId="3580E2F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194.0</w:t>
            </w:r>
          </w:p>
        </w:tc>
        <w:tc>
          <w:tcPr>
            <w:tcW w:w="0" w:type="auto"/>
            <w:tcBorders>
              <w:top w:val="nil"/>
              <w:bottom w:val="single" w:sz="4" w:space="0" w:color="auto"/>
            </w:tcBorders>
            <w:shd w:val="clear" w:color="000000" w:fill="FFEB84"/>
            <w:noWrap/>
            <w:vAlign w:val="center"/>
            <w:hideMark/>
          </w:tcPr>
          <w:p w14:paraId="2C90AEF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6.0</w:t>
            </w:r>
          </w:p>
        </w:tc>
        <w:tc>
          <w:tcPr>
            <w:tcW w:w="0" w:type="auto"/>
            <w:tcBorders>
              <w:top w:val="nil"/>
              <w:bottom w:val="single" w:sz="4" w:space="0" w:color="auto"/>
            </w:tcBorders>
            <w:shd w:val="clear" w:color="000000" w:fill="FFE283"/>
            <w:noWrap/>
            <w:vAlign w:val="center"/>
            <w:hideMark/>
          </w:tcPr>
          <w:p w14:paraId="4596311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0.22</w:t>
            </w:r>
          </w:p>
        </w:tc>
        <w:tc>
          <w:tcPr>
            <w:tcW w:w="0" w:type="auto"/>
            <w:tcBorders>
              <w:top w:val="nil"/>
              <w:bottom w:val="single" w:sz="4" w:space="0" w:color="auto"/>
            </w:tcBorders>
            <w:shd w:val="clear" w:color="000000" w:fill="FFE784"/>
            <w:noWrap/>
            <w:vAlign w:val="center"/>
            <w:hideMark/>
          </w:tcPr>
          <w:p w14:paraId="2DE74CD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c>
          <w:tcPr>
            <w:tcW w:w="0" w:type="auto"/>
            <w:tcBorders>
              <w:top w:val="nil"/>
              <w:bottom w:val="single" w:sz="4" w:space="0" w:color="auto"/>
            </w:tcBorders>
            <w:shd w:val="clear" w:color="000000" w:fill="FFE383"/>
            <w:noWrap/>
            <w:vAlign w:val="center"/>
            <w:hideMark/>
          </w:tcPr>
          <w:p w14:paraId="1D7C11D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0.60</w:t>
            </w:r>
          </w:p>
        </w:tc>
        <w:tc>
          <w:tcPr>
            <w:tcW w:w="0" w:type="auto"/>
            <w:tcBorders>
              <w:top w:val="nil"/>
              <w:bottom w:val="single" w:sz="4" w:space="0" w:color="auto"/>
            </w:tcBorders>
            <w:shd w:val="clear" w:color="000000" w:fill="FFE483"/>
            <w:noWrap/>
            <w:vAlign w:val="center"/>
            <w:hideMark/>
          </w:tcPr>
          <w:p w14:paraId="3BC4A23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0.31</w:t>
            </w:r>
          </w:p>
        </w:tc>
        <w:tc>
          <w:tcPr>
            <w:tcW w:w="0" w:type="auto"/>
            <w:tcBorders>
              <w:top w:val="nil"/>
              <w:bottom w:val="single" w:sz="4" w:space="0" w:color="auto"/>
            </w:tcBorders>
            <w:shd w:val="clear" w:color="000000" w:fill="FFE483"/>
            <w:noWrap/>
            <w:vAlign w:val="center"/>
            <w:hideMark/>
          </w:tcPr>
          <w:p w14:paraId="018F2A2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0.34</w:t>
            </w:r>
          </w:p>
        </w:tc>
      </w:tr>
      <w:tr w:rsidR="0024350B" w:rsidRPr="00BF1ABF" w14:paraId="25C30341" w14:textId="77777777" w:rsidTr="00211DD2">
        <w:trPr>
          <w:trHeight w:val="255"/>
          <w:jc w:val="center"/>
        </w:trPr>
        <w:tc>
          <w:tcPr>
            <w:tcW w:w="0" w:type="auto"/>
            <w:tcBorders>
              <w:bottom w:val="nil"/>
            </w:tcBorders>
            <w:noWrap/>
            <w:vAlign w:val="center"/>
            <w:hideMark/>
          </w:tcPr>
          <w:p w14:paraId="600B1E2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CAM25-008</w:t>
            </w:r>
          </w:p>
        </w:tc>
        <w:tc>
          <w:tcPr>
            <w:tcW w:w="0" w:type="auto"/>
            <w:tcBorders>
              <w:bottom w:val="nil"/>
            </w:tcBorders>
            <w:noWrap/>
            <w:vAlign w:val="center"/>
            <w:hideMark/>
          </w:tcPr>
          <w:p w14:paraId="259023D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63.0</w:t>
            </w:r>
          </w:p>
        </w:tc>
        <w:tc>
          <w:tcPr>
            <w:tcW w:w="0" w:type="auto"/>
            <w:tcBorders>
              <w:bottom w:val="nil"/>
            </w:tcBorders>
            <w:noWrap/>
            <w:vAlign w:val="center"/>
            <w:hideMark/>
          </w:tcPr>
          <w:p w14:paraId="25BCDED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66.0</w:t>
            </w:r>
          </w:p>
        </w:tc>
        <w:tc>
          <w:tcPr>
            <w:tcW w:w="0" w:type="auto"/>
            <w:tcBorders>
              <w:bottom w:val="nil"/>
            </w:tcBorders>
            <w:shd w:val="clear" w:color="000000" w:fill="B1D47F"/>
            <w:noWrap/>
            <w:vAlign w:val="center"/>
            <w:hideMark/>
          </w:tcPr>
          <w:p w14:paraId="59BE3DE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3.0</w:t>
            </w:r>
          </w:p>
        </w:tc>
        <w:tc>
          <w:tcPr>
            <w:tcW w:w="0" w:type="auto"/>
            <w:tcBorders>
              <w:bottom w:val="nil"/>
            </w:tcBorders>
            <w:shd w:val="clear" w:color="000000" w:fill="63BE7B"/>
            <w:noWrap/>
            <w:vAlign w:val="center"/>
            <w:hideMark/>
          </w:tcPr>
          <w:p w14:paraId="725A295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bottom w:val="nil"/>
            </w:tcBorders>
            <w:shd w:val="clear" w:color="000000" w:fill="FFE583"/>
            <w:noWrap/>
            <w:vAlign w:val="center"/>
            <w:hideMark/>
          </w:tcPr>
          <w:p w14:paraId="07F1386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bottom w:val="nil"/>
            </w:tcBorders>
            <w:shd w:val="clear" w:color="000000" w:fill="FFDA81"/>
            <w:noWrap/>
            <w:vAlign w:val="center"/>
            <w:hideMark/>
          </w:tcPr>
          <w:p w14:paraId="4C0D0DF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0.85</w:t>
            </w:r>
          </w:p>
        </w:tc>
        <w:tc>
          <w:tcPr>
            <w:tcW w:w="0" w:type="auto"/>
            <w:tcBorders>
              <w:bottom w:val="nil"/>
            </w:tcBorders>
            <w:shd w:val="clear" w:color="000000" w:fill="E5E382"/>
            <w:noWrap/>
            <w:vAlign w:val="center"/>
            <w:hideMark/>
          </w:tcPr>
          <w:p w14:paraId="2BDCF0E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bottom w:val="nil"/>
            </w:tcBorders>
            <w:shd w:val="clear" w:color="000000" w:fill="E5E382"/>
            <w:noWrap/>
            <w:vAlign w:val="center"/>
            <w:hideMark/>
          </w:tcPr>
          <w:p w14:paraId="5612AEA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r>
      <w:tr w:rsidR="0024350B" w:rsidRPr="00BF1ABF" w14:paraId="78A89193" w14:textId="77777777" w:rsidTr="00211DD2">
        <w:trPr>
          <w:trHeight w:val="255"/>
          <w:jc w:val="center"/>
        </w:trPr>
        <w:tc>
          <w:tcPr>
            <w:tcW w:w="0" w:type="auto"/>
            <w:tcBorders>
              <w:top w:val="nil"/>
              <w:bottom w:val="single" w:sz="4" w:space="0" w:color="auto"/>
            </w:tcBorders>
            <w:noWrap/>
            <w:vAlign w:val="center"/>
            <w:hideMark/>
          </w:tcPr>
          <w:p w14:paraId="45608C2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23ECE50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154.0</w:t>
            </w:r>
          </w:p>
        </w:tc>
        <w:tc>
          <w:tcPr>
            <w:tcW w:w="0" w:type="auto"/>
            <w:tcBorders>
              <w:top w:val="nil"/>
              <w:bottom w:val="single" w:sz="4" w:space="0" w:color="auto"/>
            </w:tcBorders>
            <w:noWrap/>
            <w:vAlign w:val="center"/>
            <w:hideMark/>
          </w:tcPr>
          <w:p w14:paraId="521BB80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155.4</w:t>
            </w:r>
          </w:p>
        </w:tc>
        <w:tc>
          <w:tcPr>
            <w:tcW w:w="0" w:type="auto"/>
            <w:tcBorders>
              <w:top w:val="nil"/>
              <w:bottom w:val="single" w:sz="4" w:space="0" w:color="auto"/>
            </w:tcBorders>
            <w:shd w:val="clear" w:color="000000" w:fill="72C27B"/>
            <w:noWrap/>
            <w:vAlign w:val="center"/>
            <w:hideMark/>
          </w:tcPr>
          <w:p w14:paraId="0C6FC70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w:t>
            </w:r>
          </w:p>
        </w:tc>
        <w:tc>
          <w:tcPr>
            <w:tcW w:w="0" w:type="auto"/>
            <w:tcBorders>
              <w:top w:val="nil"/>
              <w:bottom w:val="single" w:sz="4" w:space="0" w:color="auto"/>
            </w:tcBorders>
            <w:shd w:val="clear" w:color="000000" w:fill="FFDF82"/>
            <w:noWrap/>
            <w:vAlign w:val="center"/>
            <w:hideMark/>
          </w:tcPr>
          <w:p w14:paraId="3732186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0.25</w:t>
            </w:r>
          </w:p>
        </w:tc>
        <w:tc>
          <w:tcPr>
            <w:tcW w:w="0" w:type="auto"/>
            <w:tcBorders>
              <w:top w:val="nil"/>
              <w:bottom w:val="single" w:sz="4" w:space="0" w:color="auto"/>
            </w:tcBorders>
            <w:shd w:val="clear" w:color="000000" w:fill="63BE7B"/>
            <w:noWrap/>
            <w:vAlign w:val="center"/>
            <w:hideMark/>
          </w:tcPr>
          <w:p w14:paraId="17DEF34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0.01</w:t>
            </w:r>
          </w:p>
        </w:tc>
        <w:tc>
          <w:tcPr>
            <w:tcW w:w="0" w:type="auto"/>
            <w:tcBorders>
              <w:top w:val="nil"/>
              <w:bottom w:val="single" w:sz="4" w:space="0" w:color="auto"/>
            </w:tcBorders>
            <w:shd w:val="clear" w:color="000000" w:fill="E8E482"/>
            <w:noWrap/>
            <w:vAlign w:val="center"/>
            <w:hideMark/>
          </w:tcPr>
          <w:p w14:paraId="5F268AD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0.33</w:t>
            </w:r>
          </w:p>
        </w:tc>
        <w:tc>
          <w:tcPr>
            <w:tcW w:w="0" w:type="auto"/>
            <w:tcBorders>
              <w:top w:val="nil"/>
              <w:bottom w:val="single" w:sz="4" w:space="0" w:color="auto"/>
            </w:tcBorders>
            <w:shd w:val="clear" w:color="000000" w:fill="FFE683"/>
            <w:noWrap/>
            <w:vAlign w:val="center"/>
            <w:hideMark/>
          </w:tcPr>
          <w:p w14:paraId="64A8EA2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0.26</w:t>
            </w:r>
          </w:p>
        </w:tc>
        <w:tc>
          <w:tcPr>
            <w:tcW w:w="0" w:type="auto"/>
            <w:tcBorders>
              <w:top w:val="nil"/>
              <w:bottom w:val="single" w:sz="4" w:space="0" w:color="auto"/>
            </w:tcBorders>
            <w:shd w:val="clear" w:color="000000" w:fill="FFE683"/>
            <w:noWrap/>
            <w:vAlign w:val="center"/>
            <w:hideMark/>
          </w:tcPr>
          <w:p w14:paraId="3F2B3BF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0.29</w:t>
            </w:r>
          </w:p>
        </w:tc>
      </w:tr>
      <w:tr w:rsidR="0024350B" w:rsidRPr="00BF1ABF" w14:paraId="6AFD97E8" w14:textId="77777777" w:rsidTr="00211DD2">
        <w:trPr>
          <w:trHeight w:val="255"/>
          <w:jc w:val="center"/>
        </w:trPr>
        <w:tc>
          <w:tcPr>
            <w:tcW w:w="0" w:type="auto"/>
            <w:tcBorders>
              <w:bottom w:val="nil"/>
            </w:tcBorders>
            <w:noWrap/>
            <w:vAlign w:val="center"/>
            <w:hideMark/>
          </w:tcPr>
          <w:p w14:paraId="75E5B79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CAM25-009**</w:t>
            </w:r>
          </w:p>
        </w:tc>
        <w:tc>
          <w:tcPr>
            <w:tcW w:w="0" w:type="auto"/>
            <w:tcBorders>
              <w:bottom w:val="nil"/>
            </w:tcBorders>
            <w:noWrap/>
            <w:vAlign w:val="center"/>
            <w:hideMark/>
          </w:tcPr>
          <w:p w14:paraId="08C16AE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23.4</w:t>
            </w:r>
          </w:p>
        </w:tc>
        <w:tc>
          <w:tcPr>
            <w:tcW w:w="0" w:type="auto"/>
            <w:tcBorders>
              <w:bottom w:val="nil"/>
            </w:tcBorders>
            <w:noWrap/>
            <w:vAlign w:val="center"/>
            <w:hideMark/>
          </w:tcPr>
          <w:p w14:paraId="7F2E352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180.0</w:t>
            </w:r>
          </w:p>
        </w:tc>
        <w:tc>
          <w:tcPr>
            <w:tcW w:w="0" w:type="auto"/>
            <w:tcBorders>
              <w:bottom w:val="nil"/>
            </w:tcBorders>
            <w:shd w:val="clear" w:color="000000" w:fill="F8696B"/>
            <w:noWrap/>
            <w:vAlign w:val="center"/>
            <w:hideMark/>
          </w:tcPr>
          <w:p w14:paraId="2AB9AC8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156.6</w:t>
            </w:r>
          </w:p>
        </w:tc>
        <w:tc>
          <w:tcPr>
            <w:tcW w:w="0" w:type="auto"/>
            <w:tcBorders>
              <w:bottom w:val="nil"/>
            </w:tcBorders>
            <w:shd w:val="clear" w:color="000000" w:fill="C4DA80"/>
            <w:noWrap/>
            <w:vAlign w:val="center"/>
            <w:hideMark/>
          </w:tcPr>
          <w:p w14:paraId="301B7F3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FFE984"/>
            <w:noWrap/>
            <w:vAlign w:val="center"/>
            <w:hideMark/>
          </w:tcPr>
          <w:p w14:paraId="29ED581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0.08</w:t>
            </w:r>
          </w:p>
        </w:tc>
        <w:tc>
          <w:tcPr>
            <w:tcW w:w="0" w:type="auto"/>
            <w:tcBorders>
              <w:bottom w:val="nil"/>
            </w:tcBorders>
            <w:shd w:val="clear" w:color="000000" w:fill="EEE683"/>
            <w:noWrap/>
            <w:vAlign w:val="center"/>
            <w:hideMark/>
          </w:tcPr>
          <w:p w14:paraId="11588F9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0.34</w:t>
            </w:r>
          </w:p>
        </w:tc>
        <w:tc>
          <w:tcPr>
            <w:tcW w:w="0" w:type="auto"/>
            <w:tcBorders>
              <w:bottom w:val="nil"/>
            </w:tcBorders>
            <w:shd w:val="clear" w:color="000000" w:fill="F0E683"/>
            <w:noWrap/>
            <w:vAlign w:val="center"/>
            <w:hideMark/>
          </w:tcPr>
          <w:p w14:paraId="0D8A7B8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bottom w:val="nil"/>
            </w:tcBorders>
            <w:shd w:val="clear" w:color="000000" w:fill="F0E683"/>
            <w:noWrap/>
            <w:vAlign w:val="center"/>
            <w:hideMark/>
          </w:tcPr>
          <w:p w14:paraId="14B125A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0.15</w:t>
            </w:r>
          </w:p>
        </w:tc>
      </w:tr>
      <w:tr w:rsidR="0024350B" w:rsidRPr="00BF1ABF" w14:paraId="0E7013A7" w14:textId="77777777" w:rsidTr="00211DD2">
        <w:trPr>
          <w:trHeight w:val="255"/>
          <w:jc w:val="center"/>
        </w:trPr>
        <w:tc>
          <w:tcPr>
            <w:tcW w:w="0" w:type="auto"/>
            <w:tcBorders>
              <w:top w:val="nil"/>
              <w:bottom w:val="nil"/>
            </w:tcBorders>
            <w:noWrap/>
            <w:vAlign w:val="center"/>
            <w:hideMark/>
          </w:tcPr>
          <w:p w14:paraId="1DB99A3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including</w:t>
            </w:r>
          </w:p>
        </w:tc>
        <w:tc>
          <w:tcPr>
            <w:tcW w:w="0" w:type="auto"/>
            <w:tcBorders>
              <w:top w:val="nil"/>
              <w:bottom w:val="nil"/>
            </w:tcBorders>
            <w:noWrap/>
            <w:vAlign w:val="center"/>
            <w:hideMark/>
          </w:tcPr>
          <w:p w14:paraId="745EF2D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76.0</w:t>
            </w:r>
          </w:p>
        </w:tc>
        <w:tc>
          <w:tcPr>
            <w:tcW w:w="0" w:type="auto"/>
            <w:tcBorders>
              <w:top w:val="nil"/>
              <w:bottom w:val="nil"/>
            </w:tcBorders>
            <w:noWrap/>
            <w:vAlign w:val="center"/>
            <w:hideMark/>
          </w:tcPr>
          <w:p w14:paraId="79973CC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95.0</w:t>
            </w:r>
          </w:p>
        </w:tc>
        <w:tc>
          <w:tcPr>
            <w:tcW w:w="0" w:type="auto"/>
            <w:tcBorders>
              <w:top w:val="nil"/>
              <w:bottom w:val="nil"/>
            </w:tcBorders>
            <w:shd w:val="clear" w:color="000000" w:fill="FFDF82"/>
            <w:noWrap/>
            <w:vAlign w:val="center"/>
            <w:hideMark/>
          </w:tcPr>
          <w:p w14:paraId="3A02B4B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19.0</w:t>
            </w:r>
          </w:p>
        </w:tc>
        <w:tc>
          <w:tcPr>
            <w:tcW w:w="0" w:type="auto"/>
            <w:tcBorders>
              <w:top w:val="nil"/>
              <w:bottom w:val="nil"/>
            </w:tcBorders>
            <w:shd w:val="clear" w:color="000000" w:fill="FFE884"/>
            <w:noWrap/>
            <w:vAlign w:val="center"/>
            <w:hideMark/>
          </w:tcPr>
          <w:p w14:paraId="14DBD36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nil"/>
            </w:tcBorders>
            <w:shd w:val="clear" w:color="000000" w:fill="FFDE82"/>
            <w:noWrap/>
            <w:vAlign w:val="center"/>
            <w:hideMark/>
          </w:tcPr>
          <w:p w14:paraId="5049169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c>
          <w:tcPr>
            <w:tcW w:w="0" w:type="auto"/>
            <w:tcBorders>
              <w:top w:val="nil"/>
              <w:bottom w:val="nil"/>
            </w:tcBorders>
            <w:shd w:val="clear" w:color="000000" w:fill="FFE283"/>
            <w:noWrap/>
            <w:vAlign w:val="center"/>
            <w:hideMark/>
          </w:tcPr>
          <w:p w14:paraId="1EF47D5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0.65</w:t>
            </w:r>
          </w:p>
        </w:tc>
        <w:tc>
          <w:tcPr>
            <w:tcW w:w="0" w:type="auto"/>
            <w:tcBorders>
              <w:top w:val="nil"/>
              <w:bottom w:val="nil"/>
            </w:tcBorders>
            <w:shd w:val="clear" w:color="000000" w:fill="FFE483"/>
            <w:noWrap/>
            <w:vAlign w:val="center"/>
            <w:hideMark/>
          </w:tcPr>
          <w:p w14:paraId="24794E5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0.31</w:t>
            </w:r>
          </w:p>
        </w:tc>
        <w:tc>
          <w:tcPr>
            <w:tcW w:w="0" w:type="auto"/>
            <w:tcBorders>
              <w:top w:val="nil"/>
              <w:bottom w:val="nil"/>
            </w:tcBorders>
            <w:shd w:val="clear" w:color="000000" w:fill="FFE483"/>
            <w:noWrap/>
            <w:vAlign w:val="center"/>
            <w:hideMark/>
          </w:tcPr>
          <w:p w14:paraId="5CBE5FD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0.34</w:t>
            </w:r>
          </w:p>
        </w:tc>
      </w:tr>
      <w:tr w:rsidR="0024350B" w:rsidRPr="00BF1ABF" w14:paraId="7EEC6F5E" w14:textId="77777777" w:rsidTr="00211DD2">
        <w:trPr>
          <w:trHeight w:val="255"/>
          <w:jc w:val="center"/>
        </w:trPr>
        <w:tc>
          <w:tcPr>
            <w:tcW w:w="0" w:type="auto"/>
            <w:tcBorders>
              <w:top w:val="nil"/>
              <w:bottom w:val="nil"/>
            </w:tcBorders>
            <w:noWrap/>
            <w:vAlign w:val="center"/>
            <w:hideMark/>
          </w:tcPr>
          <w:p w14:paraId="7CAE9EE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which includes</w:t>
            </w:r>
          </w:p>
        </w:tc>
        <w:tc>
          <w:tcPr>
            <w:tcW w:w="0" w:type="auto"/>
            <w:tcBorders>
              <w:top w:val="nil"/>
              <w:bottom w:val="nil"/>
            </w:tcBorders>
            <w:noWrap/>
            <w:vAlign w:val="center"/>
            <w:hideMark/>
          </w:tcPr>
          <w:p w14:paraId="52129DF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79.5</w:t>
            </w:r>
          </w:p>
        </w:tc>
        <w:tc>
          <w:tcPr>
            <w:tcW w:w="0" w:type="auto"/>
            <w:tcBorders>
              <w:top w:val="nil"/>
              <w:bottom w:val="nil"/>
            </w:tcBorders>
            <w:noWrap/>
            <w:vAlign w:val="center"/>
            <w:hideMark/>
          </w:tcPr>
          <w:p w14:paraId="2F43FB3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87.0</w:t>
            </w:r>
          </w:p>
        </w:tc>
        <w:tc>
          <w:tcPr>
            <w:tcW w:w="0" w:type="auto"/>
            <w:tcBorders>
              <w:top w:val="nil"/>
              <w:bottom w:val="nil"/>
            </w:tcBorders>
            <w:shd w:val="clear" w:color="000000" w:fill="FFE984"/>
            <w:noWrap/>
            <w:vAlign w:val="center"/>
            <w:hideMark/>
          </w:tcPr>
          <w:p w14:paraId="5E08E33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7.5</w:t>
            </w:r>
          </w:p>
        </w:tc>
        <w:tc>
          <w:tcPr>
            <w:tcW w:w="0" w:type="auto"/>
            <w:tcBorders>
              <w:top w:val="nil"/>
              <w:bottom w:val="nil"/>
            </w:tcBorders>
            <w:shd w:val="clear" w:color="000000" w:fill="FFE082"/>
            <w:noWrap/>
            <w:vAlign w:val="center"/>
            <w:hideMark/>
          </w:tcPr>
          <w:p w14:paraId="160283D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0.24</w:t>
            </w:r>
          </w:p>
        </w:tc>
        <w:tc>
          <w:tcPr>
            <w:tcW w:w="0" w:type="auto"/>
            <w:tcBorders>
              <w:top w:val="nil"/>
              <w:bottom w:val="nil"/>
            </w:tcBorders>
            <w:shd w:val="clear" w:color="000000" w:fill="FECF7F"/>
            <w:noWrap/>
            <w:vAlign w:val="center"/>
            <w:hideMark/>
          </w:tcPr>
          <w:p w14:paraId="7988791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0.32</w:t>
            </w:r>
          </w:p>
        </w:tc>
        <w:tc>
          <w:tcPr>
            <w:tcW w:w="0" w:type="auto"/>
            <w:tcBorders>
              <w:top w:val="nil"/>
              <w:bottom w:val="nil"/>
            </w:tcBorders>
            <w:shd w:val="clear" w:color="000000" w:fill="FED17F"/>
            <w:noWrap/>
            <w:vAlign w:val="center"/>
            <w:hideMark/>
          </w:tcPr>
          <w:p w14:paraId="0399503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1.09</w:t>
            </w:r>
          </w:p>
        </w:tc>
        <w:tc>
          <w:tcPr>
            <w:tcW w:w="0" w:type="auto"/>
            <w:tcBorders>
              <w:top w:val="nil"/>
              <w:bottom w:val="nil"/>
            </w:tcBorders>
            <w:shd w:val="clear" w:color="000000" w:fill="FFD981"/>
            <w:noWrap/>
            <w:vAlign w:val="center"/>
            <w:hideMark/>
          </w:tcPr>
          <w:p w14:paraId="2BA78CD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0.54</w:t>
            </w:r>
          </w:p>
        </w:tc>
        <w:tc>
          <w:tcPr>
            <w:tcW w:w="0" w:type="auto"/>
            <w:tcBorders>
              <w:top w:val="nil"/>
              <w:bottom w:val="nil"/>
            </w:tcBorders>
            <w:shd w:val="clear" w:color="000000" w:fill="FFD981"/>
            <w:noWrap/>
            <w:vAlign w:val="center"/>
            <w:hideMark/>
          </w:tcPr>
          <w:p w14:paraId="55D246A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0.59</w:t>
            </w:r>
          </w:p>
        </w:tc>
      </w:tr>
      <w:tr w:rsidR="0024350B" w:rsidRPr="00BF1ABF" w14:paraId="2B88E00C" w14:textId="77777777" w:rsidTr="00211DD2">
        <w:trPr>
          <w:trHeight w:val="255"/>
          <w:jc w:val="center"/>
        </w:trPr>
        <w:tc>
          <w:tcPr>
            <w:tcW w:w="0" w:type="auto"/>
            <w:tcBorders>
              <w:top w:val="nil"/>
              <w:bottom w:val="nil"/>
            </w:tcBorders>
            <w:noWrap/>
            <w:vAlign w:val="center"/>
            <w:hideMark/>
          </w:tcPr>
          <w:p w14:paraId="4F79640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including</w:t>
            </w:r>
          </w:p>
        </w:tc>
        <w:tc>
          <w:tcPr>
            <w:tcW w:w="0" w:type="auto"/>
            <w:tcBorders>
              <w:top w:val="nil"/>
              <w:bottom w:val="nil"/>
            </w:tcBorders>
            <w:noWrap/>
            <w:vAlign w:val="center"/>
            <w:hideMark/>
          </w:tcPr>
          <w:p w14:paraId="7EFF5C8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145.0</w:t>
            </w:r>
          </w:p>
        </w:tc>
        <w:tc>
          <w:tcPr>
            <w:tcW w:w="0" w:type="auto"/>
            <w:tcBorders>
              <w:top w:val="nil"/>
              <w:bottom w:val="nil"/>
            </w:tcBorders>
            <w:noWrap/>
            <w:vAlign w:val="center"/>
            <w:hideMark/>
          </w:tcPr>
          <w:p w14:paraId="258E584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170.0</w:t>
            </w:r>
          </w:p>
        </w:tc>
        <w:tc>
          <w:tcPr>
            <w:tcW w:w="0" w:type="auto"/>
            <w:tcBorders>
              <w:top w:val="nil"/>
              <w:bottom w:val="nil"/>
            </w:tcBorders>
            <w:shd w:val="clear" w:color="000000" w:fill="FFDA81"/>
            <w:noWrap/>
            <w:vAlign w:val="center"/>
            <w:hideMark/>
          </w:tcPr>
          <w:p w14:paraId="60DE5C1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25.0</w:t>
            </w:r>
          </w:p>
        </w:tc>
        <w:tc>
          <w:tcPr>
            <w:tcW w:w="0" w:type="auto"/>
            <w:tcBorders>
              <w:top w:val="nil"/>
              <w:bottom w:val="nil"/>
            </w:tcBorders>
            <w:shd w:val="clear" w:color="000000" w:fill="FFE984"/>
            <w:noWrap/>
            <w:vAlign w:val="center"/>
            <w:hideMark/>
          </w:tcPr>
          <w:p w14:paraId="4D808BB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top w:val="nil"/>
              <w:bottom w:val="nil"/>
            </w:tcBorders>
            <w:shd w:val="clear" w:color="000000" w:fill="FFE684"/>
            <w:noWrap/>
            <w:vAlign w:val="center"/>
            <w:hideMark/>
          </w:tcPr>
          <w:p w14:paraId="577CDAB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0.11</w:t>
            </w:r>
          </w:p>
        </w:tc>
        <w:tc>
          <w:tcPr>
            <w:tcW w:w="0" w:type="auto"/>
            <w:tcBorders>
              <w:top w:val="nil"/>
              <w:bottom w:val="nil"/>
            </w:tcBorders>
            <w:shd w:val="clear" w:color="000000" w:fill="FFE683"/>
            <w:noWrap/>
            <w:vAlign w:val="center"/>
            <w:hideMark/>
          </w:tcPr>
          <w:p w14:paraId="6BE0C77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0.52</w:t>
            </w:r>
          </w:p>
        </w:tc>
        <w:tc>
          <w:tcPr>
            <w:tcW w:w="0" w:type="auto"/>
            <w:tcBorders>
              <w:top w:val="nil"/>
              <w:bottom w:val="nil"/>
            </w:tcBorders>
            <w:shd w:val="clear" w:color="000000" w:fill="FFE884"/>
            <w:noWrap/>
            <w:vAlign w:val="center"/>
            <w:hideMark/>
          </w:tcPr>
          <w:p w14:paraId="295150F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0.23</w:t>
            </w:r>
          </w:p>
        </w:tc>
        <w:tc>
          <w:tcPr>
            <w:tcW w:w="0" w:type="auto"/>
            <w:tcBorders>
              <w:top w:val="nil"/>
              <w:bottom w:val="nil"/>
            </w:tcBorders>
            <w:shd w:val="clear" w:color="000000" w:fill="FFE884"/>
            <w:noWrap/>
            <w:vAlign w:val="center"/>
            <w:hideMark/>
          </w:tcPr>
          <w:p w14:paraId="2F9CC04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0.25</w:t>
            </w:r>
          </w:p>
        </w:tc>
      </w:tr>
      <w:tr w:rsidR="0024350B" w:rsidRPr="00BF1ABF" w14:paraId="1D2DD7C5" w14:textId="77777777" w:rsidTr="00211DD2">
        <w:trPr>
          <w:trHeight w:val="255"/>
          <w:jc w:val="center"/>
        </w:trPr>
        <w:tc>
          <w:tcPr>
            <w:tcW w:w="0" w:type="auto"/>
            <w:tcBorders>
              <w:top w:val="nil"/>
              <w:bottom w:val="nil"/>
            </w:tcBorders>
            <w:noWrap/>
            <w:vAlign w:val="center"/>
            <w:hideMark/>
          </w:tcPr>
          <w:p w14:paraId="3D08030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which includes</w:t>
            </w:r>
          </w:p>
        </w:tc>
        <w:tc>
          <w:tcPr>
            <w:tcW w:w="0" w:type="auto"/>
            <w:tcBorders>
              <w:top w:val="nil"/>
              <w:bottom w:val="nil"/>
            </w:tcBorders>
            <w:noWrap/>
            <w:vAlign w:val="center"/>
            <w:hideMark/>
          </w:tcPr>
          <w:p w14:paraId="7769E9A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167.0</w:t>
            </w:r>
          </w:p>
        </w:tc>
        <w:tc>
          <w:tcPr>
            <w:tcW w:w="0" w:type="auto"/>
            <w:tcBorders>
              <w:top w:val="nil"/>
              <w:bottom w:val="nil"/>
            </w:tcBorders>
            <w:noWrap/>
            <w:vAlign w:val="center"/>
            <w:hideMark/>
          </w:tcPr>
          <w:p w14:paraId="3534B28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170.0</w:t>
            </w:r>
          </w:p>
        </w:tc>
        <w:tc>
          <w:tcPr>
            <w:tcW w:w="0" w:type="auto"/>
            <w:tcBorders>
              <w:top w:val="nil"/>
              <w:bottom w:val="nil"/>
            </w:tcBorders>
            <w:shd w:val="clear" w:color="000000" w:fill="B1D47F"/>
            <w:noWrap/>
            <w:vAlign w:val="center"/>
            <w:hideMark/>
          </w:tcPr>
          <w:p w14:paraId="41B10A2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3.0</w:t>
            </w:r>
          </w:p>
        </w:tc>
        <w:tc>
          <w:tcPr>
            <w:tcW w:w="0" w:type="auto"/>
            <w:tcBorders>
              <w:top w:val="nil"/>
              <w:bottom w:val="nil"/>
            </w:tcBorders>
            <w:shd w:val="clear" w:color="000000" w:fill="FDB87B"/>
            <w:noWrap/>
            <w:vAlign w:val="center"/>
            <w:hideMark/>
          </w:tcPr>
          <w:p w14:paraId="3FDF6DB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0.76</w:t>
            </w:r>
          </w:p>
        </w:tc>
        <w:tc>
          <w:tcPr>
            <w:tcW w:w="0" w:type="auto"/>
            <w:tcBorders>
              <w:top w:val="nil"/>
              <w:bottom w:val="nil"/>
            </w:tcBorders>
            <w:shd w:val="clear" w:color="000000" w:fill="FDB57A"/>
            <w:noWrap/>
            <w:vAlign w:val="center"/>
            <w:hideMark/>
          </w:tcPr>
          <w:p w14:paraId="7980960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0.57</w:t>
            </w:r>
          </w:p>
        </w:tc>
        <w:tc>
          <w:tcPr>
            <w:tcW w:w="0" w:type="auto"/>
            <w:tcBorders>
              <w:top w:val="nil"/>
              <w:bottom w:val="nil"/>
            </w:tcBorders>
            <w:shd w:val="clear" w:color="000000" w:fill="FDB67A"/>
            <w:noWrap/>
            <w:vAlign w:val="center"/>
            <w:hideMark/>
          </w:tcPr>
          <w:p w14:paraId="5508DCF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1.83</w:t>
            </w:r>
          </w:p>
        </w:tc>
        <w:tc>
          <w:tcPr>
            <w:tcW w:w="0" w:type="auto"/>
            <w:tcBorders>
              <w:top w:val="nil"/>
              <w:bottom w:val="nil"/>
            </w:tcBorders>
            <w:shd w:val="clear" w:color="000000" w:fill="FDB77A"/>
            <w:noWrap/>
            <w:vAlign w:val="center"/>
            <w:hideMark/>
          </w:tcPr>
          <w:p w14:paraId="5010E53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1.29</w:t>
            </w:r>
          </w:p>
        </w:tc>
        <w:tc>
          <w:tcPr>
            <w:tcW w:w="0" w:type="auto"/>
            <w:tcBorders>
              <w:top w:val="nil"/>
              <w:bottom w:val="nil"/>
            </w:tcBorders>
            <w:shd w:val="clear" w:color="000000" w:fill="FDB77A"/>
            <w:noWrap/>
            <w:vAlign w:val="center"/>
            <w:hideMark/>
          </w:tcPr>
          <w:p w14:paraId="333541E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1.42</w:t>
            </w:r>
          </w:p>
        </w:tc>
      </w:tr>
      <w:tr w:rsidR="0024350B" w:rsidRPr="00BF1ABF" w14:paraId="080B60D4" w14:textId="77777777" w:rsidTr="00211DD2">
        <w:trPr>
          <w:trHeight w:val="255"/>
          <w:jc w:val="center"/>
        </w:trPr>
        <w:tc>
          <w:tcPr>
            <w:tcW w:w="0" w:type="auto"/>
            <w:tcBorders>
              <w:top w:val="nil"/>
              <w:bottom w:val="nil"/>
            </w:tcBorders>
            <w:noWrap/>
            <w:vAlign w:val="center"/>
            <w:hideMark/>
          </w:tcPr>
          <w:p w14:paraId="02BB516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which includes</w:t>
            </w:r>
          </w:p>
        </w:tc>
        <w:tc>
          <w:tcPr>
            <w:tcW w:w="0" w:type="auto"/>
            <w:tcBorders>
              <w:top w:val="nil"/>
              <w:bottom w:val="nil"/>
            </w:tcBorders>
            <w:noWrap/>
            <w:vAlign w:val="center"/>
            <w:hideMark/>
          </w:tcPr>
          <w:p w14:paraId="672F603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168.0</w:t>
            </w:r>
          </w:p>
        </w:tc>
        <w:tc>
          <w:tcPr>
            <w:tcW w:w="0" w:type="auto"/>
            <w:tcBorders>
              <w:top w:val="nil"/>
              <w:bottom w:val="nil"/>
            </w:tcBorders>
            <w:noWrap/>
            <w:vAlign w:val="center"/>
            <w:hideMark/>
          </w:tcPr>
          <w:p w14:paraId="1F8A2E5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169.0</w:t>
            </w:r>
          </w:p>
        </w:tc>
        <w:tc>
          <w:tcPr>
            <w:tcW w:w="0" w:type="auto"/>
            <w:tcBorders>
              <w:top w:val="nil"/>
              <w:bottom w:val="nil"/>
            </w:tcBorders>
            <w:shd w:val="clear" w:color="000000" w:fill="63BE7B"/>
            <w:noWrap/>
            <w:vAlign w:val="center"/>
            <w:hideMark/>
          </w:tcPr>
          <w:p w14:paraId="132097B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1.0</w:t>
            </w:r>
          </w:p>
        </w:tc>
        <w:tc>
          <w:tcPr>
            <w:tcW w:w="0" w:type="auto"/>
            <w:tcBorders>
              <w:top w:val="nil"/>
              <w:bottom w:val="nil"/>
            </w:tcBorders>
            <w:shd w:val="clear" w:color="000000" w:fill="F8696B"/>
            <w:noWrap/>
            <w:vAlign w:val="center"/>
            <w:hideMark/>
          </w:tcPr>
          <w:p w14:paraId="64695F0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1.77</w:t>
            </w:r>
          </w:p>
        </w:tc>
        <w:tc>
          <w:tcPr>
            <w:tcW w:w="0" w:type="auto"/>
            <w:tcBorders>
              <w:top w:val="nil"/>
              <w:bottom w:val="nil"/>
            </w:tcBorders>
            <w:shd w:val="clear" w:color="000000" w:fill="F8696B"/>
            <w:noWrap/>
            <w:vAlign w:val="center"/>
            <w:hideMark/>
          </w:tcPr>
          <w:p w14:paraId="3970ADE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1.28</w:t>
            </w:r>
          </w:p>
        </w:tc>
        <w:tc>
          <w:tcPr>
            <w:tcW w:w="0" w:type="auto"/>
            <w:tcBorders>
              <w:top w:val="nil"/>
              <w:bottom w:val="nil"/>
            </w:tcBorders>
            <w:shd w:val="clear" w:color="000000" w:fill="F8696B"/>
            <w:noWrap/>
            <w:vAlign w:val="center"/>
            <w:hideMark/>
          </w:tcPr>
          <w:p w14:paraId="32CC162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3.93</w:t>
            </w:r>
          </w:p>
        </w:tc>
        <w:tc>
          <w:tcPr>
            <w:tcW w:w="0" w:type="auto"/>
            <w:tcBorders>
              <w:top w:val="nil"/>
              <w:bottom w:val="nil"/>
            </w:tcBorders>
            <w:shd w:val="clear" w:color="000000" w:fill="F8696B"/>
            <w:noWrap/>
            <w:vAlign w:val="center"/>
            <w:hideMark/>
          </w:tcPr>
          <w:p w14:paraId="5A7B194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2.97</w:t>
            </w:r>
          </w:p>
        </w:tc>
        <w:tc>
          <w:tcPr>
            <w:tcW w:w="0" w:type="auto"/>
            <w:tcBorders>
              <w:top w:val="nil"/>
              <w:bottom w:val="nil"/>
            </w:tcBorders>
            <w:shd w:val="clear" w:color="000000" w:fill="F8696B"/>
            <w:noWrap/>
            <w:vAlign w:val="center"/>
            <w:hideMark/>
          </w:tcPr>
          <w:p w14:paraId="3F85B8B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3.25</w:t>
            </w:r>
          </w:p>
        </w:tc>
      </w:tr>
      <w:tr w:rsidR="0024350B" w:rsidRPr="00BF1ABF" w14:paraId="01E60818" w14:textId="77777777" w:rsidTr="00211DD2">
        <w:trPr>
          <w:trHeight w:val="255"/>
          <w:jc w:val="center"/>
        </w:trPr>
        <w:tc>
          <w:tcPr>
            <w:tcW w:w="0" w:type="auto"/>
            <w:tcBorders>
              <w:top w:val="nil"/>
              <w:bottom w:val="single" w:sz="4" w:space="0" w:color="auto"/>
            </w:tcBorders>
            <w:noWrap/>
            <w:vAlign w:val="center"/>
            <w:hideMark/>
          </w:tcPr>
          <w:p w14:paraId="378E688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6D4CCFC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197.0</w:t>
            </w:r>
          </w:p>
        </w:tc>
        <w:tc>
          <w:tcPr>
            <w:tcW w:w="0" w:type="auto"/>
            <w:tcBorders>
              <w:top w:val="nil"/>
              <w:bottom w:val="single" w:sz="4" w:space="0" w:color="auto"/>
            </w:tcBorders>
            <w:noWrap/>
            <w:vAlign w:val="center"/>
            <w:hideMark/>
          </w:tcPr>
          <w:p w14:paraId="36CB926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201.0 (EOH)</w:t>
            </w:r>
          </w:p>
        </w:tc>
        <w:tc>
          <w:tcPr>
            <w:tcW w:w="0" w:type="auto"/>
            <w:tcBorders>
              <w:top w:val="nil"/>
              <w:bottom w:val="single" w:sz="4" w:space="0" w:color="auto"/>
            </w:tcBorders>
            <w:shd w:val="clear" w:color="000000" w:fill="D8DF81"/>
            <w:noWrap/>
            <w:vAlign w:val="center"/>
            <w:hideMark/>
          </w:tcPr>
          <w:p w14:paraId="3ABC718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4.0</w:t>
            </w:r>
          </w:p>
        </w:tc>
        <w:tc>
          <w:tcPr>
            <w:tcW w:w="0" w:type="auto"/>
            <w:tcBorders>
              <w:top w:val="nil"/>
              <w:bottom w:val="single" w:sz="4" w:space="0" w:color="auto"/>
            </w:tcBorders>
            <w:shd w:val="clear" w:color="000000" w:fill="FFEB84"/>
            <w:noWrap/>
            <w:vAlign w:val="center"/>
            <w:hideMark/>
          </w:tcPr>
          <w:p w14:paraId="6A5C286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c>
          <w:tcPr>
            <w:tcW w:w="0" w:type="auto"/>
            <w:tcBorders>
              <w:top w:val="nil"/>
              <w:bottom w:val="single" w:sz="4" w:space="0" w:color="auto"/>
            </w:tcBorders>
            <w:shd w:val="clear" w:color="000000" w:fill="92CB7D"/>
            <w:noWrap/>
            <w:vAlign w:val="center"/>
            <w:hideMark/>
          </w:tcPr>
          <w:p w14:paraId="6C86C18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0.02</w:t>
            </w:r>
          </w:p>
        </w:tc>
        <w:tc>
          <w:tcPr>
            <w:tcW w:w="0" w:type="auto"/>
            <w:tcBorders>
              <w:top w:val="nil"/>
              <w:bottom w:val="single" w:sz="4" w:space="0" w:color="auto"/>
            </w:tcBorders>
            <w:shd w:val="clear" w:color="000000" w:fill="87C87D"/>
            <w:noWrap/>
            <w:vAlign w:val="center"/>
            <w:hideMark/>
          </w:tcPr>
          <w:p w14:paraId="08BAFDC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single" w:sz="4" w:space="0" w:color="auto"/>
            </w:tcBorders>
            <w:shd w:val="clear" w:color="000000" w:fill="D3DE81"/>
            <w:noWrap/>
            <w:vAlign w:val="center"/>
            <w:hideMark/>
          </w:tcPr>
          <w:p w14:paraId="08A7B6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top w:val="nil"/>
              <w:bottom w:val="single" w:sz="4" w:space="0" w:color="auto"/>
            </w:tcBorders>
            <w:shd w:val="clear" w:color="000000" w:fill="D3DE81"/>
            <w:noWrap/>
            <w:vAlign w:val="center"/>
            <w:hideMark/>
          </w:tcPr>
          <w:p w14:paraId="2517174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r>
      <w:tr w:rsidR="0024350B" w:rsidRPr="00BF1ABF" w14:paraId="7974658C" w14:textId="77777777" w:rsidTr="00211DD2">
        <w:trPr>
          <w:trHeight w:val="255"/>
          <w:jc w:val="center"/>
        </w:trPr>
        <w:tc>
          <w:tcPr>
            <w:tcW w:w="0" w:type="auto"/>
            <w:tcBorders>
              <w:bottom w:val="nil"/>
            </w:tcBorders>
            <w:noWrap/>
            <w:vAlign w:val="center"/>
            <w:hideMark/>
          </w:tcPr>
          <w:p w14:paraId="70D144C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CAM25-010</w:t>
            </w:r>
          </w:p>
        </w:tc>
        <w:tc>
          <w:tcPr>
            <w:tcW w:w="0" w:type="auto"/>
            <w:tcBorders>
              <w:bottom w:val="nil"/>
            </w:tcBorders>
            <w:noWrap/>
            <w:vAlign w:val="center"/>
            <w:hideMark/>
          </w:tcPr>
          <w:p w14:paraId="2747774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126.0</w:t>
            </w:r>
          </w:p>
        </w:tc>
        <w:tc>
          <w:tcPr>
            <w:tcW w:w="0" w:type="auto"/>
            <w:tcBorders>
              <w:bottom w:val="nil"/>
            </w:tcBorders>
            <w:noWrap/>
            <w:vAlign w:val="center"/>
            <w:hideMark/>
          </w:tcPr>
          <w:p w14:paraId="7BB6F2F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128.3</w:t>
            </w:r>
          </w:p>
        </w:tc>
        <w:tc>
          <w:tcPr>
            <w:tcW w:w="0" w:type="auto"/>
            <w:tcBorders>
              <w:bottom w:val="nil"/>
            </w:tcBorders>
            <w:shd w:val="clear" w:color="000000" w:fill="95CC7D"/>
            <w:noWrap/>
            <w:vAlign w:val="center"/>
            <w:hideMark/>
          </w:tcPr>
          <w:p w14:paraId="349405B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2.3</w:t>
            </w:r>
          </w:p>
        </w:tc>
        <w:tc>
          <w:tcPr>
            <w:tcW w:w="0" w:type="auto"/>
            <w:tcBorders>
              <w:bottom w:val="nil"/>
            </w:tcBorders>
            <w:shd w:val="clear" w:color="000000" w:fill="85C87D"/>
            <w:noWrap/>
            <w:vAlign w:val="center"/>
            <w:hideMark/>
          </w:tcPr>
          <w:p w14:paraId="2DAAF28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bottom w:val="nil"/>
            </w:tcBorders>
            <w:shd w:val="clear" w:color="000000" w:fill="ECE582"/>
            <w:noWrap/>
            <w:vAlign w:val="center"/>
            <w:hideMark/>
          </w:tcPr>
          <w:p w14:paraId="1225EFD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bottom w:val="nil"/>
            </w:tcBorders>
            <w:shd w:val="clear" w:color="000000" w:fill="FFE683"/>
            <w:noWrap/>
            <w:vAlign w:val="center"/>
            <w:hideMark/>
          </w:tcPr>
          <w:p w14:paraId="546FE98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0.53</w:t>
            </w:r>
          </w:p>
        </w:tc>
        <w:tc>
          <w:tcPr>
            <w:tcW w:w="0" w:type="auto"/>
            <w:tcBorders>
              <w:bottom w:val="nil"/>
            </w:tcBorders>
            <w:shd w:val="clear" w:color="000000" w:fill="8ECA7D"/>
            <w:noWrap/>
            <w:vAlign w:val="center"/>
            <w:hideMark/>
          </w:tcPr>
          <w:p w14:paraId="645F67C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bottom w:val="nil"/>
            </w:tcBorders>
            <w:shd w:val="clear" w:color="000000" w:fill="8ECA7D"/>
            <w:noWrap/>
            <w:vAlign w:val="center"/>
            <w:hideMark/>
          </w:tcPr>
          <w:p w14:paraId="3B1D989C"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r>
      <w:tr w:rsidR="0024350B" w:rsidRPr="00BF1ABF" w14:paraId="69FA2965" w14:textId="77777777" w:rsidTr="00211DD2">
        <w:trPr>
          <w:trHeight w:val="255"/>
          <w:jc w:val="center"/>
        </w:trPr>
        <w:tc>
          <w:tcPr>
            <w:tcW w:w="0" w:type="auto"/>
            <w:tcBorders>
              <w:top w:val="nil"/>
              <w:bottom w:val="single" w:sz="4" w:space="0" w:color="auto"/>
            </w:tcBorders>
            <w:noWrap/>
            <w:vAlign w:val="center"/>
            <w:hideMark/>
          </w:tcPr>
          <w:p w14:paraId="016893A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bottom w:val="single" w:sz="4" w:space="0" w:color="auto"/>
            </w:tcBorders>
            <w:noWrap/>
            <w:vAlign w:val="center"/>
            <w:hideMark/>
          </w:tcPr>
          <w:p w14:paraId="23F49DB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211.0</w:t>
            </w:r>
          </w:p>
        </w:tc>
        <w:tc>
          <w:tcPr>
            <w:tcW w:w="0" w:type="auto"/>
            <w:tcBorders>
              <w:top w:val="nil"/>
              <w:bottom w:val="single" w:sz="4" w:space="0" w:color="auto"/>
            </w:tcBorders>
            <w:noWrap/>
            <w:vAlign w:val="center"/>
            <w:hideMark/>
          </w:tcPr>
          <w:p w14:paraId="7A537CF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216.0</w:t>
            </w:r>
          </w:p>
        </w:tc>
        <w:tc>
          <w:tcPr>
            <w:tcW w:w="0" w:type="auto"/>
            <w:tcBorders>
              <w:top w:val="nil"/>
              <w:bottom w:val="single" w:sz="4" w:space="0" w:color="auto"/>
            </w:tcBorders>
            <w:shd w:val="clear" w:color="000000" w:fill="FFEB84"/>
            <w:noWrap/>
            <w:vAlign w:val="center"/>
            <w:hideMark/>
          </w:tcPr>
          <w:p w14:paraId="6FED6B3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5.0</w:t>
            </w:r>
          </w:p>
        </w:tc>
        <w:tc>
          <w:tcPr>
            <w:tcW w:w="0" w:type="auto"/>
            <w:tcBorders>
              <w:top w:val="nil"/>
              <w:bottom w:val="single" w:sz="4" w:space="0" w:color="auto"/>
            </w:tcBorders>
            <w:shd w:val="clear" w:color="000000" w:fill="82C77C"/>
            <w:noWrap/>
            <w:vAlign w:val="center"/>
            <w:hideMark/>
          </w:tcPr>
          <w:p w14:paraId="023681EF"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0.03</w:t>
            </w:r>
          </w:p>
        </w:tc>
        <w:tc>
          <w:tcPr>
            <w:tcW w:w="0" w:type="auto"/>
            <w:tcBorders>
              <w:top w:val="nil"/>
              <w:bottom w:val="single" w:sz="4" w:space="0" w:color="auto"/>
            </w:tcBorders>
            <w:shd w:val="clear" w:color="000000" w:fill="F6E883"/>
            <w:noWrap/>
            <w:vAlign w:val="center"/>
            <w:hideMark/>
          </w:tcPr>
          <w:p w14:paraId="002371C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0.05</w:t>
            </w:r>
          </w:p>
        </w:tc>
        <w:tc>
          <w:tcPr>
            <w:tcW w:w="0" w:type="auto"/>
            <w:tcBorders>
              <w:top w:val="nil"/>
              <w:bottom w:val="single" w:sz="4" w:space="0" w:color="auto"/>
            </w:tcBorders>
            <w:shd w:val="clear" w:color="000000" w:fill="FECE7F"/>
            <w:noWrap/>
            <w:vAlign w:val="center"/>
            <w:hideMark/>
          </w:tcPr>
          <w:p w14:paraId="6AD0FC3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1.19</w:t>
            </w:r>
          </w:p>
        </w:tc>
        <w:tc>
          <w:tcPr>
            <w:tcW w:w="0" w:type="auto"/>
            <w:tcBorders>
              <w:top w:val="nil"/>
              <w:bottom w:val="single" w:sz="4" w:space="0" w:color="auto"/>
            </w:tcBorders>
            <w:shd w:val="clear" w:color="000000" w:fill="9CCE7E"/>
            <w:noWrap/>
            <w:vAlign w:val="center"/>
            <w:hideMark/>
          </w:tcPr>
          <w:p w14:paraId="6E67E24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0.09</w:t>
            </w:r>
          </w:p>
        </w:tc>
        <w:tc>
          <w:tcPr>
            <w:tcW w:w="0" w:type="auto"/>
            <w:tcBorders>
              <w:top w:val="nil"/>
              <w:bottom w:val="single" w:sz="4" w:space="0" w:color="auto"/>
            </w:tcBorders>
            <w:shd w:val="clear" w:color="000000" w:fill="9CCE7E"/>
            <w:noWrap/>
            <w:vAlign w:val="center"/>
            <w:hideMark/>
          </w:tcPr>
          <w:p w14:paraId="2260787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r>
      <w:tr w:rsidR="0024350B" w:rsidRPr="00BF1ABF" w14:paraId="5302D8F0" w14:textId="77777777" w:rsidTr="00211DD2">
        <w:trPr>
          <w:trHeight w:val="255"/>
          <w:jc w:val="center"/>
        </w:trPr>
        <w:tc>
          <w:tcPr>
            <w:tcW w:w="0" w:type="auto"/>
            <w:tcBorders>
              <w:bottom w:val="nil"/>
            </w:tcBorders>
            <w:noWrap/>
            <w:vAlign w:val="center"/>
            <w:hideMark/>
          </w:tcPr>
          <w:p w14:paraId="3D13026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LL-22-01*</w:t>
            </w:r>
          </w:p>
        </w:tc>
        <w:tc>
          <w:tcPr>
            <w:tcW w:w="0" w:type="auto"/>
            <w:tcBorders>
              <w:bottom w:val="nil"/>
            </w:tcBorders>
            <w:noWrap/>
            <w:vAlign w:val="center"/>
            <w:hideMark/>
          </w:tcPr>
          <w:p w14:paraId="1D50D74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5.0</w:t>
            </w:r>
          </w:p>
        </w:tc>
        <w:tc>
          <w:tcPr>
            <w:tcW w:w="0" w:type="auto"/>
            <w:tcBorders>
              <w:bottom w:val="nil"/>
            </w:tcBorders>
            <w:noWrap/>
            <w:vAlign w:val="center"/>
            <w:hideMark/>
          </w:tcPr>
          <w:p w14:paraId="41609EA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158.0</w:t>
            </w:r>
          </w:p>
        </w:tc>
        <w:tc>
          <w:tcPr>
            <w:tcW w:w="0" w:type="auto"/>
            <w:tcBorders>
              <w:bottom w:val="nil"/>
            </w:tcBorders>
            <w:shd w:val="clear" w:color="000000" w:fill="F96D6C"/>
            <w:noWrap/>
            <w:vAlign w:val="center"/>
            <w:hideMark/>
          </w:tcPr>
          <w:p w14:paraId="32B36C4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153.0</w:t>
            </w:r>
          </w:p>
        </w:tc>
        <w:tc>
          <w:tcPr>
            <w:tcW w:w="0" w:type="auto"/>
            <w:tcBorders>
              <w:bottom w:val="nil"/>
            </w:tcBorders>
            <w:shd w:val="clear" w:color="000000" w:fill="CADB80"/>
            <w:noWrap/>
            <w:vAlign w:val="center"/>
            <w:hideMark/>
          </w:tcPr>
          <w:p w14:paraId="284D79B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0.07</w:t>
            </w:r>
          </w:p>
        </w:tc>
        <w:tc>
          <w:tcPr>
            <w:tcW w:w="0" w:type="auto"/>
            <w:tcBorders>
              <w:bottom w:val="nil"/>
            </w:tcBorders>
            <w:shd w:val="clear" w:color="000000" w:fill="FFEB84"/>
            <w:noWrap/>
            <w:vAlign w:val="center"/>
            <w:hideMark/>
          </w:tcPr>
          <w:p w14:paraId="3F435BD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0.06</w:t>
            </w:r>
          </w:p>
        </w:tc>
        <w:tc>
          <w:tcPr>
            <w:tcW w:w="0" w:type="auto"/>
            <w:tcBorders>
              <w:bottom w:val="nil"/>
            </w:tcBorders>
            <w:shd w:val="clear" w:color="000000" w:fill="FFE483"/>
            <w:noWrap/>
            <w:vAlign w:val="center"/>
            <w:hideMark/>
          </w:tcPr>
          <w:p w14:paraId="1627125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0.58</w:t>
            </w:r>
          </w:p>
        </w:tc>
        <w:tc>
          <w:tcPr>
            <w:tcW w:w="0" w:type="auto"/>
            <w:tcBorders>
              <w:bottom w:val="nil"/>
            </w:tcBorders>
            <w:shd w:val="clear" w:color="000000" w:fill="D5DF81"/>
            <w:noWrap/>
            <w:vAlign w:val="center"/>
            <w:hideMark/>
          </w:tcPr>
          <w:p w14:paraId="73F72ECD"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0.13</w:t>
            </w:r>
          </w:p>
        </w:tc>
        <w:tc>
          <w:tcPr>
            <w:tcW w:w="0" w:type="auto"/>
            <w:tcBorders>
              <w:bottom w:val="nil"/>
            </w:tcBorders>
            <w:shd w:val="clear" w:color="000000" w:fill="D5DF81"/>
            <w:noWrap/>
            <w:vAlign w:val="center"/>
            <w:hideMark/>
          </w:tcPr>
          <w:p w14:paraId="6CCB6C3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r>
      <w:tr w:rsidR="0024350B" w:rsidRPr="00BF1ABF" w14:paraId="772A9C5F" w14:textId="77777777" w:rsidTr="00211DD2">
        <w:trPr>
          <w:trHeight w:val="255"/>
          <w:jc w:val="center"/>
        </w:trPr>
        <w:tc>
          <w:tcPr>
            <w:tcW w:w="0" w:type="auto"/>
            <w:tcBorders>
              <w:top w:val="nil"/>
              <w:bottom w:val="nil"/>
            </w:tcBorders>
            <w:noWrap/>
            <w:vAlign w:val="center"/>
            <w:hideMark/>
          </w:tcPr>
          <w:p w14:paraId="2F49452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including</w:t>
            </w:r>
          </w:p>
        </w:tc>
        <w:tc>
          <w:tcPr>
            <w:tcW w:w="0" w:type="auto"/>
            <w:tcBorders>
              <w:top w:val="nil"/>
              <w:bottom w:val="nil"/>
            </w:tcBorders>
            <w:noWrap/>
            <w:vAlign w:val="center"/>
            <w:hideMark/>
          </w:tcPr>
          <w:p w14:paraId="28EDE9F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7.0</w:t>
            </w:r>
          </w:p>
        </w:tc>
        <w:tc>
          <w:tcPr>
            <w:tcW w:w="0" w:type="auto"/>
            <w:tcBorders>
              <w:top w:val="nil"/>
              <w:bottom w:val="nil"/>
            </w:tcBorders>
            <w:noWrap/>
            <w:vAlign w:val="center"/>
            <w:hideMark/>
          </w:tcPr>
          <w:p w14:paraId="4A348C0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43.9</w:t>
            </w:r>
          </w:p>
        </w:tc>
        <w:tc>
          <w:tcPr>
            <w:tcW w:w="0" w:type="auto"/>
            <w:tcBorders>
              <w:top w:val="nil"/>
              <w:bottom w:val="nil"/>
            </w:tcBorders>
            <w:shd w:val="clear" w:color="000000" w:fill="FED07F"/>
            <w:noWrap/>
            <w:vAlign w:val="center"/>
            <w:hideMark/>
          </w:tcPr>
          <w:p w14:paraId="5CEDD63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36.9</w:t>
            </w:r>
          </w:p>
        </w:tc>
        <w:tc>
          <w:tcPr>
            <w:tcW w:w="0" w:type="auto"/>
            <w:tcBorders>
              <w:top w:val="nil"/>
              <w:bottom w:val="nil"/>
            </w:tcBorders>
            <w:shd w:val="clear" w:color="000000" w:fill="FFEB84"/>
            <w:noWrap/>
            <w:vAlign w:val="center"/>
            <w:hideMark/>
          </w:tcPr>
          <w:p w14:paraId="2B3EFF3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0.10</w:t>
            </w:r>
          </w:p>
        </w:tc>
        <w:tc>
          <w:tcPr>
            <w:tcW w:w="0" w:type="auto"/>
            <w:tcBorders>
              <w:top w:val="nil"/>
              <w:bottom w:val="nil"/>
            </w:tcBorders>
            <w:shd w:val="clear" w:color="000000" w:fill="FFE383"/>
            <w:noWrap/>
            <w:vAlign w:val="center"/>
            <w:hideMark/>
          </w:tcPr>
          <w:p w14:paraId="2AD21D5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0.14</w:t>
            </w:r>
          </w:p>
        </w:tc>
        <w:tc>
          <w:tcPr>
            <w:tcW w:w="0" w:type="auto"/>
            <w:tcBorders>
              <w:top w:val="nil"/>
              <w:bottom w:val="nil"/>
            </w:tcBorders>
            <w:shd w:val="clear" w:color="000000" w:fill="FED07F"/>
            <w:noWrap/>
            <w:vAlign w:val="center"/>
            <w:hideMark/>
          </w:tcPr>
          <w:p w14:paraId="59BCD1E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1.12</w:t>
            </w:r>
          </w:p>
        </w:tc>
        <w:tc>
          <w:tcPr>
            <w:tcW w:w="0" w:type="auto"/>
            <w:tcBorders>
              <w:top w:val="nil"/>
              <w:bottom w:val="nil"/>
            </w:tcBorders>
            <w:shd w:val="clear" w:color="000000" w:fill="FFE784"/>
            <w:noWrap/>
            <w:vAlign w:val="center"/>
            <w:hideMark/>
          </w:tcPr>
          <w:p w14:paraId="3BCD33F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0.24</w:t>
            </w:r>
          </w:p>
        </w:tc>
        <w:tc>
          <w:tcPr>
            <w:tcW w:w="0" w:type="auto"/>
            <w:tcBorders>
              <w:top w:val="nil"/>
              <w:bottom w:val="nil"/>
            </w:tcBorders>
            <w:shd w:val="clear" w:color="000000" w:fill="FFE784"/>
            <w:noWrap/>
            <w:vAlign w:val="center"/>
            <w:hideMark/>
          </w:tcPr>
          <w:p w14:paraId="4A4FEC57"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0.26</w:t>
            </w:r>
          </w:p>
        </w:tc>
      </w:tr>
      <w:tr w:rsidR="0024350B" w:rsidRPr="00BF1ABF" w14:paraId="2D4B8B24" w14:textId="77777777" w:rsidTr="00211DD2">
        <w:trPr>
          <w:trHeight w:val="255"/>
          <w:jc w:val="center"/>
        </w:trPr>
        <w:tc>
          <w:tcPr>
            <w:tcW w:w="0" w:type="auto"/>
            <w:tcBorders>
              <w:top w:val="nil"/>
              <w:bottom w:val="nil"/>
            </w:tcBorders>
            <w:noWrap/>
            <w:vAlign w:val="center"/>
            <w:hideMark/>
          </w:tcPr>
          <w:p w14:paraId="38BDCF6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which includes</w:t>
            </w:r>
          </w:p>
        </w:tc>
        <w:tc>
          <w:tcPr>
            <w:tcW w:w="0" w:type="auto"/>
            <w:tcBorders>
              <w:top w:val="nil"/>
              <w:bottom w:val="nil"/>
            </w:tcBorders>
            <w:noWrap/>
            <w:vAlign w:val="center"/>
            <w:hideMark/>
          </w:tcPr>
          <w:p w14:paraId="64C9F1F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29.0</w:t>
            </w:r>
          </w:p>
        </w:tc>
        <w:tc>
          <w:tcPr>
            <w:tcW w:w="0" w:type="auto"/>
            <w:tcBorders>
              <w:top w:val="nil"/>
              <w:bottom w:val="nil"/>
            </w:tcBorders>
            <w:noWrap/>
            <w:vAlign w:val="center"/>
            <w:hideMark/>
          </w:tcPr>
          <w:p w14:paraId="3253706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34.4</w:t>
            </w:r>
          </w:p>
        </w:tc>
        <w:tc>
          <w:tcPr>
            <w:tcW w:w="0" w:type="auto"/>
            <w:tcBorders>
              <w:top w:val="nil"/>
              <w:bottom w:val="nil"/>
            </w:tcBorders>
            <w:shd w:val="clear" w:color="000000" w:fill="FFEB84"/>
            <w:noWrap/>
            <w:vAlign w:val="center"/>
            <w:hideMark/>
          </w:tcPr>
          <w:p w14:paraId="460B448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5.4</w:t>
            </w:r>
          </w:p>
        </w:tc>
        <w:tc>
          <w:tcPr>
            <w:tcW w:w="0" w:type="auto"/>
            <w:tcBorders>
              <w:top w:val="nil"/>
              <w:bottom w:val="nil"/>
            </w:tcBorders>
            <w:shd w:val="clear" w:color="000000" w:fill="FFDD82"/>
            <w:noWrap/>
            <w:vAlign w:val="center"/>
            <w:hideMark/>
          </w:tcPr>
          <w:p w14:paraId="3950E29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0.28</w:t>
            </w:r>
          </w:p>
        </w:tc>
        <w:tc>
          <w:tcPr>
            <w:tcW w:w="0" w:type="auto"/>
            <w:tcBorders>
              <w:top w:val="nil"/>
              <w:bottom w:val="nil"/>
            </w:tcBorders>
            <w:shd w:val="clear" w:color="000000" w:fill="FECC7E"/>
            <w:noWrap/>
            <w:vAlign w:val="center"/>
            <w:hideMark/>
          </w:tcPr>
          <w:p w14:paraId="6F114B6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0.35</w:t>
            </w:r>
          </w:p>
        </w:tc>
        <w:tc>
          <w:tcPr>
            <w:tcW w:w="0" w:type="auto"/>
            <w:tcBorders>
              <w:top w:val="nil"/>
              <w:bottom w:val="nil"/>
            </w:tcBorders>
            <w:shd w:val="clear" w:color="000000" w:fill="FDB47A"/>
            <w:noWrap/>
            <w:vAlign w:val="center"/>
            <w:hideMark/>
          </w:tcPr>
          <w:p w14:paraId="058700D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1.89</w:t>
            </w:r>
          </w:p>
        </w:tc>
        <w:tc>
          <w:tcPr>
            <w:tcW w:w="0" w:type="auto"/>
            <w:tcBorders>
              <w:top w:val="nil"/>
              <w:bottom w:val="nil"/>
            </w:tcBorders>
            <w:shd w:val="clear" w:color="000000" w:fill="FED680"/>
            <w:noWrap/>
            <w:vAlign w:val="center"/>
            <w:hideMark/>
          </w:tcPr>
          <w:p w14:paraId="27372D9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0.62</w:t>
            </w:r>
          </w:p>
        </w:tc>
        <w:tc>
          <w:tcPr>
            <w:tcW w:w="0" w:type="auto"/>
            <w:tcBorders>
              <w:top w:val="nil"/>
              <w:bottom w:val="nil"/>
            </w:tcBorders>
            <w:shd w:val="clear" w:color="000000" w:fill="FED680"/>
            <w:noWrap/>
            <w:vAlign w:val="center"/>
            <w:hideMark/>
          </w:tcPr>
          <w:p w14:paraId="0ADBCCC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0.68</w:t>
            </w:r>
          </w:p>
        </w:tc>
      </w:tr>
      <w:tr w:rsidR="0024350B" w:rsidRPr="00BF1ABF" w14:paraId="2501E6B1" w14:textId="77777777" w:rsidTr="00211DD2">
        <w:trPr>
          <w:trHeight w:val="255"/>
          <w:jc w:val="center"/>
        </w:trPr>
        <w:tc>
          <w:tcPr>
            <w:tcW w:w="0" w:type="auto"/>
            <w:tcBorders>
              <w:top w:val="nil"/>
              <w:bottom w:val="nil"/>
            </w:tcBorders>
            <w:noWrap/>
            <w:vAlign w:val="center"/>
            <w:hideMark/>
          </w:tcPr>
          <w:p w14:paraId="4625BB4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which includes</w:t>
            </w:r>
          </w:p>
        </w:tc>
        <w:tc>
          <w:tcPr>
            <w:tcW w:w="0" w:type="auto"/>
            <w:tcBorders>
              <w:top w:val="nil"/>
              <w:bottom w:val="nil"/>
            </w:tcBorders>
            <w:noWrap/>
            <w:vAlign w:val="center"/>
            <w:hideMark/>
          </w:tcPr>
          <w:p w14:paraId="308F169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40.0</w:t>
            </w:r>
          </w:p>
        </w:tc>
        <w:tc>
          <w:tcPr>
            <w:tcW w:w="0" w:type="auto"/>
            <w:tcBorders>
              <w:top w:val="nil"/>
              <w:bottom w:val="nil"/>
            </w:tcBorders>
            <w:noWrap/>
            <w:vAlign w:val="center"/>
            <w:hideMark/>
          </w:tcPr>
          <w:p w14:paraId="7C61AF3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43.9</w:t>
            </w:r>
          </w:p>
        </w:tc>
        <w:tc>
          <w:tcPr>
            <w:tcW w:w="0" w:type="auto"/>
            <w:tcBorders>
              <w:top w:val="nil"/>
              <w:bottom w:val="nil"/>
            </w:tcBorders>
            <w:shd w:val="clear" w:color="000000" w:fill="D4DE81"/>
            <w:noWrap/>
            <w:vAlign w:val="center"/>
            <w:hideMark/>
          </w:tcPr>
          <w:p w14:paraId="4A8B921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3.9</w:t>
            </w:r>
          </w:p>
        </w:tc>
        <w:tc>
          <w:tcPr>
            <w:tcW w:w="0" w:type="auto"/>
            <w:tcBorders>
              <w:top w:val="nil"/>
              <w:bottom w:val="nil"/>
            </w:tcBorders>
            <w:shd w:val="clear" w:color="000000" w:fill="FFE583"/>
            <w:noWrap/>
            <w:vAlign w:val="center"/>
            <w:hideMark/>
          </w:tcPr>
          <w:p w14:paraId="677076B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0.18</w:t>
            </w:r>
          </w:p>
        </w:tc>
        <w:tc>
          <w:tcPr>
            <w:tcW w:w="0" w:type="auto"/>
            <w:tcBorders>
              <w:top w:val="nil"/>
              <w:bottom w:val="nil"/>
            </w:tcBorders>
            <w:shd w:val="clear" w:color="000000" w:fill="FECD7F"/>
            <w:noWrap/>
            <w:vAlign w:val="center"/>
            <w:hideMark/>
          </w:tcPr>
          <w:p w14:paraId="608715B5"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0.34</w:t>
            </w:r>
          </w:p>
        </w:tc>
        <w:tc>
          <w:tcPr>
            <w:tcW w:w="0" w:type="auto"/>
            <w:tcBorders>
              <w:top w:val="nil"/>
              <w:bottom w:val="nil"/>
            </w:tcBorders>
            <w:shd w:val="clear" w:color="000000" w:fill="FB9D75"/>
            <w:noWrap/>
            <w:vAlign w:val="center"/>
            <w:hideMark/>
          </w:tcPr>
          <w:p w14:paraId="3958A8AE"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2.51</w:t>
            </w:r>
          </w:p>
        </w:tc>
        <w:tc>
          <w:tcPr>
            <w:tcW w:w="0" w:type="auto"/>
            <w:tcBorders>
              <w:top w:val="nil"/>
              <w:bottom w:val="nil"/>
            </w:tcBorders>
            <w:shd w:val="clear" w:color="000000" w:fill="FFDB81"/>
            <w:noWrap/>
            <w:vAlign w:val="center"/>
            <w:hideMark/>
          </w:tcPr>
          <w:p w14:paraId="194BF294"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0.51</w:t>
            </w:r>
          </w:p>
        </w:tc>
        <w:tc>
          <w:tcPr>
            <w:tcW w:w="0" w:type="auto"/>
            <w:tcBorders>
              <w:top w:val="nil"/>
              <w:bottom w:val="nil"/>
            </w:tcBorders>
            <w:shd w:val="clear" w:color="000000" w:fill="FFDB81"/>
            <w:noWrap/>
            <w:vAlign w:val="center"/>
            <w:hideMark/>
          </w:tcPr>
          <w:p w14:paraId="11A5E9AA"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0.56</w:t>
            </w:r>
          </w:p>
        </w:tc>
      </w:tr>
      <w:tr w:rsidR="0024350B" w:rsidRPr="00BF1ABF" w14:paraId="4A53641F" w14:textId="77777777" w:rsidTr="00211DD2">
        <w:trPr>
          <w:trHeight w:val="255"/>
          <w:jc w:val="center"/>
        </w:trPr>
        <w:tc>
          <w:tcPr>
            <w:tcW w:w="0" w:type="auto"/>
            <w:tcBorders>
              <w:top w:val="nil"/>
              <w:bottom w:val="nil"/>
            </w:tcBorders>
            <w:noWrap/>
            <w:vAlign w:val="center"/>
            <w:hideMark/>
          </w:tcPr>
          <w:p w14:paraId="54FBD62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 including</w:t>
            </w:r>
          </w:p>
        </w:tc>
        <w:tc>
          <w:tcPr>
            <w:tcW w:w="0" w:type="auto"/>
            <w:tcBorders>
              <w:top w:val="nil"/>
              <w:bottom w:val="nil"/>
            </w:tcBorders>
            <w:noWrap/>
            <w:vAlign w:val="center"/>
            <w:hideMark/>
          </w:tcPr>
          <w:p w14:paraId="5C53D62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146.0</w:t>
            </w:r>
          </w:p>
        </w:tc>
        <w:tc>
          <w:tcPr>
            <w:tcW w:w="0" w:type="auto"/>
            <w:tcBorders>
              <w:top w:val="nil"/>
              <w:bottom w:val="nil"/>
            </w:tcBorders>
            <w:noWrap/>
            <w:vAlign w:val="center"/>
            <w:hideMark/>
          </w:tcPr>
          <w:p w14:paraId="174ABE21"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158.0</w:t>
            </w:r>
          </w:p>
        </w:tc>
        <w:tc>
          <w:tcPr>
            <w:tcW w:w="0" w:type="auto"/>
            <w:tcBorders>
              <w:top w:val="nil"/>
              <w:bottom w:val="nil"/>
            </w:tcBorders>
            <w:shd w:val="clear" w:color="000000" w:fill="FFE583"/>
            <w:noWrap/>
            <w:vAlign w:val="center"/>
            <w:hideMark/>
          </w:tcPr>
          <w:p w14:paraId="296CC16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12.0</w:t>
            </w:r>
          </w:p>
        </w:tc>
        <w:tc>
          <w:tcPr>
            <w:tcW w:w="0" w:type="auto"/>
            <w:tcBorders>
              <w:top w:val="nil"/>
              <w:bottom w:val="nil"/>
            </w:tcBorders>
            <w:shd w:val="clear" w:color="000000" w:fill="FFEA84"/>
            <w:noWrap/>
            <w:vAlign w:val="center"/>
            <w:hideMark/>
          </w:tcPr>
          <w:p w14:paraId="4C45000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top w:val="nil"/>
              <w:bottom w:val="nil"/>
            </w:tcBorders>
            <w:shd w:val="clear" w:color="000000" w:fill="CDDC81"/>
            <w:noWrap/>
            <w:vAlign w:val="center"/>
            <w:hideMark/>
          </w:tcPr>
          <w:p w14:paraId="0E1E3A4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0.04</w:t>
            </w:r>
          </w:p>
        </w:tc>
        <w:tc>
          <w:tcPr>
            <w:tcW w:w="0" w:type="auto"/>
            <w:tcBorders>
              <w:top w:val="nil"/>
              <w:bottom w:val="nil"/>
            </w:tcBorders>
            <w:shd w:val="clear" w:color="000000" w:fill="FDC37D"/>
            <w:noWrap/>
            <w:vAlign w:val="center"/>
            <w:hideMark/>
          </w:tcPr>
          <w:p w14:paraId="38AE585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1.48</w:t>
            </w:r>
          </w:p>
        </w:tc>
        <w:tc>
          <w:tcPr>
            <w:tcW w:w="0" w:type="auto"/>
            <w:tcBorders>
              <w:top w:val="nil"/>
              <w:bottom w:val="nil"/>
            </w:tcBorders>
            <w:shd w:val="clear" w:color="000000" w:fill="FFEA84"/>
            <w:noWrap/>
            <w:vAlign w:val="center"/>
            <w:hideMark/>
          </w:tcPr>
          <w:p w14:paraId="137FAAF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0.17</w:t>
            </w:r>
          </w:p>
        </w:tc>
        <w:tc>
          <w:tcPr>
            <w:tcW w:w="0" w:type="auto"/>
            <w:tcBorders>
              <w:top w:val="nil"/>
              <w:bottom w:val="nil"/>
            </w:tcBorders>
            <w:shd w:val="clear" w:color="000000" w:fill="FFEA84"/>
            <w:noWrap/>
            <w:vAlign w:val="center"/>
            <w:hideMark/>
          </w:tcPr>
          <w:p w14:paraId="23CEA9C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0.19</w:t>
            </w:r>
          </w:p>
        </w:tc>
      </w:tr>
      <w:tr w:rsidR="0024350B" w:rsidRPr="00BF1ABF" w14:paraId="1E3C527E" w14:textId="77777777" w:rsidTr="00211DD2">
        <w:trPr>
          <w:trHeight w:val="255"/>
          <w:jc w:val="center"/>
        </w:trPr>
        <w:tc>
          <w:tcPr>
            <w:tcW w:w="0" w:type="auto"/>
            <w:tcBorders>
              <w:top w:val="nil"/>
            </w:tcBorders>
            <w:noWrap/>
            <w:vAlign w:val="center"/>
            <w:hideMark/>
          </w:tcPr>
          <w:p w14:paraId="7C34E1A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and</w:t>
            </w:r>
          </w:p>
        </w:tc>
        <w:tc>
          <w:tcPr>
            <w:tcW w:w="0" w:type="auto"/>
            <w:tcBorders>
              <w:top w:val="nil"/>
            </w:tcBorders>
            <w:noWrap/>
            <w:vAlign w:val="center"/>
            <w:hideMark/>
          </w:tcPr>
          <w:p w14:paraId="13C1050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186.1</w:t>
            </w:r>
          </w:p>
        </w:tc>
        <w:tc>
          <w:tcPr>
            <w:tcW w:w="0" w:type="auto"/>
            <w:tcBorders>
              <w:top w:val="nil"/>
            </w:tcBorders>
            <w:noWrap/>
            <w:vAlign w:val="center"/>
            <w:hideMark/>
          </w:tcPr>
          <w:p w14:paraId="6EEABD13"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187.6</w:t>
            </w:r>
          </w:p>
        </w:tc>
        <w:tc>
          <w:tcPr>
            <w:tcW w:w="0" w:type="auto"/>
            <w:tcBorders>
              <w:top w:val="nil"/>
            </w:tcBorders>
            <w:shd w:val="clear" w:color="000000" w:fill="75C37C"/>
            <w:noWrap/>
            <w:vAlign w:val="center"/>
            <w:hideMark/>
          </w:tcPr>
          <w:p w14:paraId="3E647272"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1.5</w:t>
            </w:r>
          </w:p>
        </w:tc>
        <w:tc>
          <w:tcPr>
            <w:tcW w:w="0" w:type="auto"/>
            <w:tcBorders>
              <w:top w:val="nil"/>
            </w:tcBorders>
            <w:shd w:val="clear" w:color="000000" w:fill="FFE984"/>
            <w:noWrap/>
            <w:vAlign w:val="center"/>
            <w:hideMark/>
          </w:tcPr>
          <w:p w14:paraId="2E8752A9"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0.12</w:t>
            </w:r>
          </w:p>
        </w:tc>
        <w:tc>
          <w:tcPr>
            <w:tcW w:w="0" w:type="auto"/>
            <w:tcBorders>
              <w:top w:val="nil"/>
            </w:tcBorders>
            <w:shd w:val="clear" w:color="000000" w:fill="FFE182"/>
            <w:noWrap/>
            <w:vAlign w:val="center"/>
            <w:hideMark/>
          </w:tcPr>
          <w:p w14:paraId="187AEFA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0.16</w:t>
            </w:r>
          </w:p>
        </w:tc>
        <w:tc>
          <w:tcPr>
            <w:tcW w:w="0" w:type="auto"/>
            <w:tcBorders>
              <w:top w:val="nil"/>
            </w:tcBorders>
            <w:shd w:val="clear" w:color="000000" w:fill="FFDA81"/>
            <w:noWrap/>
            <w:vAlign w:val="center"/>
            <w:hideMark/>
          </w:tcPr>
          <w:p w14:paraId="3F493788"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0.85</w:t>
            </w:r>
          </w:p>
        </w:tc>
        <w:tc>
          <w:tcPr>
            <w:tcW w:w="0" w:type="auto"/>
            <w:tcBorders>
              <w:top w:val="nil"/>
            </w:tcBorders>
            <w:shd w:val="clear" w:color="000000" w:fill="FFE683"/>
            <w:noWrap/>
            <w:vAlign w:val="center"/>
            <w:hideMark/>
          </w:tcPr>
          <w:p w14:paraId="76E43006"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0.27</w:t>
            </w:r>
          </w:p>
        </w:tc>
        <w:tc>
          <w:tcPr>
            <w:tcW w:w="0" w:type="auto"/>
            <w:tcBorders>
              <w:top w:val="nil"/>
            </w:tcBorders>
            <w:shd w:val="clear" w:color="000000" w:fill="FFE683"/>
            <w:noWrap/>
            <w:vAlign w:val="center"/>
            <w:hideMark/>
          </w:tcPr>
          <w:p w14:paraId="2B134B4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0.30</w:t>
            </w:r>
          </w:p>
        </w:tc>
      </w:tr>
      <w:tr w:rsidR="0024350B" w:rsidRPr="00BF1ABF" w14:paraId="19F88766" w14:textId="77777777" w:rsidTr="00211DD2">
        <w:trPr>
          <w:trHeight w:val="255"/>
          <w:jc w:val="center"/>
        </w:trPr>
        <w:tc>
          <w:tcPr>
            <w:tcW w:w="0" w:type="auto"/>
            <w:gridSpan w:val="9"/>
            <w:noWrap/>
            <w:vAlign w:val="center"/>
            <w:hideMark/>
          </w:tcPr>
          <w:p w14:paraId="0B3561E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1 True widths of the reported mineralized intervals have not been determined.</w:t>
            </w:r>
          </w:p>
        </w:tc>
      </w:tr>
      <w:tr w:rsidR="0024350B" w:rsidRPr="00BF1ABF" w14:paraId="35D10EF3" w14:textId="77777777" w:rsidTr="00211DD2">
        <w:trPr>
          <w:trHeight w:val="255"/>
          <w:jc w:val="center"/>
        </w:trPr>
        <w:tc>
          <w:tcPr>
            <w:tcW w:w="0" w:type="auto"/>
            <w:gridSpan w:val="9"/>
            <w:noWrap/>
            <w:vAlign w:val="center"/>
            <w:hideMark/>
          </w:tcPr>
          <w:p w14:paraId="6E6F104B"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 Equivalent grades are calculated using metal prices of $4.00/lb copper, $3,000/oz gold, and $30/oz silver and assuming 80% metallurgical recovery for all metals</w:t>
            </w:r>
          </w:p>
        </w:tc>
      </w:tr>
      <w:tr w:rsidR="0024350B" w:rsidRPr="00BF1ABF" w14:paraId="533628DA" w14:textId="77777777" w:rsidTr="00211DD2">
        <w:trPr>
          <w:trHeight w:val="255"/>
          <w:jc w:val="center"/>
        </w:trPr>
        <w:tc>
          <w:tcPr>
            <w:tcW w:w="0" w:type="auto"/>
            <w:gridSpan w:val="9"/>
            <w:noWrap/>
            <w:vAlign w:val="center"/>
            <w:hideMark/>
          </w:tcPr>
          <w:p w14:paraId="303743F0" w14:textId="77777777" w:rsidR="0024350B" w:rsidRPr="00BF1ABF" w:rsidRDefault="0024350B" w:rsidP="00211DD2">
            <w:pPr>
              <w:pStyle w:val="Default"/>
              <w:jc w:val="both"/>
              <w:rPr>
                <w:b/>
                <w:bCs/>
                <w:sz w:val="18"/>
                <w:szCs w:val="18"/>
                <w:bdr w:val="nil"/>
                <w:lang w:val="en-CA"/>
              </w:rPr>
            </w:pPr>
            <w:r w:rsidRPr="00BF1ABF">
              <w:rPr>
                <w:b/>
                <w:bCs/>
                <w:sz w:val="18"/>
                <w:szCs w:val="18"/>
                <w:bdr w:val="nil"/>
                <w:lang w:val="en-CA"/>
              </w:rPr>
              <w:t>** Assay values were previously reported - see news release dated January 22, 2026; AuEq and CuEq values have not been previously disclosed</w:t>
            </w:r>
          </w:p>
        </w:tc>
      </w:tr>
    </w:tbl>
    <w:p w14:paraId="69984683" w14:textId="77777777" w:rsidR="003427B7" w:rsidRDefault="003427B7" w:rsidP="001F1952">
      <w:pPr>
        <w:pStyle w:val="Default"/>
        <w:jc w:val="both"/>
        <w:rPr>
          <w:rFonts w:ascii="Arial" w:hAnsi="Arial" w:cs="Arial"/>
          <w:i/>
          <w:iCs/>
        </w:rPr>
      </w:pPr>
    </w:p>
    <w:p w14:paraId="6975E65C" w14:textId="48C06177" w:rsidR="00E0172D" w:rsidRDefault="00E0172D" w:rsidP="00E0172D">
      <w:pPr>
        <w:pStyle w:val="List"/>
        <w:spacing w:before="120"/>
        <w:ind w:left="720" w:firstLine="0"/>
        <w:jc w:val="both"/>
        <w:rPr>
          <w:rFonts w:ascii="Arial" w:hAnsi="Arial" w:cs="Arial"/>
          <w:i/>
          <w:iCs/>
          <w:szCs w:val="24"/>
        </w:rPr>
      </w:pPr>
      <w:r>
        <w:rPr>
          <w:rFonts w:ascii="Arial" w:hAnsi="Arial" w:cs="Arial"/>
          <w:i/>
          <w:iCs/>
          <w:szCs w:val="24"/>
        </w:rPr>
        <w:t xml:space="preserve">On March 6,2026, The Company </w:t>
      </w:r>
      <w:r w:rsidRPr="00E0172D">
        <w:rPr>
          <w:rFonts w:ascii="Arial" w:hAnsi="Arial" w:cs="Arial"/>
          <w:i/>
          <w:iCs/>
          <w:szCs w:val="24"/>
        </w:rPr>
        <w:t>announce that it has completed the</w:t>
      </w:r>
      <w:r>
        <w:rPr>
          <w:rFonts w:ascii="Arial" w:hAnsi="Arial" w:cs="Arial"/>
          <w:i/>
          <w:iCs/>
          <w:szCs w:val="24"/>
        </w:rPr>
        <w:t xml:space="preserve"> </w:t>
      </w:r>
      <w:r w:rsidRPr="00E0172D">
        <w:rPr>
          <w:rFonts w:ascii="Arial" w:hAnsi="Arial" w:cs="Arial"/>
          <w:i/>
          <w:iCs/>
          <w:szCs w:val="24"/>
        </w:rPr>
        <w:t>earn-in of its 100% interest in the Camelot Copper-Gold Porphyry Project from Orogen Royalties</w:t>
      </w:r>
      <w:r>
        <w:rPr>
          <w:rFonts w:ascii="Arial" w:hAnsi="Arial" w:cs="Arial"/>
          <w:i/>
          <w:iCs/>
          <w:szCs w:val="24"/>
        </w:rPr>
        <w:t xml:space="preserve"> </w:t>
      </w:r>
      <w:r w:rsidRPr="00E0172D">
        <w:rPr>
          <w:rFonts w:ascii="Arial" w:hAnsi="Arial" w:cs="Arial"/>
          <w:i/>
          <w:iCs/>
          <w:szCs w:val="24"/>
        </w:rPr>
        <w:t>Inc. (TSX.V:OGN) by issuing, e</w:t>
      </w:r>
      <w:r w:rsidR="003D7C1B">
        <w:rPr>
          <w:rFonts w:ascii="Arial" w:hAnsi="Arial" w:cs="Arial"/>
          <w:i/>
          <w:iCs/>
          <w:szCs w:val="24"/>
        </w:rPr>
        <w:t>ff</w:t>
      </w:r>
      <w:r w:rsidRPr="00E0172D">
        <w:rPr>
          <w:rFonts w:ascii="Arial" w:hAnsi="Arial" w:cs="Arial"/>
          <w:i/>
          <w:iCs/>
          <w:szCs w:val="24"/>
        </w:rPr>
        <w:t>ective March 2, 2026, a final payment of 2,303,121 common shares</w:t>
      </w:r>
      <w:r>
        <w:rPr>
          <w:rFonts w:ascii="Arial" w:hAnsi="Arial" w:cs="Arial"/>
          <w:i/>
          <w:iCs/>
          <w:szCs w:val="24"/>
        </w:rPr>
        <w:t xml:space="preserve"> </w:t>
      </w:r>
      <w:r w:rsidRPr="00E0172D">
        <w:rPr>
          <w:rFonts w:ascii="Arial" w:hAnsi="Arial" w:cs="Arial"/>
          <w:i/>
          <w:iCs/>
          <w:szCs w:val="24"/>
        </w:rPr>
        <w:t>having a value of $175,000 based on the preceding 10-day volume weighted average price</w:t>
      </w:r>
      <w:r>
        <w:rPr>
          <w:rFonts w:ascii="Arial" w:hAnsi="Arial" w:cs="Arial"/>
          <w:i/>
          <w:iCs/>
          <w:szCs w:val="24"/>
        </w:rPr>
        <w:t xml:space="preserve"> </w:t>
      </w:r>
      <w:r w:rsidRPr="00E0172D">
        <w:rPr>
          <w:rFonts w:ascii="Arial" w:hAnsi="Arial" w:cs="Arial"/>
          <w:i/>
          <w:iCs/>
          <w:szCs w:val="24"/>
        </w:rPr>
        <w:t>(“VWAP”) on the CSE.</w:t>
      </w:r>
    </w:p>
    <w:p w14:paraId="453180D6" w14:textId="0DC7B80B" w:rsidR="00425727" w:rsidRPr="00425727" w:rsidRDefault="00425727" w:rsidP="00425727">
      <w:pPr>
        <w:pStyle w:val="List"/>
        <w:spacing w:before="120"/>
        <w:ind w:left="720" w:firstLine="0"/>
        <w:jc w:val="both"/>
        <w:rPr>
          <w:rFonts w:ascii="Arial" w:hAnsi="Arial" w:cs="Arial"/>
          <w:i/>
          <w:iCs/>
          <w:szCs w:val="24"/>
          <w:lang w:val="en-US"/>
        </w:rPr>
      </w:pPr>
      <w:r>
        <w:rPr>
          <w:rFonts w:ascii="Arial" w:hAnsi="Arial" w:cs="Arial"/>
          <w:i/>
          <w:iCs/>
          <w:szCs w:val="24"/>
        </w:rPr>
        <w:t xml:space="preserve">On March 26, 2026, The Company </w:t>
      </w:r>
      <w:r w:rsidRPr="00425727">
        <w:rPr>
          <w:rFonts w:ascii="Arial" w:hAnsi="Arial" w:cs="Arial"/>
          <w:i/>
          <w:iCs/>
          <w:szCs w:val="24"/>
          <w:lang w:val="en-US"/>
        </w:rPr>
        <w:t>is pleased to announce the appointment of Mr. Phil Smerchanski, M.Econ.Geol., P.Geo., as Senior Technical Advisor. Mr. Smerchanski is a third-generation mining professional and accomplished exploration leader with over 20 years of international experience advancing mineral projects from early-stage target generation through to development and production.</w:t>
      </w:r>
    </w:p>
    <w:p w14:paraId="6CA12834" w14:textId="655BBF32" w:rsidR="00A80847" w:rsidRPr="004F2FB9" w:rsidRDefault="00640E94" w:rsidP="00A80847">
      <w:pPr>
        <w:pStyle w:val="List"/>
        <w:numPr>
          <w:ilvl w:val="0"/>
          <w:numId w:val="28"/>
        </w:numPr>
        <w:spacing w:before="120"/>
        <w:jc w:val="both"/>
        <w:rPr>
          <w:rFonts w:ascii="Arial" w:hAnsi="Arial"/>
        </w:rPr>
      </w:pPr>
      <w:r w:rsidRPr="004F2FB9">
        <w:rPr>
          <w:rFonts w:ascii="Arial" w:hAnsi="Arial"/>
        </w:rPr>
        <w:t>Provide a general overview and discussion of the activities of management.</w:t>
      </w:r>
    </w:p>
    <w:p w14:paraId="21107CAA" w14:textId="221066C5" w:rsidR="00A80847" w:rsidRPr="00B96C4D" w:rsidRDefault="00A80847" w:rsidP="00605EEF">
      <w:pPr>
        <w:pStyle w:val="List"/>
        <w:spacing w:before="120"/>
        <w:ind w:left="720" w:firstLine="0"/>
        <w:jc w:val="both"/>
        <w:rPr>
          <w:rFonts w:ascii="Arial" w:hAnsi="Arial" w:cs="Arial"/>
          <w:i/>
          <w:iCs/>
          <w:szCs w:val="24"/>
        </w:rPr>
      </w:pPr>
      <w:r w:rsidRPr="00B96C4D">
        <w:rPr>
          <w:rFonts w:ascii="Arial" w:hAnsi="Arial" w:cs="Arial"/>
          <w:i/>
          <w:iCs/>
          <w:szCs w:val="24"/>
        </w:rPr>
        <w:t>The Issuer is a mineral exploration company focused on the acquisition, exploration and development of mineral resource properties, specifically in the precious metals sector.</w:t>
      </w:r>
    </w:p>
    <w:p w14:paraId="11A2A56A" w14:textId="77777777" w:rsidR="006027D2" w:rsidRPr="00B96C4D" w:rsidRDefault="006027D2" w:rsidP="00605EEF">
      <w:pPr>
        <w:pStyle w:val="Default"/>
        <w:jc w:val="both"/>
        <w:rPr>
          <w:rFonts w:ascii="Arial" w:hAnsi="Arial" w:cs="Arial"/>
          <w:i/>
          <w:iCs/>
          <w:color w:val="auto"/>
          <w:lang w:val="en-GB"/>
        </w:rPr>
      </w:pPr>
    </w:p>
    <w:p w14:paraId="657D76E4" w14:textId="554955F6" w:rsidR="00316F87" w:rsidRPr="008726BD" w:rsidRDefault="006027D2" w:rsidP="008726BD">
      <w:pPr>
        <w:pStyle w:val="Default"/>
        <w:ind w:left="720"/>
        <w:jc w:val="both"/>
        <w:rPr>
          <w:rFonts w:ascii="Arial" w:hAnsi="Arial" w:cs="Arial"/>
          <w:i/>
          <w:iCs/>
          <w:color w:val="auto"/>
          <w:lang w:val="en-GB"/>
        </w:rPr>
      </w:pPr>
      <w:r w:rsidRPr="00B80B60">
        <w:rPr>
          <w:rFonts w:ascii="Arial" w:hAnsi="Arial" w:cs="Arial"/>
          <w:i/>
          <w:iCs/>
          <w:color w:val="auto"/>
          <w:lang w:val="en-GB"/>
        </w:rPr>
        <w:lastRenderedPageBreak/>
        <w:t xml:space="preserve">Management is currently </w:t>
      </w:r>
      <w:r w:rsidR="000D6699" w:rsidRPr="00B80B60">
        <w:rPr>
          <w:rFonts w:ascii="Arial" w:hAnsi="Arial" w:cs="Arial"/>
          <w:i/>
          <w:iCs/>
          <w:color w:val="auto"/>
          <w:lang w:val="en-GB"/>
        </w:rPr>
        <w:t>focu</w:t>
      </w:r>
      <w:r w:rsidR="000D6699" w:rsidRPr="004F2FB9">
        <w:rPr>
          <w:rFonts w:ascii="Arial" w:hAnsi="Arial" w:cs="Arial"/>
          <w:i/>
          <w:iCs/>
          <w:color w:val="auto"/>
          <w:lang w:val="en-GB"/>
        </w:rPr>
        <w:t xml:space="preserve">sed on </w:t>
      </w:r>
      <w:r w:rsidR="00B80B60" w:rsidRPr="004F2FB9">
        <w:rPr>
          <w:rFonts w:ascii="Arial" w:hAnsi="Arial" w:cs="Arial"/>
          <w:i/>
          <w:iCs/>
          <w:color w:val="auto"/>
          <w:lang w:val="en-GB"/>
        </w:rPr>
        <w:t xml:space="preserve">managing the </w:t>
      </w:r>
      <w:r w:rsidR="000D6699" w:rsidRPr="004F2FB9">
        <w:rPr>
          <w:rFonts w:ascii="Arial" w:hAnsi="Arial" w:cs="Arial"/>
          <w:i/>
          <w:iCs/>
          <w:color w:val="auto"/>
          <w:lang w:val="en-GB"/>
        </w:rPr>
        <w:t>exploration program</w:t>
      </w:r>
      <w:r w:rsidR="00B80B60" w:rsidRPr="004F2FB9">
        <w:rPr>
          <w:rFonts w:ascii="Arial" w:hAnsi="Arial" w:cs="Arial"/>
          <w:i/>
          <w:iCs/>
          <w:color w:val="auto"/>
          <w:lang w:val="en-GB"/>
        </w:rPr>
        <w:t>s</w:t>
      </w:r>
      <w:r w:rsidR="000D6699" w:rsidRPr="004F2FB9">
        <w:rPr>
          <w:rFonts w:ascii="Arial" w:hAnsi="Arial" w:cs="Arial"/>
          <w:i/>
          <w:iCs/>
          <w:color w:val="auto"/>
          <w:lang w:val="en-GB"/>
        </w:rPr>
        <w:t xml:space="preserve"> at its properties in British Columbia, while </w:t>
      </w:r>
      <w:r w:rsidRPr="004F2FB9">
        <w:rPr>
          <w:rFonts w:ascii="Arial" w:hAnsi="Arial" w:cs="Arial"/>
          <w:i/>
          <w:iCs/>
          <w:color w:val="auto"/>
          <w:lang w:val="en-GB"/>
        </w:rPr>
        <w:t xml:space="preserve">pursuing the possibilities of acquiring </w:t>
      </w:r>
      <w:r w:rsidR="000D6699" w:rsidRPr="004F2FB9">
        <w:rPr>
          <w:rFonts w:ascii="Arial" w:hAnsi="Arial" w:cs="Arial"/>
          <w:i/>
          <w:iCs/>
          <w:color w:val="auto"/>
          <w:lang w:val="en-GB"/>
        </w:rPr>
        <w:t xml:space="preserve">additional </w:t>
      </w:r>
      <w:r w:rsidRPr="004F2FB9">
        <w:rPr>
          <w:rFonts w:ascii="Arial" w:hAnsi="Arial" w:cs="Arial"/>
          <w:i/>
          <w:iCs/>
          <w:color w:val="auto"/>
          <w:lang w:val="en-GB"/>
        </w:rPr>
        <w:t>opportunities of</w:t>
      </w:r>
      <w:r w:rsidR="000D6699" w:rsidRPr="004F2FB9">
        <w:rPr>
          <w:rFonts w:ascii="Arial" w:hAnsi="Arial" w:cs="Arial"/>
          <w:i/>
          <w:iCs/>
          <w:color w:val="auto"/>
          <w:lang w:val="en-GB"/>
        </w:rPr>
        <w:t xml:space="preserve"> </w:t>
      </w:r>
      <w:r w:rsidRPr="004F2FB9">
        <w:rPr>
          <w:rFonts w:ascii="Arial" w:hAnsi="Arial" w:cs="Arial"/>
          <w:i/>
          <w:iCs/>
          <w:color w:val="auto"/>
          <w:lang w:val="en-GB"/>
        </w:rPr>
        <w:t xml:space="preserve">merit </w:t>
      </w:r>
      <w:r w:rsidR="000D6699" w:rsidRPr="004F2FB9">
        <w:rPr>
          <w:rFonts w:ascii="Arial" w:hAnsi="Arial" w:cs="Arial"/>
          <w:i/>
          <w:iCs/>
          <w:color w:val="auto"/>
          <w:lang w:val="en-GB"/>
        </w:rPr>
        <w:t xml:space="preserve">and sources of funding </w:t>
      </w:r>
      <w:r w:rsidRPr="004F2FB9">
        <w:rPr>
          <w:rFonts w:ascii="Arial" w:hAnsi="Arial" w:cs="Arial"/>
          <w:i/>
          <w:iCs/>
          <w:color w:val="auto"/>
          <w:lang w:val="en-GB"/>
        </w:rPr>
        <w:t>for the Company.</w:t>
      </w:r>
    </w:p>
    <w:p w14:paraId="6194C715" w14:textId="77777777" w:rsidR="008726BD" w:rsidRDefault="008726BD" w:rsidP="00AE3FA2">
      <w:pPr>
        <w:pStyle w:val="Default"/>
        <w:jc w:val="both"/>
        <w:rPr>
          <w:rFonts w:ascii="Arial" w:hAnsi="Arial" w:cs="Arial"/>
          <w:i/>
          <w:iCs/>
          <w:color w:val="auto"/>
        </w:rPr>
      </w:pPr>
    </w:p>
    <w:p w14:paraId="0298E964" w14:textId="08CCC0BB" w:rsidR="00AE3FA2" w:rsidRDefault="00AE3FA2" w:rsidP="00B9218A">
      <w:pPr>
        <w:pStyle w:val="Default"/>
        <w:ind w:left="720"/>
        <w:jc w:val="both"/>
        <w:rPr>
          <w:rFonts w:ascii="Arial" w:hAnsi="Arial" w:cs="Arial"/>
          <w:i/>
          <w:iCs/>
          <w:color w:val="auto"/>
        </w:rPr>
      </w:pPr>
      <w:r>
        <w:rPr>
          <w:rFonts w:ascii="Arial" w:hAnsi="Arial" w:cs="Arial"/>
          <w:i/>
          <w:iCs/>
          <w:color w:val="auto"/>
        </w:rPr>
        <w:t xml:space="preserve">On </w:t>
      </w:r>
      <w:r w:rsidRPr="00AE3FA2">
        <w:rPr>
          <w:rFonts w:ascii="Arial" w:hAnsi="Arial" w:cs="Arial"/>
          <w:i/>
          <w:iCs/>
          <w:color w:val="auto"/>
        </w:rPr>
        <w:t xml:space="preserve">March 18, 2026.  </w:t>
      </w:r>
      <w:r>
        <w:rPr>
          <w:rFonts w:ascii="Arial" w:hAnsi="Arial" w:cs="Arial"/>
          <w:i/>
          <w:iCs/>
          <w:color w:val="auto"/>
        </w:rPr>
        <w:t>The Company</w:t>
      </w:r>
      <w:r w:rsidRPr="00AE3FA2">
        <w:rPr>
          <w:rFonts w:ascii="Arial" w:hAnsi="Arial" w:cs="Arial"/>
          <w:i/>
          <w:iCs/>
          <w:color w:val="auto"/>
        </w:rPr>
        <w:t xml:space="preserve"> announce</w:t>
      </w:r>
      <w:r w:rsidR="003D7C1B">
        <w:rPr>
          <w:rFonts w:ascii="Arial" w:hAnsi="Arial" w:cs="Arial"/>
          <w:i/>
          <w:iCs/>
          <w:color w:val="auto"/>
        </w:rPr>
        <w:t>d</w:t>
      </w:r>
      <w:r w:rsidRPr="00AE3FA2">
        <w:rPr>
          <w:rFonts w:ascii="Arial" w:hAnsi="Arial" w:cs="Arial"/>
          <w:i/>
          <w:iCs/>
          <w:color w:val="auto"/>
        </w:rPr>
        <w:t xml:space="preserve"> that it has closed its non-brokered flow-through private placement (the “FT Placement”) of $0.09 flow-through shares (the “FT Shares”) announced on March 6, 2026 (see news release for details) issuing an aggregate of 5,000,000 flow-through shares for gross proceeds of $450,000 to a Canadian flow-through fund that has been a long time supporter of the Company.</w:t>
      </w:r>
    </w:p>
    <w:p w14:paraId="223F4451" w14:textId="7629E76A" w:rsidR="00640E94" w:rsidRDefault="00640E94">
      <w:pPr>
        <w:pStyle w:val="List"/>
        <w:numPr>
          <w:ilvl w:val="0"/>
          <w:numId w:val="28"/>
        </w:numPr>
        <w:spacing w:before="120"/>
        <w:jc w:val="both"/>
        <w:rPr>
          <w:rFonts w:ascii="Arial" w:hAnsi="Arial"/>
        </w:rPr>
      </w:pPr>
      <w:r>
        <w:rPr>
          <w:rFonts w:ascii="Arial" w:hAnsi="Arial"/>
        </w:rPr>
        <w:t>Describe and provide details of any new products or services developed or offered. For resource companies, provide details of new drilling, exploration or production programs and acquisitions of any new properties and attach any mineral or oil and gas or other reports required under Ontario securities law.</w:t>
      </w:r>
    </w:p>
    <w:p w14:paraId="25741DAF" w14:textId="132B71DC" w:rsidR="00C7323C" w:rsidRPr="00246109" w:rsidRDefault="002C42C4" w:rsidP="00930C4D">
      <w:pPr>
        <w:pStyle w:val="List"/>
        <w:spacing w:before="120"/>
        <w:ind w:left="720" w:firstLine="0"/>
        <w:jc w:val="both"/>
        <w:rPr>
          <w:rFonts w:ascii="Arial" w:hAnsi="Arial"/>
          <w:i/>
          <w:iCs/>
        </w:rPr>
      </w:pPr>
      <w:r>
        <w:rPr>
          <w:rFonts w:ascii="Arial" w:hAnsi="Arial"/>
          <w:i/>
          <w:iCs/>
        </w:rPr>
        <w:t xml:space="preserve">See Item (2) for description of </w:t>
      </w:r>
      <w:r w:rsidR="001F1952" w:rsidRPr="001F1952">
        <w:rPr>
          <w:rFonts w:ascii="Arial" w:hAnsi="Arial" w:cs="Arial"/>
          <w:i/>
          <w:iCs/>
        </w:rPr>
        <w:t>Camelot</w:t>
      </w:r>
      <w:r>
        <w:rPr>
          <w:rFonts w:ascii="Arial" w:hAnsi="Arial"/>
          <w:i/>
          <w:iCs/>
        </w:rPr>
        <w:t xml:space="preserve"> project</w:t>
      </w:r>
      <w:r w:rsidR="00D33367">
        <w:rPr>
          <w:rFonts w:ascii="Arial" w:hAnsi="Arial"/>
          <w:i/>
          <w:iCs/>
        </w:rPr>
        <w:t xml:space="preserve"> drilling.</w:t>
      </w:r>
    </w:p>
    <w:p w14:paraId="702CAA98" w14:textId="0AA342A5" w:rsidR="00640E94" w:rsidRDefault="00640E94">
      <w:pPr>
        <w:pStyle w:val="List"/>
        <w:numPr>
          <w:ilvl w:val="0"/>
          <w:numId w:val="28"/>
        </w:numPr>
        <w:spacing w:before="120"/>
        <w:jc w:val="both"/>
        <w:rPr>
          <w:rFonts w:ascii="Arial" w:hAnsi="Arial"/>
        </w:rPr>
      </w:pPr>
      <w:r>
        <w:rPr>
          <w:rFonts w:ascii="Arial" w:hAnsi="Arial"/>
        </w:rPr>
        <w:t>Describe and provide details of any products or services that were discontinued. For resource companies, provide details of any drilling, exploration or production programs that have been amended or abandoned.</w:t>
      </w:r>
    </w:p>
    <w:p w14:paraId="36DCDA76" w14:textId="77777777" w:rsidR="00B1320B" w:rsidRPr="00246109" w:rsidRDefault="00B1320B" w:rsidP="00B1320B">
      <w:pPr>
        <w:pStyle w:val="List"/>
        <w:spacing w:before="120"/>
        <w:ind w:left="720" w:firstLine="0"/>
        <w:jc w:val="both"/>
        <w:rPr>
          <w:rFonts w:ascii="Arial" w:hAnsi="Arial"/>
          <w:i/>
          <w:iCs/>
        </w:rPr>
      </w:pPr>
      <w:r w:rsidRPr="00246109">
        <w:rPr>
          <w:rFonts w:ascii="Arial" w:hAnsi="Arial"/>
          <w:i/>
          <w:iCs/>
        </w:rPr>
        <w:t>Not applicable</w:t>
      </w:r>
    </w:p>
    <w:p w14:paraId="7C997AE2" w14:textId="40252D54" w:rsidR="00640E94" w:rsidRDefault="00640E94">
      <w:pPr>
        <w:pStyle w:val="List"/>
        <w:numPr>
          <w:ilvl w:val="0"/>
          <w:numId w:val="28"/>
        </w:numPr>
        <w:spacing w:before="120"/>
        <w:jc w:val="both"/>
        <w:rPr>
          <w:rFonts w:ascii="Arial" w:hAnsi="Arial"/>
        </w:rPr>
      </w:pPr>
      <w:r>
        <w:rPr>
          <w:rFonts w:ascii="Arial" w:hAnsi="Arial"/>
        </w:rPr>
        <w:t>Describe any new business relationships entered into between the Issuer, the Issuer’s affiliates or third parties including contracts to supply products or services, joint venture agreements and licensing agreements etc. State whether the relationship is with a Related Person of the Issuer and provide details of the relationship.</w:t>
      </w:r>
    </w:p>
    <w:p w14:paraId="3CEEDD59" w14:textId="77777777" w:rsidR="00985033" w:rsidRPr="00246109" w:rsidRDefault="00985033" w:rsidP="00985033">
      <w:pPr>
        <w:pStyle w:val="List"/>
        <w:spacing w:before="120"/>
        <w:ind w:left="720" w:firstLine="0"/>
        <w:jc w:val="both"/>
        <w:rPr>
          <w:rFonts w:ascii="Arial" w:hAnsi="Arial"/>
          <w:i/>
          <w:iCs/>
        </w:rPr>
      </w:pPr>
      <w:r w:rsidRPr="00246109">
        <w:rPr>
          <w:rFonts w:ascii="Arial" w:hAnsi="Arial"/>
          <w:i/>
          <w:iCs/>
        </w:rPr>
        <w:t>Not applicable</w:t>
      </w:r>
    </w:p>
    <w:p w14:paraId="270C1F12" w14:textId="478869F9" w:rsidR="00640E94" w:rsidRDefault="00640E94">
      <w:pPr>
        <w:pStyle w:val="List"/>
        <w:numPr>
          <w:ilvl w:val="0"/>
          <w:numId w:val="28"/>
        </w:numPr>
        <w:spacing w:before="120"/>
        <w:jc w:val="both"/>
        <w:rPr>
          <w:rFonts w:ascii="Arial" w:hAnsi="Arial"/>
        </w:rPr>
      </w:pPr>
      <w:r>
        <w:rPr>
          <w:rFonts w:ascii="Arial" w:hAnsi="Arial"/>
        </w:rPr>
        <w:t>Describe the expiry or termination of any contracts or agreements between the Issuer, the Issuer’s affiliates or third parties or cancellation of any financing arrangements that have been previously announced.</w:t>
      </w:r>
    </w:p>
    <w:p w14:paraId="32500CE3" w14:textId="77777777" w:rsidR="00B1320B" w:rsidRPr="00246109" w:rsidRDefault="00B1320B" w:rsidP="00B1320B">
      <w:pPr>
        <w:pStyle w:val="List"/>
        <w:spacing w:before="120"/>
        <w:ind w:left="720" w:firstLine="0"/>
        <w:jc w:val="both"/>
        <w:rPr>
          <w:rFonts w:ascii="Arial" w:hAnsi="Arial"/>
          <w:i/>
          <w:iCs/>
        </w:rPr>
      </w:pPr>
      <w:r w:rsidRPr="00246109">
        <w:rPr>
          <w:rFonts w:ascii="Arial" w:hAnsi="Arial"/>
          <w:i/>
          <w:iCs/>
        </w:rPr>
        <w:t>Not applicable</w:t>
      </w:r>
    </w:p>
    <w:p w14:paraId="4A53D7BD" w14:textId="0C65D1B6" w:rsidR="008726BD" w:rsidRPr="008726BD" w:rsidRDefault="00640E94" w:rsidP="008726BD">
      <w:pPr>
        <w:pStyle w:val="List"/>
        <w:numPr>
          <w:ilvl w:val="0"/>
          <w:numId w:val="28"/>
        </w:numPr>
        <w:spacing w:before="120"/>
        <w:jc w:val="both"/>
        <w:rPr>
          <w:rFonts w:ascii="Arial" w:hAnsi="Arial"/>
        </w:rPr>
      </w:pPr>
      <w:r>
        <w:rPr>
          <w:rFonts w:ascii="Arial" w:hAnsi="Arial"/>
        </w:rPr>
        <w:t>Describe any acquisitions by the Issuer or dispositions of the Issuer’s assets that occurred during the preceding month.  Provide details of the nature of the assets acquired or disposed of and provide details of the consideration paid or payable together with a schedule of payments if applicable, and of any valuation. State how the consideration was determined and whether the acquisition was from or the disposition was to a Related Person of the Issuer and provide details of the relationship.</w:t>
      </w:r>
    </w:p>
    <w:p w14:paraId="751BD8EA" w14:textId="00E3F4A0" w:rsidR="005335A1" w:rsidRPr="008726BD" w:rsidRDefault="008726BD" w:rsidP="008726BD">
      <w:pPr>
        <w:pStyle w:val="List"/>
        <w:spacing w:before="120"/>
        <w:ind w:left="720" w:firstLine="0"/>
        <w:jc w:val="both"/>
        <w:rPr>
          <w:rFonts w:ascii="Arial" w:hAnsi="Arial"/>
          <w:i/>
          <w:iCs/>
        </w:rPr>
      </w:pPr>
      <w:r w:rsidRPr="00246109">
        <w:rPr>
          <w:rFonts w:ascii="Arial" w:hAnsi="Arial"/>
          <w:i/>
          <w:iCs/>
        </w:rPr>
        <w:t>Not applicable</w:t>
      </w:r>
    </w:p>
    <w:p w14:paraId="7B01CD22" w14:textId="6D07A5B6" w:rsidR="00640E94" w:rsidRDefault="00640E94">
      <w:pPr>
        <w:pStyle w:val="List"/>
        <w:numPr>
          <w:ilvl w:val="0"/>
          <w:numId w:val="28"/>
        </w:numPr>
        <w:spacing w:before="120"/>
        <w:jc w:val="both"/>
        <w:rPr>
          <w:rFonts w:ascii="Arial" w:hAnsi="Arial"/>
        </w:rPr>
      </w:pPr>
      <w:r>
        <w:rPr>
          <w:rFonts w:ascii="Arial" w:hAnsi="Arial"/>
        </w:rPr>
        <w:t>Describe the acquisition of new customers or loss of customers.</w:t>
      </w:r>
    </w:p>
    <w:p w14:paraId="41B79633"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0F277862" w14:textId="2C91B668" w:rsidR="00640E94" w:rsidRDefault="00640E94">
      <w:pPr>
        <w:pStyle w:val="List"/>
        <w:numPr>
          <w:ilvl w:val="0"/>
          <w:numId w:val="28"/>
        </w:numPr>
        <w:spacing w:before="120"/>
        <w:jc w:val="both"/>
        <w:rPr>
          <w:rFonts w:ascii="Arial" w:hAnsi="Arial"/>
        </w:rPr>
      </w:pPr>
      <w:r>
        <w:rPr>
          <w:rFonts w:ascii="Arial" w:hAnsi="Arial"/>
        </w:rPr>
        <w:lastRenderedPageBreak/>
        <w:t>Describe any new developments or effects on intangible products such as brand names, circulation lists, copyrights, franchises, licenses, patents, software, subscription lists and trademarks.</w:t>
      </w:r>
    </w:p>
    <w:p w14:paraId="3B09F15A"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7841F1C8" w14:textId="4F55B5A4" w:rsidR="00640E94" w:rsidRDefault="00640E94">
      <w:pPr>
        <w:pStyle w:val="List"/>
        <w:numPr>
          <w:ilvl w:val="0"/>
          <w:numId w:val="28"/>
        </w:numPr>
        <w:spacing w:before="120"/>
        <w:jc w:val="both"/>
        <w:rPr>
          <w:rFonts w:ascii="Arial" w:hAnsi="Arial"/>
        </w:rPr>
      </w:pPr>
      <w:r>
        <w:rPr>
          <w:rFonts w:ascii="Arial" w:hAnsi="Arial"/>
        </w:rPr>
        <w:t>Report on any employee hirings, terminations or lay-offs with details of anticipated length of lay-offs.</w:t>
      </w:r>
    </w:p>
    <w:p w14:paraId="40F65C21" w14:textId="77777777" w:rsidR="0032145B" w:rsidRPr="00246109" w:rsidRDefault="0032145B" w:rsidP="0032145B">
      <w:pPr>
        <w:pStyle w:val="List"/>
        <w:spacing w:before="120"/>
        <w:ind w:left="720" w:firstLine="0"/>
        <w:jc w:val="both"/>
        <w:rPr>
          <w:rFonts w:ascii="Arial" w:hAnsi="Arial"/>
          <w:i/>
          <w:iCs/>
        </w:rPr>
      </w:pPr>
      <w:r w:rsidRPr="00246109">
        <w:rPr>
          <w:rFonts w:ascii="Arial" w:hAnsi="Arial"/>
          <w:i/>
          <w:iCs/>
        </w:rPr>
        <w:t>Not applicable</w:t>
      </w:r>
    </w:p>
    <w:p w14:paraId="14E58FFA" w14:textId="745D4D01" w:rsidR="00640E94" w:rsidRDefault="00640E94">
      <w:pPr>
        <w:pStyle w:val="List"/>
        <w:numPr>
          <w:ilvl w:val="0"/>
          <w:numId w:val="28"/>
        </w:numPr>
        <w:spacing w:before="120"/>
        <w:jc w:val="both"/>
        <w:rPr>
          <w:rFonts w:ascii="Arial" w:hAnsi="Arial"/>
        </w:rPr>
      </w:pPr>
      <w:r>
        <w:rPr>
          <w:rFonts w:ascii="Arial" w:hAnsi="Arial"/>
        </w:rPr>
        <w:t>Report on any labour disputes and resolutions of those disputes if applicable.</w:t>
      </w:r>
    </w:p>
    <w:p w14:paraId="5DB04AC0"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45D12949" w14:textId="0C0427FB" w:rsidR="00640E94" w:rsidRDefault="00640E94">
      <w:pPr>
        <w:pStyle w:val="List"/>
        <w:numPr>
          <w:ilvl w:val="0"/>
          <w:numId w:val="28"/>
        </w:numPr>
        <w:spacing w:before="120"/>
        <w:jc w:val="both"/>
        <w:rPr>
          <w:rFonts w:ascii="Arial" w:hAnsi="Arial"/>
        </w:rPr>
      </w:pPr>
      <w:r>
        <w:rPr>
          <w:rFonts w:ascii="Arial" w:hAnsi="Arial"/>
        </w:rPr>
        <w:t>Describe and provide details of legal proceedings to which the Issuer became a party, including the name of the court or agency, the date instituted, the principal parties to the proceedings, the nature of the claim, the amount claimed, if any, if the proceedings are being contested, and the present status of the proceedings.</w:t>
      </w:r>
    </w:p>
    <w:p w14:paraId="4F308BA1"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0429A998" w14:textId="6AA5691E" w:rsidR="00640E94" w:rsidRDefault="00640E94">
      <w:pPr>
        <w:pStyle w:val="List"/>
        <w:numPr>
          <w:ilvl w:val="0"/>
          <w:numId w:val="28"/>
        </w:numPr>
        <w:spacing w:before="120"/>
        <w:jc w:val="both"/>
        <w:rPr>
          <w:rFonts w:ascii="Arial" w:hAnsi="Arial"/>
        </w:rPr>
      </w:pPr>
      <w:r>
        <w:rPr>
          <w:rFonts w:ascii="Arial" w:hAnsi="Arial"/>
        </w:rPr>
        <w:t>Provide details of any indebtedness incurred or repaid by the Issuer together with the terms of such indebtedness.</w:t>
      </w:r>
    </w:p>
    <w:p w14:paraId="14697E33" w14:textId="47BE5931" w:rsidR="0065605F"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5D740A5C" w14:textId="4FCC592E" w:rsidR="00A63323" w:rsidRPr="0065605F" w:rsidRDefault="00A63323" w:rsidP="0065605F">
      <w:pPr>
        <w:rPr>
          <w:rFonts w:ascii="Arial" w:hAnsi="Arial"/>
          <w:i/>
          <w:iCs/>
          <w:sz w:val="24"/>
          <w:lang w:val="en-GB"/>
        </w:rPr>
      </w:pPr>
    </w:p>
    <w:p w14:paraId="4D5BD80D" w14:textId="77777777" w:rsidR="00640E94" w:rsidRDefault="00640E94">
      <w:pPr>
        <w:pStyle w:val="List"/>
        <w:numPr>
          <w:ilvl w:val="0"/>
          <w:numId w:val="28"/>
        </w:numPr>
        <w:spacing w:before="120"/>
        <w:jc w:val="both"/>
        <w:rPr>
          <w:rFonts w:ascii="Arial" w:hAnsi="Arial"/>
        </w:rPr>
      </w:pPr>
      <w:r>
        <w:rPr>
          <w:rFonts w:ascii="Arial" w:hAnsi="Arial"/>
        </w:rPr>
        <w:t>Provide details of any securities issued and options or warrants granted.</w:t>
      </w:r>
    </w:p>
    <w:p w14:paraId="577C4E87" w14:textId="77777777" w:rsidR="00640E94" w:rsidRDefault="00640E94">
      <w:pPr>
        <w:pStyle w:val="List"/>
        <w:spacing w:before="120"/>
        <w:ind w:left="0" w:firstLine="0"/>
        <w:jc w:val="both"/>
        <w:rPr>
          <w:rFonts w:ascii="Arial" w:hAnsi="Arial"/>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4"/>
        <w:gridCol w:w="2394"/>
        <w:gridCol w:w="2394"/>
        <w:gridCol w:w="2394"/>
      </w:tblGrid>
      <w:tr w:rsidR="00640E94" w14:paraId="64C1F0DF" w14:textId="77777777" w:rsidTr="0065605F">
        <w:tc>
          <w:tcPr>
            <w:tcW w:w="2394" w:type="dxa"/>
          </w:tcPr>
          <w:p w14:paraId="56DD68C8"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Security</w:t>
            </w:r>
          </w:p>
        </w:tc>
        <w:tc>
          <w:tcPr>
            <w:tcW w:w="2394" w:type="dxa"/>
          </w:tcPr>
          <w:p w14:paraId="0709B566"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Number Issued</w:t>
            </w:r>
          </w:p>
        </w:tc>
        <w:tc>
          <w:tcPr>
            <w:tcW w:w="2394" w:type="dxa"/>
          </w:tcPr>
          <w:p w14:paraId="1A80BD62"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Details of Issuance</w:t>
            </w:r>
          </w:p>
        </w:tc>
        <w:tc>
          <w:tcPr>
            <w:tcW w:w="2394" w:type="dxa"/>
          </w:tcPr>
          <w:p w14:paraId="57EE1C56" w14:textId="77777777" w:rsidR="00640E94" w:rsidRDefault="00640E94">
            <w:pPr>
              <w:pStyle w:val="List"/>
              <w:tabs>
                <w:tab w:val="left" w:pos="360"/>
              </w:tabs>
              <w:spacing w:before="0" w:line="280" w:lineRule="exact"/>
              <w:ind w:left="0" w:firstLine="0"/>
              <w:jc w:val="center"/>
              <w:rPr>
                <w:rFonts w:ascii="Arial" w:hAnsi="Arial"/>
                <w:b/>
              </w:rPr>
            </w:pPr>
            <w:r>
              <w:rPr>
                <w:rFonts w:ascii="Arial" w:hAnsi="Arial"/>
                <w:b/>
              </w:rPr>
              <w:t>Use of Proceeds</w:t>
            </w:r>
            <w:r>
              <w:rPr>
                <w:rFonts w:ascii="Arial" w:hAnsi="Arial"/>
                <w:b/>
                <w:vertAlign w:val="superscript"/>
              </w:rPr>
              <w:t>(1)</w:t>
            </w:r>
          </w:p>
        </w:tc>
      </w:tr>
      <w:tr w:rsidR="00AE3FA2" w14:paraId="2523C19C" w14:textId="77777777" w:rsidTr="0065605F">
        <w:tc>
          <w:tcPr>
            <w:tcW w:w="2394" w:type="dxa"/>
          </w:tcPr>
          <w:p w14:paraId="7F428ED9" w14:textId="75189074" w:rsidR="00AE3FA2" w:rsidRPr="0094399F" w:rsidRDefault="00AE3FA2" w:rsidP="00AE3FA2">
            <w:pPr>
              <w:pStyle w:val="List"/>
              <w:tabs>
                <w:tab w:val="left" w:pos="360"/>
              </w:tabs>
              <w:spacing w:before="0" w:line="280" w:lineRule="exact"/>
              <w:ind w:left="0" w:firstLine="0"/>
              <w:jc w:val="both"/>
              <w:rPr>
                <w:rFonts w:ascii="Arial" w:hAnsi="Arial"/>
                <w:i/>
                <w:iCs/>
              </w:rPr>
            </w:pPr>
            <w:r w:rsidRPr="00985033">
              <w:rPr>
                <w:rFonts w:ascii="Arial" w:hAnsi="Arial"/>
                <w:i/>
                <w:iCs/>
              </w:rPr>
              <w:t>Common shares</w:t>
            </w:r>
          </w:p>
        </w:tc>
        <w:tc>
          <w:tcPr>
            <w:tcW w:w="2394" w:type="dxa"/>
          </w:tcPr>
          <w:p w14:paraId="376F13FE" w14:textId="3CD464B6" w:rsidR="00AE3FA2" w:rsidRPr="0094399F" w:rsidRDefault="00AE3FA2" w:rsidP="00AE3FA2">
            <w:pPr>
              <w:pStyle w:val="List"/>
              <w:tabs>
                <w:tab w:val="left" w:pos="360"/>
              </w:tabs>
              <w:spacing w:before="0" w:line="280" w:lineRule="exact"/>
              <w:ind w:left="0" w:firstLine="0"/>
              <w:jc w:val="both"/>
              <w:rPr>
                <w:rFonts w:ascii="Arial" w:hAnsi="Arial"/>
                <w:i/>
                <w:iCs/>
              </w:rPr>
            </w:pPr>
            <w:r>
              <w:rPr>
                <w:rFonts w:ascii="Arial" w:hAnsi="Arial"/>
                <w:i/>
                <w:iCs/>
              </w:rPr>
              <w:t>5,000,000</w:t>
            </w:r>
          </w:p>
        </w:tc>
        <w:tc>
          <w:tcPr>
            <w:tcW w:w="2394" w:type="dxa"/>
          </w:tcPr>
          <w:p w14:paraId="3B5EC62C" w14:textId="2A824AC6" w:rsidR="00AE3FA2" w:rsidRPr="00F45E28" w:rsidRDefault="00AE3FA2" w:rsidP="00AE3FA2">
            <w:pPr>
              <w:pStyle w:val="List"/>
              <w:tabs>
                <w:tab w:val="left" w:pos="360"/>
              </w:tabs>
              <w:spacing w:before="0" w:line="280" w:lineRule="exact"/>
              <w:ind w:left="0" w:firstLine="0"/>
              <w:rPr>
                <w:rFonts w:ascii="Arial" w:hAnsi="Arial"/>
                <w:i/>
                <w:iCs/>
                <w:lang w:val="en-US"/>
              </w:rPr>
            </w:pPr>
            <w:r w:rsidRPr="00985033">
              <w:rPr>
                <w:rFonts w:ascii="Arial" w:hAnsi="Arial"/>
                <w:i/>
                <w:iCs/>
              </w:rPr>
              <w:t xml:space="preserve">Private placement </w:t>
            </w:r>
            <w:r>
              <w:rPr>
                <w:rFonts w:ascii="Arial" w:hAnsi="Arial"/>
                <w:i/>
                <w:iCs/>
              </w:rPr>
              <w:t>flow through</w:t>
            </w:r>
            <w:r w:rsidRPr="00985033">
              <w:rPr>
                <w:rFonts w:ascii="Arial" w:hAnsi="Arial"/>
                <w:i/>
                <w:iCs/>
              </w:rPr>
              <w:t xml:space="preserve">, closed on </w:t>
            </w:r>
            <w:r>
              <w:rPr>
                <w:rFonts w:ascii="Arial" w:hAnsi="Arial"/>
                <w:i/>
                <w:iCs/>
              </w:rPr>
              <w:t>March 18,</w:t>
            </w:r>
            <w:r w:rsidRPr="00985033">
              <w:rPr>
                <w:rFonts w:ascii="Arial" w:hAnsi="Arial"/>
                <w:i/>
                <w:iCs/>
              </w:rPr>
              <w:t xml:space="preserve"> 202</w:t>
            </w:r>
            <w:r>
              <w:rPr>
                <w:rFonts w:ascii="Arial" w:hAnsi="Arial"/>
                <w:i/>
                <w:iCs/>
              </w:rPr>
              <w:t>6</w:t>
            </w:r>
          </w:p>
        </w:tc>
        <w:tc>
          <w:tcPr>
            <w:tcW w:w="2394" w:type="dxa"/>
          </w:tcPr>
          <w:p w14:paraId="3DE56A17" w14:textId="024C862C" w:rsidR="00AE3FA2" w:rsidRPr="0094399F" w:rsidRDefault="00AE3FA2" w:rsidP="00AE3FA2">
            <w:pPr>
              <w:pStyle w:val="List"/>
              <w:tabs>
                <w:tab w:val="left" w:pos="360"/>
              </w:tabs>
              <w:spacing w:before="0" w:line="280" w:lineRule="exact"/>
              <w:ind w:left="0" w:firstLine="0"/>
              <w:jc w:val="both"/>
              <w:rPr>
                <w:rFonts w:ascii="Arial" w:hAnsi="Arial"/>
                <w:i/>
                <w:iCs/>
              </w:rPr>
            </w:pPr>
            <w:r>
              <w:rPr>
                <w:rFonts w:ascii="Arial" w:hAnsi="Arial"/>
                <w:i/>
                <w:iCs/>
              </w:rPr>
              <w:t>Exploration work on its BC properties and for working capital.</w:t>
            </w:r>
          </w:p>
        </w:tc>
      </w:tr>
      <w:tr w:rsidR="00AE3FA2" w14:paraId="5A0A7FB5" w14:textId="77777777" w:rsidTr="0065605F">
        <w:tc>
          <w:tcPr>
            <w:tcW w:w="2394" w:type="dxa"/>
          </w:tcPr>
          <w:p w14:paraId="392ACDB9" w14:textId="73D4F890" w:rsidR="00AE3FA2" w:rsidRPr="00985033" w:rsidRDefault="00AE3FA2" w:rsidP="00AE3FA2">
            <w:pPr>
              <w:pStyle w:val="List"/>
              <w:tabs>
                <w:tab w:val="left" w:pos="360"/>
              </w:tabs>
              <w:spacing w:before="0" w:line="280" w:lineRule="exact"/>
              <w:ind w:left="0" w:firstLine="0"/>
              <w:jc w:val="both"/>
              <w:rPr>
                <w:rFonts w:ascii="Arial" w:hAnsi="Arial"/>
                <w:i/>
                <w:iCs/>
              </w:rPr>
            </w:pPr>
            <w:r w:rsidRPr="00985033">
              <w:rPr>
                <w:rFonts w:ascii="Arial" w:hAnsi="Arial"/>
                <w:i/>
                <w:iCs/>
              </w:rPr>
              <w:t>Broker warrants</w:t>
            </w:r>
          </w:p>
        </w:tc>
        <w:tc>
          <w:tcPr>
            <w:tcW w:w="2394" w:type="dxa"/>
          </w:tcPr>
          <w:p w14:paraId="3A2314D0" w14:textId="69AD0C75" w:rsidR="00AE3FA2" w:rsidRPr="00985033" w:rsidRDefault="00AE3FA2" w:rsidP="00AE3FA2">
            <w:pPr>
              <w:pStyle w:val="List"/>
              <w:tabs>
                <w:tab w:val="left" w:pos="360"/>
                <w:tab w:val="center" w:pos="1089"/>
              </w:tabs>
              <w:spacing w:before="0" w:line="280" w:lineRule="exact"/>
              <w:ind w:left="0" w:firstLine="0"/>
              <w:jc w:val="both"/>
              <w:rPr>
                <w:rFonts w:ascii="Arial" w:hAnsi="Arial"/>
                <w:i/>
                <w:iCs/>
              </w:rPr>
            </w:pPr>
            <w:r>
              <w:rPr>
                <w:rFonts w:ascii="Arial" w:hAnsi="Arial"/>
                <w:i/>
                <w:iCs/>
              </w:rPr>
              <w:t>350,000</w:t>
            </w:r>
          </w:p>
        </w:tc>
        <w:tc>
          <w:tcPr>
            <w:tcW w:w="2394" w:type="dxa"/>
          </w:tcPr>
          <w:p w14:paraId="6EE24AE6" w14:textId="081DF022" w:rsidR="00AE3FA2" w:rsidRPr="00985033" w:rsidRDefault="00AE3FA2" w:rsidP="00AE3FA2">
            <w:pPr>
              <w:pStyle w:val="List"/>
              <w:tabs>
                <w:tab w:val="left" w:pos="360"/>
              </w:tabs>
              <w:spacing w:before="0" w:line="280" w:lineRule="exact"/>
              <w:ind w:left="0" w:firstLine="0"/>
              <w:rPr>
                <w:rFonts w:ascii="Arial" w:hAnsi="Arial"/>
                <w:i/>
                <w:iCs/>
              </w:rPr>
            </w:pPr>
            <w:r w:rsidRPr="00985033">
              <w:rPr>
                <w:rFonts w:ascii="Arial" w:hAnsi="Arial"/>
                <w:i/>
                <w:iCs/>
              </w:rPr>
              <w:t xml:space="preserve">Private placement </w:t>
            </w:r>
            <w:r>
              <w:rPr>
                <w:rFonts w:ascii="Arial" w:hAnsi="Arial"/>
                <w:i/>
                <w:iCs/>
              </w:rPr>
              <w:t>flow through</w:t>
            </w:r>
            <w:r w:rsidRPr="00985033">
              <w:rPr>
                <w:rFonts w:ascii="Arial" w:hAnsi="Arial"/>
                <w:i/>
                <w:iCs/>
              </w:rPr>
              <w:t xml:space="preserve">, closed on </w:t>
            </w:r>
            <w:r>
              <w:rPr>
                <w:rFonts w:ascii="Arial" w:hAnsi="Arial"/>
                <w:i/>
                <w:iCs/>
              </w:rPr>
              <w:t>March 18,</w:t>
            </w:r>
            <w:r w:rsidRPr="00985033">
              <w:rPr>
                <w:rFonts w:ascii="Arial" w:hAnsi="Arial"/>
                <w:i/>
                <w:iCs/>
              </w:rPr>
              <w:t xml:space="preserve"> 202</w:t>
            </w:r>
            <w:r>
              <w:rPr>
                <w:rFonts w:ascii="Arial" w:hAnsi="Arial"/>
                <w:i/>
                <w:iCs/>
              </w:rPr>
              <w:t>6</w:t>
            </w:r>
            <w:r w:rsidRPr="00985033">
              <w:rPr>
                <w:rFonts w:ascii="Arial" w:hAnsi="Arial"/>
                <w:i/>
                <w:iCs/>
              </w:rPr>
              <w:t>. Exercisabl</w:t>
            </w:r>
            <w:r w:rsidRPr="00435018">
              <w:rPr>
                <w:rFonts w:ascii="Arial" w:hAnsi="Arial"/>
                <w:i/>
                <w:iCs/>
              </w:rPr>
              <w:t>e at $0.</w:t>
            </w:r>
            <w:r>
              <w:rPr>
                <w:rFonts w:ascii="Arial" w:hAnsi="Arial"/>
                <w:i/>
                <w:iCs/>
              </w:rPr>
              <w:t>15</w:t>
            </w:r>
            <w:r w:rsidRPr="00435018">
              <w:rPr>
                <w:rFonts w:ascii="Arial" w:hAnsi="Arial"/>
                <w:i/>
                <w:iCs/>
              </w:rPr>
              <w:t xml:space="preserve"> for two years.</w:t>
            </w:r>
          </w:p>
        </w:tc>
        <w:tc>
          <w:tcPr>
            <w:tcW w:w="2394" w:type="dxa"/>
          </w:tcPr>
          <w:p w14:paraId="7A604380" w14:textId="62A95B76" w:rsidR="00AE3FA2" w:rsidRPr="00985033" w:rsidRDefault="00AE3FA2" w:rsidP="00AE3FA2">
            <w:pPr>
              <w:pStyle w:val="List"/>
              <w:tabs>
                <w:tab w:val="left" w:pos="360"/>
              </w:tabs>
              <w:spacing w:before="0" w:line="280" w:lineRule="exact"/>
              <w:ind w:left="0" w:firstLine="0"/>
              <w:jc w:val="both"/>
              <w:rPr>
                <w:rFonts w:ascii="Arial" w:hAnsi="Arial"/>
                <w:i/>
                <w:iCs/>
              </w:rPr>
            </w:pPr>
            <w:r w:rsidRPr="00985033">
              <w:rPr>
                <w:rFonts w:ascii="Arial" w:hAnsi="Arial"/>
                <w:i/>
                <w:iCs/>
              </w:rPr>
              <w:t>N/A</w:t>
            </w:r>
          </w:p>
        </w:tc>
      </w:tr>
      <w:tr w:rsidR="00425727" w14:paraId="4211643A" w14:textId="77777777" w:rsidTr="0065605F">
        <w:tc>
          <w:tcPr>
            <w:tcW w:w="2394" w:type="dxa"/>
          </w:tcPr>
          <w:p w14:paraId="72791007" w14:textId="0553AA42" w:rsidR="00425727" w:rsidRPr="00985033" w:rsidRDefault="00425727" w:rsidP="00425727">
            <w:pPr>
              <w:pStyle w:val="List"/>
              <w:tabs>
                <w:tab w:val="left" w:pos="360"/>
              </w:tabs>
              <w:spacing w:before="0" w:line="280" w:lineRule="exact"/>
              <w:ind w:left="0" w:firstLine="0"/>
              <w:jc w:val="both"/>
              <w:rPr>
                <w:rFonts w:ascii="Arial" w:hAnsi="Arial"/>
                <w:i/>
                <w:iCs/>
              </w:rPr>
            </w:pPr>
          </w:p>
        </w:tc>
        <w:tc>
          <w:tcPr>
            <w:tcW w:w="2394" w:type="dxa"/>
          </w:tcPr>
          <w:p w14:paraId="2968C1C6" w14:textId="51C4C8AE" w:rsidR="00425727" w:rsidRPr="00985033" w:rsidRDefault="00425727" w:rsidP="00425727">
            <w:pPr>
              <w:pStyle w:val="List"/>
              <w:tabs>
                <w:tab w:val="left" w:pos="360"/>
              </w:tabs>
              <w:spacing w:before="0" w:line="280" w:lineRule="exact"/>
              <w:ind w:left="0" w:firstLine="0"/>
              <w:jc w:val="both"/>
              <w:rPr>
                <w:rFonts w:ascii="Arial" w:hAnsi="Arial"/>
                <w:i/>
                <w:iCs/>
              </w:rPr>
            </w:pPr>
          </w:p>
        </w:tc>
        <w:tc>
          <w:tcPr>
            <w:tcW w:w="2394" w:type="dxa"/>
          </w:tcPr>
          <w:p w14:paraId="32DE8BB1" w14:textId="6E6F721F" w:rsidR="00425727" w:rsidRPr="00B46BAF" w:rsidRDefault="00425727" w:rsidP="00425727">
            <w:pPr>
              <w:pStyle w:val="List"/>
              <w:tabs>
                <w:tab w:val="left" w:pos="360"/>
              </w:tabs>
              <w:spacing w:before="0" w:line="280" w:lineRule="exact"/>
              <w:ind w:left="0" w:firstLine="0"/>
              <w:rPr>
                <w:rFonts w:ascii="Arial" w:hAnsi="Arial"/>
                <w:i/>
                <w:iCs/>
                <w:lang w:val="en-US"/>
              </w:rPr>
            </w:pPr>
          </w:p>
        </w:tc>
        <w:tc>
          <w:tcPr>
            <w:tcW w:w="2394" w:type="dxa"/>
          </w:tcPr>
          <w:p w14:paraId="1EA1D913" w14:textId="1F671CB3" w:rsidR="00425727" w:rsidRPr="00985033" w:rsidRDefault="00425727" w:rsidP="00425727">
            <w:pPr>
              <w:pStyle w:val="List"/>
              <w:tabs>
                <w:tab w:val="left" w:pos="360"/>
              </w:tabs>
              <w:spacing w:before="0" w:line="280" w:lineRule="exact"/>
              <w:ind w:left="0" w:firstLine="0"/>
              <w:jc w:val="both"/>
              <w:rPr>
                <w:rFonts w:ascii="Arial" w:hAnsi="Arial"/>
                <w:i/>
                <w:iCs/>
              </w:rPr>
            </w:pPr>
          </w:p>
        </w:tc>
      </w:tr>
      <w:tr w:rsidR="00425727" w14:paraId="580F07D9" w14:textId="77777777" w:rsidTr="0065605F">
        <w:tc>
          <w:tcPr>
            <w:tcW w:w="2394" w:type="dxa"/>
          </w:tcPr>
          <w:p w14:paraId="2FC8A72A" w14:textId="77777777" w:rsidR="00425727" w:rsidRPr="00985033" w:rsidRDefault="00425727" w:rsidP="00425727">
            <w:pPr>
              <w:pStyle w:val="List"/>
              <w:tabs>
                <w:tab w:val="left" w:pos="360"/>
              </w:tabs>
              <w:spacing w:before="0" w:line="280" w:lineRule="exact"/>
              <w:ind w:left="0" w:firstLine="0"/>
              <w:jc w:val="both"/>
              <w:rPr>
                <w:rFonts w:ascii="Arial" w:hAnsi="Arial"/>
                <w:i/>
                <w:iCs/>
              </w:rPr>
            </w:pPr>
          </w:p>
        </w:tc>
        <w:tc>
          <w:tcPr>
            <w:tcW w:w="2394" w:type="dxa"/>
          </w:tcPr>
          <w:p w14:paraId="3FC1B3ED" w14:textId="77777777" w:rsidR="00425727" w:rsidRPr="00985033" w:rsidRDefault="00425727" w:rsidP="00425727">
            <w:pPr>
              <w:pStyle w:val="List"/>
              <w:tabs>
                <w:tab w:val="left" w:pos="360"/>
              </w:tabs>
              <w:spacing w:before="0" w:line="280" w:lineRule="exact"/>
              <w:ind w:left="0" w:firstLine="0"/>
              <w:jc w:val="both"/>
              <w:rPr>
                <w:rFonts w:ascii="Arial" w:hAnsi="Arial"/>
                <w:i/>
                <w:iCs/>
              </w:rPr>
            </w:pPr>
          </w:p>
        </w:tc>
        <w:tc>
          <w:tcPr>
            <w:tcW w:w="2394" w:type="dxa"/>
          </w:tcPr>
          <w:p w14:paraId="05205162" w14:textId="77777777" w:rsidR="00425727" w:rsidRPr="00B46BAF" w:rsidRDefault="00425727" w:rsidP="00425727">
            <w:pPr>
              <w:pStyle w:val="List"/>
              <w:tabs>
                <w:tab w:val="left" w:pos="360"/>
              </w:tabs>
              <w:spacing w:before="0" w:line="280" w:lineRule="exact"/>
              <w:ind w:left="0" w:firstLine="0"/>
              <w:rPr>
                <w:rFonts w:ascii="Arial" w:hAnsi="Arial"/>
                <w:i/>
                <w:iCs/>
                <w:lang w:val="en-US"/>
              </w:rPr>
            </w:pPr>
          </w:p>
        </w:tc>
        <w:tc>
          <w:tcPr>
            <w:tcW w:w="2394" w:type="dxa"/>
          </w:tcPr>
          <w:p w14:paraId="43DEDE9D" w14:textId="77777777" w:rsidR="00425727" w:rsidRPr="00985033" w:rsidRDefault="00425727" w:rsidP="00425727">
            <w:pPr>
              <w:pStyle w:val="List"/>
              <w:tabs>
                <w:tab w:val="left" w:pos="360"/>
              </w:tabs>
              <w:spacing w:before="0" w:line="280" w:lineRule="exact"/>
              <w:ind w:left="0" w:firstLine="0"/>
              <w:jc w:val="both"/>
              <w:rPr>
                <w:rFonts w:ascii="Arial" w:hAnsi="Arial"/>
                <w:i/>
                <w:iCs/>
              </w:rPr>
            </w:pPr>
          </w:p>
        </w:tc>
      </w:tr>
    </w:tbl>
    <w:p w14:paraId="226ED947" w14:textId="77777777" w:rsidR="00640E94" w:rsidRDefault="00640E94">
      <w:pPr>
        <w:pStyle w:val="List"/>
        <w:tabs>
          <w:tab w:val="left" w:pos="360"/>
        </w:tabs>
        <w:spacing w:before="120"/>
        <w:ind w:left="0" w:firstLine="0"/>
        <w:jc w:val="both"/>
        <w:rPr>
          <w:rFonts w:ascii="Arial" w:hAnsi="Arial"/>
          <w:i/>
        </w:rPr>
      </w:pPr>
      <w:r>
        <w:rPr>
          <w:rFonts w:ascii="Arial" w:hAnsi="Arial"/>
          <w:i/>
        </w:rPr>
        <w:t>(1)</w:t>
      </w:r>
      <w:r>
        <w:rPr>
          <w:rFonts w:ascii="Arial" w:hAnsi="Arial"/>
          <w:i/>
        </w:rPr>
        <w:tab/>
        <w:t>State aggregate proceeds and intended allocation of proceeds.</w:t>
      </w:r>
    </w:p>
    <w:p w14:paraId="119246F2" w14:textId="69FC914E" w:rsidR="00640E94" w:rsidRDefault="00640E94">
      <w:pPr>
        <w:pStyle w:val="List"/>
        <w:keepNext/>
        <w:keepLines/>
        <w:numPr>
          <w:ilvl w:val="0"/>
          <w:numId w:val="28"/>
        </w:numPr>
        <w:spacing w:before="120"/>
        <w:jc w:val="both"/>
        <w:rPr>
          <w:rFonts w:ascii="Arial" w:hAnsi="Arial"/>
        </w:rPr>
      </w:pPr>
      <w:r>
        <w:rPr>
          <w:rFonts w:ascii="Arial" w:hAnsi="Arial"/>
        </w:rPr>
        <w:t>Provide details of any loans to or by Related Persons.</w:t>
      </w:r>
    </w:p>
    <w:p w14:paraId="2E1B34C8" w14:textId="77777777" w:rsidR="00A63323" w:rsidRPr="00246109" w:rsidRDefault="00A63323" w:rsidP="00A63323">
      <w:pPr>
        <w:pStyle w:val="List"/>
        <w:spacing w:before="120"/>
        <w:ind w:left="720" w:firstLine="0"/>
        <w:jc w:val="both"/>
        <w:rPr>
          <w:rFonts w:ascii="Arial" w:hAnsi="Arial"/>
          <w:i/>
          <w:iCs/>
        </w:rPr>
      </w:pPr>
      <w:r w:rsidRPr="00246109">
        <w:rPr>
          <w:rFonts w:ascii="Arial" w:hAnsi="Arial"/>
          <w:i/>
          <w:iCs/>
        </w:rPr>
        <w:t>Not applicable</w:t>
      </w:r>
    </w:p>
    <w:p w14:paraId="33B876B3" w14:textId="2D9ED11C" w:rsidR="00640E94" w:rsidRDefault="00640E94">
      <w:pPr>
        <w:pStyle w:val="List"/>
        <w:keepNext/>
        <w:keepLines/>
        <w:numPr>
          <w:ilvl w:val="0"/>
          <w:numId w:val="28"/>
        </w:numPr>
        <w:spacing w:before="120"/>
        <w:jc w:val="both"/>
        <w:rPr>
          <w:rFonts w:ascii="Arial" w:hAnsi="Arial"/>
        </w:rPr>
      </w:pPr>
      <w:r>
        <w:rPr>
          <w:rFonts w:ascii="Arial" w:hAnsi="Arial"/>
        </w:rPr>
        <w:t>Provide details of any changes in directors, officers or committee members.</w:t>
      </w:r>
    </w:p>
    <w:p w14:paraId="1D1DD2E5" w14:textId="77777777" w:rsidR="005335A1" w:rsidRPr="00246109" w:rsidRDefault="005335A1" w:rsidP="005335A1">
      <w:pPr>
        <w:pStyle w:val="List"/>
        <w:spacing w:before="120"/>
        <w:ind w:left="720" w:firstLine="0"/>
        <w:jc w:val="both"/>
        <w:rPr>
          <w:rFonts w:ascii="Arial" w:hAnsi="Arial"/>
          <w:i/>
          <w:iCs/>
        </w:rPr>
      </w:pPr>
      <w:r w:rsidRPr="00246109">
        <w:rPr>
          <w:rFonts w:ascii="Arial" w:hAnsi="Arial"/>
          <w:i/>
          <w:iCs/>
        </w:rPr>
        <w:t>Not applicable</w:t>
      </w:r>
    </w:p>
    <w:p w14:paraId="46AE8120" w14:textId="459DD35E" w:rsidR="00640E94" w:rsidRDefault="00640E94">
      <w:pPr>
        <w:pStyle w:val="List"/>
        <w:numPr>
          <w:ilvl w:val="0"/>
          <w:numId w:val="28"/>
        </w:numPr>
        <w:spacing w:before="120"/>
        <w:jc w:val="both"/>
        <w:rPr>
          <w:rFonts w:ascii="Arial" w:hAnsi="Arial"/>
        </w:rPr>
      </w:pPr>
      <w:r>
        <w:rPr>
          <w:rFonts w:ascii="Arial" w:hAnsi="Arial"/>
        </w:rPr>
        <w:t>Discuss any trends which are likely to impact the Issuer including trends in the Issuer’s market(s) or political/regulatory trends.</w:t>
      </w:r>
    </w:p>
    <w:p w14:paraId="750BFF9A" w14:textId="565F2C72" w:rsidR="00543B05" w:rsidRPr="00543B05" w:rsidRDefault="00543B05" w:rsidP="00543B05">
      <w:pPr>
        <w:pStyle w:val="List"/>
        <w:spacing w:before="120"/>
        <w:ind w:left="720" w:firstLine="0"/>
        <w:jc w:val="both"/>
        <w:rPr>
          <w:rFonts w:ascii="Arial" w:hAnsi="Arial"/>
          <w:i/>
          <w:iCs/>
        </w:rPr>
      </w:pPr>
      <w:r w:rsidRPr="00543B05">
        <w:rPr>
          <w:rFonts w:ascii="Arial" w:hAnsi="Arial"/>
          <w:i/>
          <w:iCs/>
        </w:rPr>
        <w:lastRenderedPageBreak/>
        <w:t>Recent global issues, including ongoing geopolitical conflict</w:t>
      </w:r>
      <w:r w:rsidR="0090777F">
        <w:rPr>
          <w:rFonts w:ascii="Arial" w:hAnsi="Arial"/>
          <w:i/>
          <w:iCs/>
        </w:rPr>
        <w:t>s</w:t>
      </w:r>
      <w:r w:rsidRPr="00543B05">
        <w:rPr>
          <w:rFonts w:ascii="Arial" w:hAnsi="Arial"/>
          <w:i/>
          <w:iCs/>
        </w:rPr>
        <w:t xml:space="preserve"> have adversely affected workplaces, economies, supply chains and financial markets globally. It is not possible for the Issuer to predict the duration or magnitude of the adverse results of these issues and their effects on the Issuer’s business or results of operations at this time.</w:t>
      </w:r>
    </w:p>
    <w:p w14:paraId="2CA3876B" w14:textId="6859ABD5" w:rsidR="00F8624C" w:rsidRPr="00246109" w:rsidRDefault="00F8624C" w:rsidP="00F8624C">
      <w:pPr>
        <w:pStyle w:val="List"/>
        <w:spacing w:before="120"/>
        <w:ind w:left="630"/>
        <w:jc w:val="both"/>
        <w:rPr>
          <w:rFonts w:ascii="Arial" w:hAnsi="Arial" w:cs="Arial"/>
          <w:i/>
          <w:iCs/>
        </w:rPr>
      </w:pPr>
    </w:p>
    <w:p w14:paraId="68B10A1B" w14:textId="77777777" w:rsidR="00F8624C" w:rsidRDefault="00F8624C" w:rsidP="00F8624C">
      <w:pPr>
        <w:pStyle w:val="List"/>
        <w:spacing w:before="120"/>
        <w:ind w:left="0" w:firstLine="90"/>
        <w:jc w:val="both"/>
        <w:rPr>
          <w:rFonts w:ascii="Arial" w:hAnsi="Arial"/>
        </w:rPr>
      </w:pPr>
    </w:p>
    <w:p w14:paraId="2F9C8922" w14:textId="77777777" w:rsidR="00640E94" w:rsidRDefault="00640E94">
      <w:pPr>
        <w:pStyle w:val="List"/>
        <w:keepNext/>
        <w:spacing w:before="120"/>
        <w:ind w:left="0" w:firstLine="0"/>
        <w:rPr>
          <w:rFonts w:ascii="Arial" w:hAnsi="Arial"/>
          <w:b/>
        </w:rPr>
      </w:pPr>
      <w:r>
        <w:rPr>
          <w:rFonts w:ascii="Arial" w:hAnsi="Arial"/>
          <w:b/>
        </w:rPr>
        <w:br w:type="page"/>
      </w:r>
      <w:r>
        <w:rPr>
          <w:rFonts w:ascii="Arial" w:hAnsi="Arial"/>
          <w:b/>
        </w:rPr>
        <w:lastRenderedPageBreak/>
        <w:t>Certificate Of Compliance</w:t>
      </w:r>
    </w:p>
    <w:p w14:paraId="2345B565" w14:textId="77777777" w:rsidR="00640E94" w:rsidRDefault="00640E94">
      <w:pPr>
        <w:pStyle w:val="BodyText"/>
        <w:keepNext/>
        <w:rPr>
          <w:rFonts w:ascii="Arial" w:hAnsi="Arial"/>
        </w:rPr>
      </w:pPr>
      <w:r>
        <w:rPr>
          <w:rFonts w:ascii="Arial" w:hAnsi="Arial"/>
        </w:rPr>
        <w:t>The undersigned hereby certifies that:</w:t>
      </w:r>
    </w:p>
    <w:p w14:paraId="444CA794" w14:textId="77777777" w:rsidR="00640E94" w:rsidRDefault="00640E94">
      <w:pPr>
        <w:pStyle w:val="List"/>
        <w:keepNext/>
        <w:numPr>
          <w:ilvl w:val="0"/>
          <w:numId w:val="23"/>
        </w:numPr>
        <w:jc w:val="both"/>
        <w:rPr>
          <w:rFonts w:ascii="Arial" w:hAnsi="Arial"/>
        </w:rPr>
      </w:pPr>
      <w:r>
        <w:rPr>
          <w:rFonts w:ascii="Arial" w:hAnsi="Arial"/>
        </w:rPr>
        <w:t>The undersigned is a director and/or senior officer of the Issuer and has been duly authorized by a resolution of the board of directors of the Issuer to sign this Certificate of Compliance.</w:t>
      </w:r>
    </w:p>
    <w:p w14:paraId="4BC5A1F8" w14:textId="77777777" w:rsidR="00640E94" w:rsidRDefault="00640E94">
      <w:pPr>
        <w:pStyle w:val="List"/>
        <w:numPr>
          <w:ilvl w:val="0"/>
          <w:numId w:val="23"/>
        </w:numPr>
        <w:jc w:val="both"/>
        <w:rPr>
          <w:rFonts w:ascii="Arial" w:hAnsi="Arial"/>
        </w:rPr>
      </w:pPr>
      <w:r>
        <w:rPr>
          <w:rFonts w:ascii="Arial" w:hAnsi="Arial"/>
        </w:rPr>
        <w:t>As of the date hereof there were is no material information concerning the Issuer which has not been publicly disclosed.</w:t>
      </w:r>
    </w:p>
    <w:p w14:paraId="77E392B0" w14:textId="77777777" w:rsidR="00640E94" w:rsidRDefault="00640E94">
      <w:pPr>
        <w:pStyle w:val="List"/>
        <w:numPr>
          <w:ilvl w:val="0"/>
          <w:numId w:val="23"/>
        </w:numPr>
        <w:jc w:val="both"/>
        <w:rPr>
          <w:rFonts w:ascii="Arial" w:hAnsi="Arial"/>
        </w:rPr>
      </w:pPr>
      <w:r>
        <w:rPr>
          <w:rFonts w:ascii="Arial" w:hAnsi="Arial"/>
        </w:rPr>
        <w:t xml:space="preserve">The undersigned hereby certifies to </w:t>
      </w:r>
      <w:r w:rsidR="008B7E92">
        <w:rPr>
          <w:rFonts w:ascii="Arial" w:hAnsi="Arial"/>
        </w:rPr>
        <w:t xml:space="preserve">the Exchange </w:t>
      </w:r>
      <w:r>
        <w:rPr>
          <w:rFonts w:ascii="Arial" w:hAnsi="Arial"/>
        </w:rPr>
        <w:t xml:space="preserve">that the Issuer is in compliance with the requirements of </w:t>
      </w:r>
      <w:r w:rsidR="00E36141">
        <w:rPr>
          <w:rFonts w:ascii="Arial" w:hAnsi="Arial"/>
        </w:rPr>
        <w:t xml:space="preserve">applicable securities legislation (as such term is defined in National Instrument 14-101) </w:t>
      </w:r>
      <w:r>
        <w:rPr>
          <w:rFonts w:ascii="Arial" w:hAnsi="Arial"/>
        </w:rPr>
        <w:t xml:space="preserve">and all </w:t>
      </w:r>
      <w:r w:rsidR="008B7E92">
        <w:rPr>
          <w:rFonts w:ascii="Arial" w:hAnsi="Arial"/>
        </w:rPr>
        <w:t xml:space="preserve">Exchange </w:t>
      </w:r>
      <w:r>
        <w:rPr>
          <w:rFonts w:ascii="Arial" w:hAnsi="Arial"/>
        </w:rPr>
        <w:t xml:space="preserve">Requirements (as defined in </w:t>
      </w:r>
      <w:r w:rsidR="003669A9">
        <w:rPr>
          <w:rFonts w:ascii="Arial" w:hAnsi="Arial"/>
        </w:rPr>
        <w:t>CNSX</w:t>
      </w:r>
      <w:r>
        <w:rPr>
          <w:rFonts w:ascii="Arial" w:hAnsi="Arial"/>
        </w:rPr>
        <w:t xml:space="preserve"> Policy 1).</w:t>
      </w:r>
    </w:p>
    <w:p w14:paraId="707F63D8" w14:textId="77777777" w:rsidR="00640E94" w:rsidRDefault="00640E94">
      <w:pPr>
        <w:pStyle w:val="List"/>
        <w:numPr>
          <w:ilvl w:val="0"/>
          <w:numId w:val="23"/>
        </w:numPr>
        <w:jc w:val="both"/>
        <w:rPr>
          <w:rFonts w:ascii="Arial" w:hAnsi="Arial"/>
        </w:rPr>
      </w:pPr>
      <w:r>
        <w:rPr>
          <w:rFonts w:ascii="Arial" w:hAnsi="Arial"/>
        </w:rPr>
        <w:t>All of the information in this Form 7 Monthly Progress Report is true.</w:t>
      </w:r>
    </w:p>
    <w:p w14:paraId="622643B0" w14:textId="63CB16EC" w:rsidR="00640E94" w:rsidRDefault="00640E94">
      <w:pPr>
        <w:pStyle w:val="BodyText"/>
        <w:tabs>
          <w:tab w:val="left" w:pos="4680"/>
          <w:tab w:val="left" w:pos="7200"/>
        </w:tabs>
        <w:spacing w:before="480"/>
        <w:jc w:val="both"/>
        <w:rPr>
          <w:rFonts w:ascii="Arial" w:hAnsi="Arial"/>
        </w:rPr>
      </w:pPr>
      <w:r>
        <w:rPr>
          <w:rFonts w:ascii="Arial" w:hAnsi="Arial"/>
        </w:rPr>
        <w:t xml:space="preserve">Dated </w:t>
      </w:r>
      <w:r w:rsidR="009134CB">
        <w:rPr>
          <w:rFonts w:ascii="Arial" w:hAnsi="Arial"/>
        </w:rPr>
        <w:t xml:space="preserve">    </w:t>
      </w:r>
      <w:r w:rsidR="0039674E">
        <w:rPr>
          <w:rFonts w:ascii="Arial" w:hAnsi="Arial"/>
          <w:u w:val="single"/>
        </w:rPr>
        <w:t>April</w:t>
      </w:r>
      <w:r w:rsidR="00745939">
        <w:rPr>
          <w:rFonts w:ascii="Arial" w:hAnsi="Arial"/>
          <w:u w:val="single"/>
        </w:rPr>
        <w:t xml:space="preserve"> 0</w:t>
      </w:r>
      <w:r w:rsidR="00D92031">
        <w:rPr>
          <w:rFonts w:ascii="Arial" w:hAnsi="Arial"/>
          <w:u w:val="single"/>
        </w:rPr>
        <w:t>6</w:t>
      </w:r>
      <w:r w:rsidR="00507417" w:rsidRPr="00644C96">
        <w:rPr>
          <w:rFonts w:ascii="Arial" w:hAnsi="Arial"/>
          <w:u w:val="single"/>
        </w:rPr>
        <w:t>,</w:t>
      </w:r>
      <w:r w:rsidR="009134CB" w:rsidRPr="00644C96">
        <w:rPr>
          <w:rFonts w:ascii="Arial" w:hAnsi="Arial"/>
          <w:u w:val="single"/>
        </w:rPr>
        <w:t xml:space="preserve"> 202</w:t>
      </w:r>
      <w:r w:rsidR="00745939">
        <w:rPr>
          <w:rFonts w:ascii="Arial" w:hAnsi="Arial"/>
          <w:u w:val="single"/>
        </w:rPr>
        <w:t>6</w:t>
      </w:r>
      <w:r>
        <w:rPr>
          <w:rFonts w:ascii="Arial" w:hAnsi="Arial"/>
          <w:u w:val="single"/>
        </w:rPr>
        <w:tab/>
      </w:r>
    </w:p>
    <w:p w14:paraId="70FF9844" w14:textId="347C51C0" w:rsidR="00640E94" w:rsidRDefault="00640E94">
      <w:pPr>
        <w:pStyle w:val="List"/>
        <w:tabs>
          <w:tab w:val="left" w:pos="9180"/>
        </w:tabs>
        <w:ind w:left="5760" w:hanging="5760"/>
        <w:rPr>
          <w:rFonts w:ascii="Arial" w:hAnsi="Arial"/>
        </w:rPr>
      </w:pPr>
      <w:r>
        <w:rPr>
          <w:rFonts w:ascii="Arial" w:hAnsi="Arial"/>
        </w:rPr>
        <w:tab/>
      </w:r>
      <w:r w:rsidR="00BA240C" w:rsidRPr="00BA240C">
        <w:rPr>
          <w:rFonts w:ascii="Arial" w:hAnsi="Arial"/>
          <w:u w:val="single"/>
        </w:rPr>
        <w:t>Len Brownlie</w:t>
      </w:r>
      <w:r>
        <w:rPr>
          <w:rFonts w:ascii="Arial" w:hAnsi="Arial"/>
          <w:u w:val="single"/>
        </w:rPr>
        <w:tab/>
      </w:r>
      <w:r>
        <w:rPr>
          <w:rFonts w:ascii="Arial" w:hAnsi="Arial"/>
          <w:u w:val="single"/>
        </w:rPr>
        <w:br/>
      </w:r>
      <w:r>
        <w:rPr>
          <w:rFonts w:ascii="Arial" w:hAnsi="Arial"/>
        </w:rPr>
        <w:t>Name of Director or Senior Officer</w:t>
      </w:r>
    </w:p>
    <w:p w14:paraId="18816709" w14:textId="482FFF7D" w:rsidR="00640E94" w:rsidRDefault="00640E94">
      <w:pPr>
        <w:pStyle w:val="List"/>
        <w:tabs>
          <w:tab w:val="left" w:pos="9180"/>
          <w:tab w:val="left" w:pos="9360"/>
        </w:tabs>
        <w:ind w:left="5760" w:hanging="5760"/>
        <w:rPr>
          <w:rFonts w:ascii="Arial" w:hAnsi="Arial"/>
        </w:rPr>
      </w:pPr>
      <w:r>
        <w:rPr>
          <w:rFonts w:ascii="Arial" w:hAnsi="Arial"/>
        </w:rPr>
        <w:tab/>
      </w:r>
      <w:r w:rsidR="009134CB" w:rsidRPr="009134CB">
        <w:rPr>
          <w:rFonts w:ascii="Arial" w:hAnsi="Arial"/>
          <w:i/>
          <w:iCs/>
        </w:rPr>
        <w:t>“</w:t>
      </w:r>
      <w:r w:rsidR="00BA240C" w:rsidRPr="00BA240C">
        <w:rPr>
          <w:rFonts w:ascii="Arial" w:hAnsi="Arial"/>
          <w:i/>
          <w:iCs/>
          <w:u w:val="single"/>
        </w:rPr>
        <w:t>Len Brownlie</w:t>
      </w:r>
      <w:r w:rsidR="009134CB" w:rsidRPr="009134CB">
        <w:rPr>
          <w:rFonts w:ascii="Arial" w:hAnsi="Arial"/>
          <w:i/>
          <w:iCs/>
          <w:u w:val="single"/>
        </w:rPr>
        <w:t>”</w:t>
      </w:r>
      <w:r>
        <w:rPr>
          <w:rFonts w:ascii="Arial" w:hAnsi="Arial"/>
          <w:u w:val="single"/>
        </w:rPr>
        <w:tab/>
      </w:r>
      <w:r>
        <w:rPr>
          <w:rFonts w:ascii="Arial" w:hAnsi="Arial"/>
        </w:rPr>
        <w:br/>
        <w:t>Signature</w:t>
      </w:r>
    </w:p>
    <w:p w14:paraId="375A8156" w14:textId="66DF5005" w:rsidR="00640E94" w:rsidRDefault="00BA240C">
      <w:pPr>
        <w:pStyle w:val="BodyText"/>
        <w:tabs>
          <w:tab w:val="left" w:pos="9180"/>
        </w:tabs>
        <w:spacing w:before="0"/>
        <w:ind w:left="5760"/>
        <w:rPr>
          <w:rFonts w:ascii="Arial" w:hAnsi="Arial"/>
        </w:rPr>
      </w:pPr>
      <w:r>
        <w:rPr>
          <w:rFonts w:ascii="Arial" w:hAnsi="Arial"/>
          <w:u w:val="single"/>
        </w:rPr>
        <w:t>CEO</w:t>
      </w:r>
      <w:r w:rsidR="00640E94">
        <w:rPr>
          <w:rFonts w:ascii="Arial" w:hAnsi="Arial"/>
          <w:u w:val="single"/>
        </w:rPr>
        <w:tab/>
      </w:r>
      <w:r w:rsidR="00640E94">
        <w:rPr>
          <w:rFonts w:ascii="Arial" w:hAnsi="Arial"/>
        </w:rPr>
        <w:br/>
        <w:t>Official Capacity</w:t>
      </w:r>
      <w:bookmarkEnd w:id="4"/>
    </w:p>
    <w:p w14:paraId="26209B82" w14:textId="77777777" w:rsidR="00640E94" w:rsidRDefault="00640E94">
      <w:pPr>
        <w:pStyle w:val="BodyText"/>
        <w:tabs>
          <w:tab w:val="left" w:pos="9180"/>
        </w:tabs>
        <w:spacing w:before="0"/>
        <w:ind w:left="5760"/>
        <w:rPr>
          <w:rFonts w:ascii="Arial" w:hAnsi="Arial"/>
        </w:rPr>
      </w:pP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4878"/>
        <w:gridCol w:w="1800"/>
        <w:gridCol w:w="2898"/>
      </w:tblGrid>
      <w:tr w:rsidR="00640E94" w14:paraId="03D321AC" w14:textId="77777777">
        <w:tc>
          <w:tcPr>
            <w:tcW w:w="4878" w:type="dxa"/>
            <w:tcBorders>
              <w:top w:val="single" w:sz="18" w:space="0" w:color="auto"/>
              <w:bottom w:val="nil"/>
              <w:right w:val="single" w:sz="18" w:space="0" w:color="auto"/>
            </w:tcBorders>
          </w:tcPr>
          <w:p w14:paraId="4BFA86D8" w14:textId="77777777" w:rsidR="00640E94" w:rsidRDefault="00640E94">
            <w:pPr>
              <w:pStyle w:val="BodyText"/>
              <w:spacing w:before="0"/>
              <w:rPr>
                <w:rFonts w:ascii="Arial" w:hAnsi="Arial"/>
                <w:b/>
                <w:i/>
              </w:rPr>
            </w:pPr>
            <w:r>
              <w:rPr>
                <w:rFonts w:ascii="Arial" w:hAnsi="Arial"/>
                <w:b/>
                <w:i/>
              </w:rPr>
              <w:t>Issuer Details</w:t>
            </w:r>
          </w:p>
          <w:p w14:paraId="6513E448" w14:textId="77777777" w:rsidR="00640E94" w:rsidRDefault="00640E94">
            <w:pPr>
              <w:pStyle w:val="BodyText"/>
              <w:spacing w:before="0"/>
              <w:rPr>
                <w:rFonts w:ascii="Arial" w:hAnsi="Arial"/>
              </w:rPr>
            </w:pPr>
            <w:r>
              <w:rPr>
                <w:rFonts w:ascii="Arial" w:hAnsi="Arial"/>
              </w:rPr>
              <w:t>Name of Issuer</w:t>
            </w:r>
          </w:p>
          <w:p w14:paraId="472999DD" w14:textId="186C9E41" w:rsidR="00640E94" w:rsidRDefault="009134CB">
            <w:pPr>
              <w:pStyle w:val="BodyText"/>
              <w:rPr>
                <w:rFonts w:ascii="Arial" w:hAnsi="Arial"/>
              </w:rPr>
            </w:pPr>
            <w:r>
              <w:rPr>
                <w:rFonts w:ascii="Arial" w:hAnsi="Arial"/>
              </w:rPr>
              <w:t>Prospect Ridge Resources</w:t>
            </w:r>
            <w:r w:rsidR="006D7630">
              <w:rPr>
                <w:rFonts w:ascii="Arial" w:hAnsi="Arial"/>
              </w:rPr>
              <w:t xml:space="preserve"> Corp.</w:t>
            </w:r>
          </w:p>
        </w:tc>
        <w:tc>
          <w:tcPr>
            <w:tcW w:w="1800" w:type="dxa"/>
            <w:tcBorders>
              <w:top w:val="single" w:sz="18" w:space="0" w:color="auto"/>
              <w:left w:val="single" w:sz="18" w:space="0" w:color="auto"/>
              <w:bottom w:val="nil"/>
              <w:right w:val="single" w:sz="18" w:space="0" w:color="auto"/>
            </w:tcBorders>
          </w:tcPr>
          <w:p w14:paraId="66426CD4" w14:textId="77777777" w:rsidR="00640E94" w:rsidRDefault="00640E94">
            <w:pPr>
              <w:pStyle w:val="BodyText"/>
              <w:spacing w:before="0"/>
              <w:rPr>
                <w:rFonts w:ascii="Arial" w:hAnsi="Arial"/>
              </w:rPr>
            </w:pPr>
            <w:r>
              <w:rPr>
                <w:rFonts w:ascii="Arial" w:hAnsi="Arial"/>
              </w:rPr>
              <w:t>For  Month End</w:t>
            </w:r>
          </w:p>
          <w:p w14:paraId="74B4848C" w14:textId="77777777" w:rsidR="009134CB" w:rsidRDefault="009134CB">
            <w:pPr>
              <w:pStyle w:val="BodyText"/>
              <w:spacing w:before="0"/>
              <w:rPr>
                <w:rFonts w:ascii="Arial" w:hAnsi="Arial"/>
              </w:rPr>
            </w:pPr>
          </w:p>
          <w:p w14:paraId="220088DB" w14:textId="3C0B9205" w:rsidR="009134CB" w:rsidRDefault="0039674E">
            <w:pPr>
              <w:pStyle w:val="BodyText"/>
              <w:spacing w:before="0"/>
              <w:rPr>
                <w:rFonts w:ascii="Arial" w:hAnsi="Arial"/>
              </w:rPr>
            </w:pPr>
            <w:r>
              <w:rPr>
                <w:rFonts w:ascii="Arial" w:hAnsi="Arial"/>
              </w:rPr>
              <w:t>March</w:t>
            </w:r>
            <w:r w:rsidR="008726BD">
              <w:rPr>
                <w:rFonts w:ascii="Arial" w:hAnsi="Arial"/>
              </w:rPr>
              <w:t xml:space="preserve"> </w:t>
            </w:r>
            <w:r w:rsidR="00543B05">
              <w:rPr>
                <w:rFonts w:ascii="Arial" w:hAnsi="Arial"/>
              </w:rPr>
              <w:t>202</w:t>
            </w:r>
            <w:r w:rsidR="008726BD">
              <w:rPr>
                <w:rFonts w:ascii="Arial" w:hAnsi="Arial"/>
              </w:rPr>
              <w:t>6</w:t>
            </w:r>
          </w:p>
        </w:tc>
        <w:tc>
          <w:tcPr>
            <w:tcW w:w="2898" w:type="dxa"/>
            <w:tcBorders>
              <w:top w:val="single" w:sz="18" w:space="0" w:color="auto"/>
              <w:left w:val="single" w:sz="18" w:space="0" w:color="auto"/>
              <w:bottom w:val="nil"/>
            </w:tcBorders>
          </w:tcPr>
          <w:p w14:paraId="098EFDAC" w14:textId="77777777" w:rsidR="00640E94" w:rsidRDefault="00640E94">
            <w:pPr>
              <w:pStyle w:val="BodyText"/>
              <w:spacing w:before="0"/>
              <w:rPr>
                <w:rFonts w:ascii="Arial" w:hAnsi="Arial"/>
              </w:rPr>
            </w:pPr>
            <w:r>
              <w:rPr>
                <w:rFonts w:ascii="Arial" w:hAnsi="Arial"/>
              </w:rPr>
              <w:t>Date of Report</w:t>
            </w:r>
          </w:p>
          <w:p w14:paraId="61A00F99" w14:textId="77777777" w:rsidR="00640E94" w:rsidRDefault="00640E94">
            <w:pPr>
              <w:pStyle w:val="BodyText"/>
              <w:spacing w:before="0"/>
              <w:rPr>
                <w:rFonts w:ascii="Arial" w:hAnsi="Arial"/>
              </w:rPr>
            </w:pPr>
            <w:r>
              <w:rPr>
                <w:rFonts w:ascii="Arial" w:hAnsi="Arial"/>
              </w:rPr>
              <w:t>YY/MM/D</w:t>
            </w:r>
          </w:p>
          <w:p w14:paraId="241572B5" w14:textId="77777777" w:rsidR="009134CB" w:rsidRDefault="009134CB">
            <w:pPr>
              <w:pStyle w:val="BodyText"/>
              <w:spacing w:before="0"/>
              <w:rPr>
                <w:rFonts w:ascii="Arial" w:hAnsi="Arial"/>
              </w:rPr>
            </w:pPr>
          </w:p>
          <w:p w14:paraId="4DA6673B" w14:textId="75AB2D8E" w:rsidR="009134CB" w:rsidRDefault="00EA10B4">
            <w:pPr>
              <w:pStyle w:val="BodyText"/>
              <w:spacing w:before="0"/>
              <w:rPr>
                <w:rFonts w:ascii="Arial" w:hAnsi="Arial"/>
              </w:rPr>
            </w:pPr>
            <w:r w:rsidRPr="00657ABB">
              <w:rPr>
                <w:rFonts w:ascii="Arial" w:hAnsi="Arial"/>
              </w:rPr>
              <w:t>202</w:t>
            </w:r>
            <w:r w:rsidR="00745939">
              <w:rPr>
                <w:rFonts w:ascii="Arial" w:hAnsi="Arial"/>
              </w:rPr>
              <w:t>6</w:t>
            </w:r>
            <w:r w:rsidRPr="00657ABB">
              <w:rPr>
                <w:rFonts w:ascii="Arial" w:hAnsi="Arial"/>
              </w:rPr>
              <w:t>/</w:t>
            </w:r>
            <w:r w:rsidR="00745939">
              <w:rPr>
                <w:rFonts w:ascii="Arial" w:hAnsi="Arial"/>
              </w:rPr>
              <w:t>0</w:t>
            </w:r>
            <w:r w:rsidR="0039674E">
              <w:rPr>
                <w:rFonts w:ascii="Arial" w:hAnsi="Arial"/>
              </w:rPr>
              <w:t>4</w:t>
            </w:r>
            <w:r w:rsidR="00543B05">
              <w:rPr>
                <w:rFonts w:ascii="Arial" w:hAnsi="Arial"/>
              </w:rPr>
              <w:t>/0</w:t>
            </w:r>
            <w:r w:rsidR="00D92031">
              <w:rPr>
                <w:rFonts w:ascii="Arial" w:hAnsi="Arial"/>
              </w:rPr>
              <w:t>6</w:t>
            </w:r>
          </w:p>
        </w:tc>
      </w:tr>
      <w:tr w:rsidR="00640E94" w14:paraId="490B206A" w14:textId="77777777">
        <w:trPr>
          <w:cantSplit/>
        </w:trPr>
        <w:tc>
          <w:tcPr>
            <w:tcW w:w="9576" w:type="dxa"/>
            <w:gridSpan w:val="3"/>
            <w:tcBorders>
              <w:top w:val="single" w:sz="18" w:space="0" w:color="auto"/>
              <w:bottom w:val="single" w:sz="18" w:space="0" w:color="auto"/>
            </w:tcBorders>
          </w:tcPr>
          <w:p w14:paraId="55BF71CA" w14:textId="6F51D144" w:rsidR="00640E94" w:rsidRPr="006C75A4" w:rsidRDefault="00640E94">
            <w:pPr>
              <w:pStyle w:val="BodyText"/>
              <w:spacing w:before="0"/>
              <w:rPr>
                <w:rFonts w:ascii="Arial" w:hAnsi="Arial"/>
              </w:rPr>
            </w:pPr>
            <w:r w:rsidRPr="006C75A4">
              <w:rPr>
                <w:rFonts w:ascii="Arial" w:hAnsi="Arial"/>
              </w:rPr>
              <w:t>Issuer Address</w:t>
            </w:r>
          </w:p>
          <w:p w14:paraId="5A8C0791" w14:textId="58434290" w:rsidR="00640E94" w:rsidRPr="006C75A4" w:rsidRDefault="000838FB" w:rsidP="00353E71">
            <w:pPr>
              <w:pStyle w:val="BodyText"/>
              <w:rPr>
                <w:rFonts w:ascii="Arial" w:hAnsi="Arial"/>
              </w:rPr>
            </w:pPr>
            <w:r w:rsidRPr="006C75A4">
              <w:rPr>
                <w:rFonts w:ascii="Arial" w:hAnsi="Arial"/>
                <w:lang w:val="en-US"/>
              </w:rPr>
              <w:t>24549 - 53 Avenue</w:t>
            </w:r>
          </w:p>
        </w:tc>
      </w:tr>
      <w:tr w:rsidR="00640E94" w14:paraId="55E29BE2" w14:textId="77777777">
        <w:tc>
          <w:tcPr>
            <w:tcW w:w="4878" w:type="dxa"/>
            <w:tcBorders>
              <w:top w:val="single" w:sz="18" w:space="0" w:color="auto"/>
              <w:bottom w:val="single" w:sz="18" w:space="0" w:color="auto"/>
              <w:right w:val="single" w:sz="18" w:space="0" w:color="auto"/>
            </w:tcBorders>
          </w:tcPr>
          <w:p w14:paraId="4AE75B13" w14:textId="77777777" w:rsidR="00640E94" w:rsidRPr="006C75A4" w:rsidRDefault="00640E94">
            <w:pPr>
              <w:pStyle w:val="BodyText"/>
              <w:spacing w:before="0"/>
              <w:rPr>
                <w:rFonts w:ascii="Arial" w:hAnsi="Arial"/>
                <w:lang w:val="fr-CA"/>
              </w:rPr>
            </w:pPr>
            <w:r w:rsidRPr="006C75A4">
              <w:rPr>
                <w:rFonts w:ascii="Arial" w:hAnsi="Arial"/>
                <w:lang w:val="fr-CA"/>
              </w:rPr>
              <w:t>City/Province/Postal Code</w:t>
            </w:r>
          </w:p>
          <w:p w14:paraId="4563BB9D" w14:textId="5E149BEB" w:rsidR="00640E94" w:rsidRPr="006C75A4" w:rsidRDefault="000838FB" w:rsidP="00353E71">
            <w:pPr>
              <w:pStyle w:val="BodyText"/>
              <w:rPr>
                <w:rFonts w:ascii="Arial" w:hAnsi="Arial"/>
                <w:lang w:val="fr-CA"/>
              </w:rPr>
            </w:pPr>
            <w:r w:rsidRPr="006C75A4">
              <w:rPr>
                <w:rFonts w:ascii="Arial" w:hAnsi="Arial"/>
              </w:rPr>
              <w:t>Langley</w:t>
            </w:r>
            <w:r w:rsidR="00195292" w:rsidRPr="006C75A4">
              <w:rPr>
                <w:rFonts w:ascii="Arial" w:hAnsi="Arial"/>
              </w:rPr>
              <w:t xml:space="preserve">, BC </w:t>
            </w:r>
            <w:r w:rsidRPr="006C75A4">
              <w:rPr>
                <w:rFonts w:ascii="Arial" w:hAnsi="Arial"/>
                <w:lang w:val="en-US"/>
              </w:rPr>
              <w:t>V2Z 1H6</w:t>
            </w:r>
          </w:p>
        </w:tc>
        <w:tc>
          <w:tcPr>
            <w:tcW w:w="1800" w:type="dxa"/>
            <w:tcBorders>
              <w:top w:val="single" w:sz="18" w:space="0" w:color="auto"/>
              <w:left w:val="single" w:sz="18" w:space="0" w:color="auto"/>
              <w:bottom w:val="single" w:sz="18" w:space="0" w:color="auto"/>
              <w:right w:val="single" w:sz="18" w:space="0" w:color="auto"/>
            </w:tcBorders>
          </w:tcPr>
          <w:p w14:paraId="1E213DE5" w14:textId="77777777" w:rsidR="00640E94" w:rsidRPr="006C75A4" w:rsidRDefault="00640E94">
            <w:pPr>
              <w:pStyle w:val="BodyText"/>
              <w:spacing w:before="0"/>
              <w:rPr>
                <w:rFonts w:ascii="Arial" w:hAnsi="Arial"/>
              </w:rPr>
            </w:pPr>
            <w:r w:rsidRPr="006C75A4">
              <w:rPr>
                <w:rFonts w:ascii="Arial" w:hAnsi="Arial"/>
              </w:rPr>
              <w:t>Issuer Fax No.</w:t>
            </w:r>
          </w:p>
          <w:p w14:paraId="0172E114" w14:textId="77777777" w:rsidR="00246109" w:rsidRPr="006C75A4" w:rsidRDefault="00246109">
            <w:pPr>
              <w:pStyle w:val="BodyText"/>
              <w:spacing w:before="0"/>
              <w:rPr>
                <w:rFonts w:ascii="Arial" w:hAnsi="Arial"/>
              </w:rPr>
            </w:pPr>
          </w:p>
          <w:p w14:paraId="7C503515" w14:textId="47542095" w:rsidR="009134CB" w:rsidRPr="006C75A4" w:rsidRDefault="009134CB">
            <w:pPr>
              <w:pStyle w:val="BodyText"/>
              <w:spacing w:before="0"/>
              <w:rPr>
                <w:rFonts w:ascii="Arial" w:hAnsi="Arial"/>
              </w:rPr>
            </w:pPr>
            <w:r w:rsidRPr="006C75A4">
              <w:rPr>
                <w:rFonts w:ascii="Arial" w:hAnsi="Arial"/>
              </w:rPr>
              <w:t>N/A</w:t>
            </w:r>
          </w:p>
        </w:tc>
        <w:tc>
          <w:tcPr>
            <w:tcW w:w="2898" w:type="dxa"/>
            <w:tcBorders>
              <w:top w:val="single" w:sz="18" w:space="0" w:color="auto"/>
              <w:left w:val="single" w:sz="18" w:space="0" w:color="auto"/>
              <w:bottom w:val="single" w:sz="18" w:space="0" w:color="auto"/>
            </w:tcBorders>
          </w:tcPr>
          <w:p w14:paraId="2C115DFE" w14:textId="77777777" w:rsidR="00640E94" w:rsidRPr="006C75A4" w:rsidRDefault="00640E94">
            <w:pPr>
              <w:pStyle w:val="BodyText"/>
              <w:spacing w:before="0"/>
              <w:rPr>
                <w:rFonts w:ascii="Arial" w:hAnsi="Arial"/>
              </w:rPr>
            </w:pPr>
            <w:r w:rsidRPr="006C75A4">
              <w:rPr>
                <w:rFonts w:ascii="Arial" w:hAnsi="Arial"/>
              </w:rPr>
              <w:t>Issuer Telephone No.</w:t>
            </w:r>
          </w:p>
          <w:p w14:paraId="1733D6B7" w14:textId="77777777" w:rsidR="00246109" w:rsidRPr="006C75A4" w:rsidRDefault="00246109">
            <w:pPr>
              <w:pStyle w:val="BodyText"/>
              <w:spacing w:before="0"/>
              <w:rPr>
                <w:rFonts w:ascii="Arial" w:hAnsi="Arial"/>
              </w:rPr>
            </w:pPr>
          </w:p>
          <w:p w14:paraId="314F9A63" w14:textId="08FA174F" w:rsidR="009134CB" w:rsidRPr="006C75A4" w:rsidRDefault="00640E94">
            <w:pPr>
              <w:pStyle w:val="BodyText"/>
              <w:spacing w:before="0"/>
              <w:rPr>
                <w:rFonts w:ascii="Arial" w:hAnsi="Arial"/>
              </w:rPr>
            </w:pPr>
            <w:r w:rsidRPr="006C75A4">
              <w:rPr>
                <w:rFonts w:ascii="Arial" w:hAnsi="Arial"/>
              </w:rPr>
              <w:t>(</w:t>
            </w:r>
            <w:r w:rsidR="00246109" w:rsidRPr="006C75A4">
              <w:rPr>
                <w:rFonts w:ascii="Arial" w:hAnsi="Arial"/>
              </w:rPr>
              <w:t>604</w:t>
            </w:r>
            <w:r w:rsidRPr="006C75A4">
              <w:rPr>
                <w:rFonts w:ascii="Arial" w:hAnsi="Arial"/>
              </w:rPr>
              <w:t>)</w:t>
            </w:r>
            <w:r w:rsidR="00246109" w:rsidRPr="006C75A4">
              <w:rPr>
                <w:rFonts w:ascii="Arial" w:hAnsi="Arial"/>
              </w:rPr>
              <w:t xml:space="preserve"> </w:t>
            </w:r>
            <w:r w:rsidR="000838FB" w:rsidRPr="006C75A4">
              <w:rPr>
                <w:rFonts w:ascii="Arial" w:hAnsi="Arial"/>
              </w:rPr>
              <w:t>351-3351</w:t>
            </w:r>
          </w:p>
        </w:tc>
      </w:tr>
      <w:tr w:rsidR="00640E94" w14:paraId="75A38990" w14:textId="77777777">
        <w:tc>
          <w:tcPr>
            <w:tcW w:w="4878" w:type="dxa"/>
            <w:tcBorders>
              <w:top w:val="single" w:sz="18" w:space="0" w:color="auto"/>
              <w:bottom w:val="single" w:sz="18" w:space="0" w:color="auto"/>
              <w:right w:val="single" w:sz="18" w:space="0" w:color="auto"/>
            </w:tcBorders>
          </w:tcPr>
          <w:p w14:paraId="718317B9" w14:textId="77777777" w:rsidR="00640E94" w:rsidRPr="006C75A4" w:rsidRDefault="00640E94">
            <w:pPr>
              <w:pStyle w:val="BodyText"/>
              <w:spacing w:before="0"/>
              <w:rPr>
                <w:rFonts w:ascii="Arial" w:hAnsi="Arial"/>
              </w:rPr>
            </w:pPr>
            <w:r w:rsidRPr="006C75A4">
              <w:rPr>
                <w:rFonts w:ascii="Arial" w:hAnsi="Arial"/>
              </w:rPr>
              <w:t>Contact Name</w:t>
            </w:r>
          </w:p>
          <w:p w14:paraId="4D320041" w14:textId="77777777" w:rsidR="00640E94" w:rsidRPr="006C75A4" w:rsidRDefault="00640E94">
            <w:pPr>
              <w:pStyle w:val="BodyText"/>
              <w:spacing w:before="0"/>
              <w:rPr>
                <w:rFonts w:ascii="Arial" w:hAnsi="Arial"/>
              </w:rPr>
            </w:pPr>
          </w:p>
          <w:p w14:paraId="124094C2" w14:textId="3D1632D8" w:rsidR="00640E94" w:rsidRPr="006C75A4" w:rsidRDefault="009134CB">
            <w:pPr>
              <w:pStyle w:val="BodyText"/>
              <w:spacing w:before="0"/>
              <w:rPr>
                <w:rFonts w:ascii="Arial" w:hAnsi="Arial"/>
              </w:rPr>
            </w:pPr>
            <w:r w:rsidRPr="006C75A4">
              <w:rPr>
                <w:rFonts w:ascii="Arial" w:hAnsi="Arial"/>
              </w:rPr>
              <w:t>Mike Iverson</w:t>
            </w:r>
          </w:p>
        </w:tc>
        <w:tc>
          <w:tcPr>
            <w:tcW w:w="1800" w:type="dxa"/>
            <w:tcBorders>
              <w:top w:val="single" w:sz="18" w:space="0" w:color="auto"/>
              <w:left w:val="single" w:sz="18" w:space="0" w:color="auto"/>
              <w:bottom w:val="single" w:sz="18" w:space="0" w:color="auto"/>
              <w:right w:val="single" w:sz="18" w:space="0" w:color="auto"/>
            </w:tcBorders>
          </w:tcPr>
          <w:p w14:paraId="7C72CF8B" w14:textId="77777777" w:rsidR="00640E94" w:rsidRPr="006C75A4" w:rsidRDefault="00640E94">
            <w:pPr>
              <w:pStyle w:val="BodyText"/>
              <w:spacing w:before="0"/>
              <w:rPr>
                <w:rFonts w:ascii="Arial" w:hAnsi="Arial"/>
              </w:rPr>
            </w:pPr>
            <w:r w:rsidRPr="006C75A4">
              <w:rPr>
                <w:rFonts w:ascii="Arial" w:hAnsi="Arial"/>
              </w:rPr>
              <w:t>Contact Position</w:t>
            </w:r>
          </w:p>
          <w:p w14:paraId="52979378" w14:textId="4735C4BD" w:rsidR="00B667E6" w:rsidRPr="006C75A4" w:rsidRDefault="003D7E95">
            <w:pPr>
              <w:pStyle w:val="BodyText"/>
              <w:spacing w:before="0"/>
              <w:rPr>
                <w:rFonts w:ascii="Arial" w:hAnsi="Arial"/>
              </w:rPr>
            </w:pPr>
            <w:r w:rsidRPr="006C75A4">
              <w:rPr>
                <w:rFonts w:ascii="Arial" w:hAnsi="Arial"/>
              </w:rPr>
              <w:t>Director</w:t>
            </w:r>
          </w:p>
        </w:tc>
        <w:tc>
          <w:tcPr>
            <w:tcW w:w="2898" w:type="dxa"/>
            <w:tcBorders>
              <w:top w:val="single" w:sz="18" w:space="0" w:color="auto"/>
              <w:left w:val="single" w:sz="18" w:space="0" w:color="auto"/>
              <w:bottom w:val="single" w:sz="18" w:space="0" w:color="auto"/>
            </w:tcBorders>
          </w:tcPr>
          <w:p w14:paraId="0C046C98" w14:textId="77777777" w:rsidR="00640E94" w:rsidRPr="006C75A4" w:rsidRDefault="00640E94">
            <w:pPr>
              <w:pStyle w:val="BodyText"/>
              <w:spacing w:before="0"/>
              <w:rPr>
                <w:rFonts w:ascii="Arial" w:hAnsi="Arial"/>
              </w:rPr>
            </w:pPr>
            <w:r w:rsidRPr="006C75A4">
              <w:rPr>
                <w:rFonts w:ascii="Arial" w:hAnsi="Arial"/>
              </w:rPr>
              <w:t>Contact Telephone No.</w:t>
            </w:r>
          </w:p>
          <w:p w14:paraId="71157C3B" w14:textId="77777777" w:rsidR="00246109" w:rsidRPr="006C75A4" w:rsidRDefault="00246109" w:rsidP="00246109">
            <w:pPr>
              <w:pStyle w:val="BodyText"/>
              <w:spacing w:before="0"/>
              <w:rPr>
                <w:rFonts w:ascii="Arial" w:hAnsi="Arial"/>
              </w:rPr>
            </w:pPr>
          </w:p>
          <w:p w14:paraId="1C0136E4" w14:textId="178A6788" w:rsidR="009134CB" w:rsidRPr="006C75A4" w:rsidRDefault="00246109" w:rsidP="00246109">
            <w:pPr>
              <w:pStyle w:val="BodyText"/>
              <w:spacing w:before="0"/>
              <w:rPr>
                <w:rFonts w:ascii="Arial" w:hAnsi="Arial"/>
              </w:rPr>
            </w:pPr>
            <w:r w:rsidRPr="006C75A4">
              <w:rPr>
                <w:rFonts w:ascii="Arial" w:hAnsi="Arial"/>
              </w:rPr>
              <w:t xml:space="preserve">(604) </w:t>
            </w:r>
            <w:r w:rsidR="000838FB" w:rsidRPr="006C75A4">
              <w:rPr>
                <w:rFonts w:ascii="Arial" w:hAnsi="Arial"/>
              </w:rPr>
              <w:t>351</w:t>
            </w:r>
            <w:r w:rsidR="00353E71" w:rsidRPr="006C75A4">
              <w:rPr>
                <w:rFonts w:ascii="Arial" w:hAnsi="Arial"/>
              </w:rPr>
              <w:t>-</w:t>
            </w:r>
            <w:r w:rsidR="000838FB" w:rsidRPr="006C75A4">
              <w:rPr>
                <w:rFonts w:ascii="Arial" w:hAnsi="Arial"/>
              </w:rPr>
              <w:t>3351</w:t>
            </w:r>
          </w:p>
        </w:tc>
      </w:tr>
      <w:tr w:rsidR="00640E94" w14:paraId="3203E3DC" w14:textId="77777777">
        <w:trPr>
          <w:cantSplit/>
        </w:trPr>
        <w:tc>
          <w:tcPr>
            <w:tcW w:w="4878" w:type="dxa"/>
            <w:tcBorders>
              <w:top w:val="single" w:sz="18" w:space="0" w:color="auto"/>
              <w:bottom w:val="single" w:sz="18" w:space="0" w:color="auto"/>
              <w:right w:val="single" w:sz="18" w:space="0" w:color="auto"/>
            </w:tcBorders>
          </w:tcPr>
          <w:p w14:paraId="1DE1571F" w14:textId="77777777" w:rsidR="00640E94" w:rsidRDefault="00640E94">
            <w:pPr>
              <w:pStyle w:val="BodyText"/>
              <w:spacing w:before="0"/>
              <w:rPr>
                <w:rFonts w:ascii="Arial" w:hAnsi="Arial"/>
              </w:rPr>
            </w:pPr>
            <w:r>
              <w:rPr>
                <w:rFonts w:ascii="Arial" w:hAnsi="Arial"/>
              </w:rPr>
              <w:t>Contact Email Address</w:t>
            </w:r>
          </w:p>
          <w:p w14:paraId="517A98F7" w14:textId="77777777" w:rsidR="00353E71" w:rsidRDefault="00353E71">
            <w:pPr>
              <w:pStyle w:val="BodyText"/>
              <w:spacing w:before="0"/>
              <w:rPr>
                <w:rFonts w:ascii="Arial" w:hAnsi="Arial"/>
              </w:rPr>
            </w:pPr>
          </w:p>
          <w:p w14:paraId="68D7F2D6" w14:textId="17B6B7BF" w:rsidR="00640E94" w:rsidRDefault="00BA240C">
            <w:pPr>
              <w:pStyle w:val="BodyText"/>
              <w:spacing w:before="0"/>
              <w:rPr>
                <w:rFonts w:ascii="Arial" w:hAnsi="Arial"/>
              </w:rPr>
            </w:pPr>
            <w:r w:rsidRPr="00BA240C">
              <w:rPr>
                <w:rFonts w:ascii="Arial" w:hAnsi="Arial"/>
              </w:rPr>
              <w:t>len.brownlie@prospectridgeresources.com</w:t>
            </w:r>
          </w:p>
        </w:tc>
        <w:tc>
          <w:tcPr>
            <w:tcW w:w="4698" w:type="dxa"/>
            <w:gridSpan w:val="2"/>
            <w:tcBorders>
              <w:top w:val="single" w:sz="18" w:space="0" w:color="auto"/>
              <w:left w:val="single" w:sz="18" w:space="0" w:color="auto"/>
              <w:bottom w:val="single" w:sz="18" w:space="0" w:color="auto"/>
            </w:tcBorders>
          </w:tcPr>
          <w:p w14:paraId="3F8BECE2" w14:textId="77777777" w:rsidR="00640E94" w:rsidRDefault="00640E94">
            <w:pPr>
              <w:pStyle w:val="BodyText"/>
              <w:spacing w:before="0"/>
              <w:rPr>
                <w:rFonts w:ascii="Arial" w:hAnsi="Arial"/>
              </w:rPr>
            </w:pPr>
            <w:r>
              <w:rPr>
                <w:rFonts w:ascii="Arial" w:hAnsi="Arial"/>
              </w:rPr>
              <w:t>Web Site Address</w:t>
            </w:r>
          </w:p>
          <w:p w14:paraId="44BB6867" w14:textId="77777777" w:rsidR="00353E71" w:rsidRDefault="00353E71">
            <w:pPr>
              <w:pStyle w:val="BodyText"/>
              <w:spacing w:before="0"/>
              <w:rPr>
                <w:rFonts w:ascii="Arial" w:hAnsi="Arial"/>
              </w:rPr>
            </w:pPr>
          </w:p>
          <w:p w14:paraId="760B7E94" w14:textId="7935AD08" w:rsidR="00640E94" w:rsidRDefault="009134CB">
            <w:pPr>
              <w:pStyle w:val="BodyText"/>
              <w:spacing w:before="0"/>
              <w:rPr>
                <w:rFonts w:ascii="Arial" w:hAnsi="Arial"/>
              </w:rPr>
            </w:pPr>
            <w:r w:rsidRPr="009134CB">
              <w:rPr>
                <w:rFonts w:ascii="Arial" w:hAnsi="Arial"/>
              </w:rPr>
              <w:t>https://prospectridgeresources.com/</w:t>
            </w:r>
          </w:p>
        </w:tc>
      </w:tr>
    </w:tbl>
    <w:p w14:paraId="5A493E92" w14:textId="77777777" w:rsidR="00640E94" w:rsidRPr="003427B7" w:rsidRDefault="00640E94" w:rsidP="00F8600C">
      <w:pPr>
        <w:pStyle w:val="BodyText"/>
        <w:rPr>
          <w:lang w:val="en-CA"/>
        </w:rPr>
      </w:pPr>
    </w:p>
    <w:sectPr w:rsidR="00640E94" w:rsidRPr="003427B7" w:rsidSect="00A609D1">
      <w:headerReference w:type="even" r:id="rId8"/>
      <w:headerReference w:type="default" r:id="rId9"/>
      <w:footerReference w:type="default" r:id="rId10"/>
      <w:footerReference w:type="first" r:id="rId11"/>
      <w:pgSz w:w="12240" w:h="15840" w:code="1"/>
      <w:pgMar w:top="864" w:right="1440" w:bottom="864" w:left="1440" w:header="720" w:footer="936"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41E31" w14:textId="77777777" w:rsidR="0008368C" w:rsidRDefault="0008368C">
      <w:r>
        <w:separator/>
      </w:r>
    </w:p>
  </w:endnote>
  <w:endnote w:type="continuationSeparator" w:id="0">
    <w:p w14:paraId="63EAF409" w14:textId="77777777" w:rsidR="0008368C" w:rsidRDefault="0008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2B07F" w14:textId="77777777" w:rsidR="00640E94" w:rsidRDefault="00640E94">
    <w:pPr>
      <w:pStyle w:val="Footer"/>
      <w:tabs>
        <w:tab w:val="clear" w:pos="4320"/>
        <w:tab w:val="clear" w:pos="8640"/>
        <w:tab w:val="center" w:pos="4680"/>
        <w:tab w:val="right" w:pos="9360"/>
      </w:tabs>
      <w:rPr>
        <w:b/>
      </w:rPr>
    </w:pPr>
  </w:p>
  <w:p w14:paraId="2159E4A3" w14:textId="77777777" w:rsidR="00640E94" w:rsidRDefault="005453C8" w:rsidP="006D1A06">
    <w:pPr>
      <w:tabs>
        <w:tab w:val="center" w:pos="4680"/>
        <w:tab w:val="left" w:pos="828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8240" behindDoc="0" locked="0" layoutInCell="1" allowOverlap="1" wp14:anchorId="3E72B4CC" wp14:editId="518EC2AF">
              <wp:simplePos x="0" y="0"/>
              <wp:positionH relativeFrom="column">
                <wp:posOffset>72390</wp:posOffset>
              </wp:positionH>
              <wp:positionV relativeFrom="paragraph">
                <wp:posOffset>-152400</wp:posOffset>
              </wp:positionV>
              <wp:extent cx="5863590"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19B58" id="Line 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 – MONTHLY PROGRESS REPORT</w:t>
    </w:r>
  </w:p>
  <w:p w14:paraId="10A4F54B" w14:textId="77777777" w:rsidR="00640E94" w:rsidRPr="006D1A06" w:rsidRDefault="000A1AB1" w:rsidP="006D1A06">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2362FAF1" w14:textId="77777777" w:rsidR="00640E94" w:rsidRPr="006D1A06" w:rsidRDefault="006D1A06" w:rsidP="006D1A06">
    <w:pPr>
      <w:pStyle w:val="Footer"/>
      <w:tabs>
        <w:tab w:val="clear" w:pos="8640"/>
        <w:tab w:val="left" w:pos="6930"/>
        <w:tab w:val="right" w:pos="9360"/>
      </w:tabs>
      <w:jc w:val="center"/>
      <w:rPr>
        <w:rFonts w:ascii="Arial" w:hAnsi="Arial" w:cs="Arial"/>
        <w:sz w:val="16"/>
        <w:szCs w:val="16"/>
      </w:rPr>
    </w:pPr>
    <w:r w:rsidRPr="006D1A06">
      <w:rPr>
        <w:rFonts w:ascii="Arial" w:hAnsi="Arial" w:cs="Arial"/>
        <w:sz w:val="16"/>
        <w:szCs w:val="16"/>
      </w:rPr>
      <w:t xml:space="preserve">Page </w:t>
    </w:r>
    <w:r w:rsidRPr="006D1A06">
      <w:rPr>
        <w:rStyle w:val="PageNumber"/>
        <w:rFonts w:ascii="Arial" w:hAnsi="Arial" w:cs="Arial"/>
        <w:sz w:val="16"/>
        <w:szCs w:val="16"/>
      </w:rPr>
      <w:fldChar w:fldCharType="begin"/>
    </w:r>
    <w:r w:rsidRPr="006D1A06">
      <w:rPr>
        <w:rStyle w:val="PageNumber"/>
        <w:rFonts w:ascii="Arial" w:hAnsi="Arial" w:cs="Arial"/>
        <w:sz w:val="16"/>
        <w:szCs w:val="16"/>
      </w:rPr>
      <w:instrText xml:space="preserve"> PAGE </w:instrText>
    </w:r>
    <w:r w:rsidRPr="006D1A06">
      <w:rPr>
        <w:rStyle w:val="PageNumber"/>
        <w:rFonts w:ascii="Arial" w:hAnsi="Arial" w:cs="Arial"/>
        <w:sz w:val="16"/>
        <w:szCs w:val="16"/>
      </w:rPr>
      <w:fldChar w:fldCharType="separate"/>
    </w:r>
    <w:r w:rsidR="000A1AB1">
      <w:rPr>
        <w:rStyle w:val="PageNumber"/>
        <w:rFonts w:ascii="Arial" w:hAnsi="Arial" w:cs="Arial"/>
        <w:noProof/>
        <w:sz w:val="16"/>
        <w:szCs w:val="16"/>
      </w:rPr>
      <w:t>4</w:t>
    </w:r>
    <w:r w:rsidRPr="006D1A06">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5CCAF" w14:textId="77777777" w:rsidR="00640E94" w:rsidRDefault="00640E94">
    <w:pPr>
      <w:pStyle w:val="Footer"/>
      <w:tabs>
        <w:tab w:val="clear" w:pos="4320"/>
        <w:tab w:val="clear" w:pos="8640"/>
        <w:tab w:val="center" w:pos="4680"/>
        <w:tab w:val="right" w:pos="9360"/>
      </w:tabs>
      <w:rPr>
        <w:b/>
      </w:rPr>
    </w:pPr>
  </w:p>
  <w:p w14:paraId="511A0527" w14:textId="77777777" w:rsidR="00640E94" w:rsidRDefault="005453C8" w:rsidP="00635E9A">
    <w:pPr>
      <w:tabs>
        <w:tab w:val="center" w:pos="4674"/>
        <w:tab w:val="left" w:pos="8460"/>
      </w:tabs>
      <w:jc w:val="center"/>
      <w:rPr>
        <w:rStyle w:val="PageNumber"/>
        <w:rFonts w:ascii="Arial" w:hAnsi="Arial" w:cs="Arial"/>
        <w:b/>
      </w:rPr>
    </w:pPr>
    <w:r>
      <w:rPr>
        <w:b/>
        <w:noProof/>
        <w:lang w:val="en-CA" w:eastAsia="en-CA"/>
      </w:rPr>
      <mc:AlternateContent>
        <mc:Choice Requires="wps">
          <w:drawing>
            <wp:anchor distT="0" distB="0" distL="114300" distR="114300" simplePos="0" relativeHeight="251657216" behindDoc="0" locked="0" layoutInCell="1" allowOverlap="1" wp14:anchorId="6CCFA5D6" wp14:editId="751A0304">
              <wp:simplePos x="0" y="0"/>
              <wp:positionH relativeFrom="column">
                <wp:posOffset>72390</wp:posOffset>
              </wp:positionH>
              <wp:positionV relativeFrom="paragraph">
                <wp:posOffset>-152400</wp:posOffset>
              </wp:positionV>
              <wp:extent cx="5863590" cy="0"/>
              <wp:effectExtent l="0" t="0" r="0" b="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635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0C82D" id="Line 5"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2pt" to="467.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"/>
          </w:pict>
        </mc:Fallback>
      </mc:AlternateContent>
    </w:r>
    <w:r w:rsidR="00640E94">
      <w:rPr>
        <w:rFonts w:ascii="Arial" w:hAnsi="Arial" w:cs="Arial"/>
        <w:b/>
      </w:rPr>
      <w:t>FORM 7</w:t>
    </w:r>
    <w:r w:rsidR="00635E9A">
      <w:rPr>
        <w:rFonts w:ascii="Arial" w:hAnsi="Arial" w:cs="Arial"/>
        <w:b/>
      </w:rPr>
      <w:t xml:space="preserve"> – MONTHLY PROGRESS REPORT</w:t>
    </w:r>
  </w:p>
  <w:p w14:paraId="6E44901E" w14:textId="77777777" w:rsidR="000A1AB1" w:rsidRPr="00635E9A" w:rsidRDefault="000A1AB1" w:rsidP="000A1AB1">
    <w:pPr>
      <w:pStyle w:val="Footer"/>
      <w:tabs>
        <w:tab w:val="clear" w:pos="4320"/>
        <w:tab w:val="clear" w:pos="8640"/>
        <w:tab w:val="center" w:pos="4860"/>
        <w:tab w:val="right" w:pos="9360"/>
      </w:tabs>
      <w:jc w:val="center"/>
      <w:rPr>
        <w:rStyle w:val="PageNumber"/>
        <w:rFonts w:ascii="Arial" w:hAnsi="Arial" w:cs="Arial"/>
        <w:sz w:val="16"/>
        <w:szCs w:val="16"/>
      </w:rPr>
    </w:pPr>
    <w:r>
      <w:rPr>
        <w:rStyle w:val="PageNumber"/>
        <w:rFonts w:ascii="Arial" w:hAnsi="Arial" w:cs="Arial"/>
        <w:sz w:val="16"/>
        <w:szCs w:val="16"/>
      </w:rPr>
      <w:t>January 2015</w:t>
    </w:r>
  </w:p>
  <w:p w14:paraId="5759BEC4" w14:textId="77777777" w:rsidR="00640E94" w:rsidRPr="00635E9A" w:rsidRDefault="00635E9A" w:rsidP="00635E9A">
    <w:pPr>
      <w:pStyle w:val="Footer"/>
      <w:tabs>
        <w:tab w:val="clear" w:pos="8640"/>
        <w:tab w:val="left" w:pos="6930"/>
        <w:tab w:val="right" w:pos="9360"/>
      </w:tabs>
      <w:jc w:val="center"/>
      <w:rPr>
        <w:rFonts w:ascii="Arial" w:hAnsi="Arial" w:cs="Arial"/>
        <w:sz w:val="16"/>
        <w:szCs w:val="16"/>
      </w:rPr>
    </w:pPr>
    <w:r w:rsidRPr="00635E9A">
      <w:rPr>
        <w:rFonts w:ascii="Arial" w:hAnsi="Arial" w:cs="Arial"/>
        <w:sz w:val="16"/>
        <w:szCs w:val="16"/>
      </w:rPr>
      <w:t xml:space="preserve">Page </w:t>
    </w:r>
    <w:r w:rsidRPr="00635E9A">
      <w:rPr>
        <w:rStyle w:val="PageNumber"/>
        <w:rFonts w:ascii="Arial" w:hAnsi="Arial" w:cs="Arial"/>
        <w:sz w:val="16"/>
        <w:szCs w:val="16"/>
      </w:rPr>
      <w:fldChar w:fldCharType="begin"/>
    </w:r>
    <w:r w:rsidRPr="00635E9A">
      <w:rPr>
        <w:rStyle w:val="PageNumber"/>
        <w:rFonts w:ascii="Arial" w:hAnsi="Arial" w:cs="Arial"/>
        <w:sz w:val="16"/>
        <w:szCs w:val="16"/>
      </w:rPr>
      <w:instrText xml:space="preserve"> PAGE </w:instrText>
    </w:r>
    <w:r w:rsidRPr="00635E9A">
      <w:rPr>
        <w:rStyle w:val="PageNumber"/>
        <w:rFonts w:ascii="Arial" w:hAnsi="Arial" w:cs="Arial"/>
        <w:sz w:val="16"/>
        <w:szCs w:val="16"/>
      </w:rPr>
      <w:fldChar w:fldCharType="separate"/>
    </w:r>
    <w:r w:rsidR="000A1AB1">
      <w:rPr>
        <w:rStyle w:val="PageNumber"/>
        <w:rFonts w:ascii="Arial" w:hAnsi="Arial" w:cs="Arial"/>
        <w:noProof/>
        <w:sz w:val="16"/>
        <w:szCs w:val="16"/>
      </w:rPr>
      <w:t>1</w:t>
    </w:r>
    <w:r w:rsidRPr="00635E9A">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B886C" w14:textId="77777777" w:rsidR="0008368C" w:rsidRDefault="0008368C">
      <w:r>
        <w:separator/>
      </w:r>
    </w:p>
  </w:footnote>
  <w:footnote w:type="continuationSeparator" w:id="0">
    <w:p w14:paraId="7B9F9456" w14:textId="77777777" w:rsidR="0008368C" w:rsidRDefault="00083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7033C" w14:textId="77777777" w:rsidR="00640E94" w:rsidRDefault="00640E9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A43F2FC" w14:textId="77777777" w:rsidR="00640E94" w:rsidRDefault="00640E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CB7CF" w14:textId="77777777" w:rsidR="00640E94" w:rsidRDefault="00640E94">
    <w:pPr>
      <w:pStyle w:val="Header"/>
      <w:tabs>
        <w:tab w:val="clear" w:pos="8640"/>
        <w:tab w:val="right" w:pos="783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5CAE"/>
    <w:multiLevelType w:val="singleLevel"/>
    <w:tmpl w:val="9F2606B0"/>
    <w:lvl w:ilvl="0">
      <w:start w:val="3"/>
      <w:numFmt w:val="decimal"/>
      <w:lvlText w:val="%1."/>
      <w:lvlJc w:val="left"/>
      <w:pPr>
        <w:tabs>
          <w:tab w:val="num" w:pos="720"/>
        </w:tabs>
        <w:ind w:left="720" w:hanging="720"/>
      </w:pPr>
      <w:rPr>
        <w:rFonts w:ascii="Century Gothic" w:hAnsi="Century Gothic" w:hint="default"/>
        <w:b/>
      </w:rPr>
    </w:lvl>
  </w:abstractNum>
  <w:abstractNum w:abstractNumId="1" w15:restartNumberingAfterBreak="0">
    <w:nsid w:val="04DF1A06"/>
    <w:multiLevelType w:val="singleLevel"/>
    <w:tmpl w:val="0622BA54"/>
    <w:lvl w:ilvl="0">
      <w:start w:val="5"/>
      <w:numFmt w:val="lowerLetter"/>
      <w:lvlText w:val="(%1)"/>
      <w:lvlJc w:val="left"/>
      <w:pPr>
        <w:tabs>
          <w:tab w:val="num" w:pos="2160"/>
        </w:tabs>
        <w:ind w:left="2160" w:hanging="1080"/>
      </w:pPr>
      <w:rPr>
        <w:rFonts w:hint="default"/>
      </w:rPr>
    </w:lvl>
  </w:abstractNum>
  <w:abstractNum w:abstractNumId="2" w15:restartNumberingAfterBreak="0">
    <w:nsid w:val="188F4CE8"/>
    <w:multiLevelType w:val="singleLevel"/>
    <w:tmpl w:val="0409000F"/>
    <w:lvl w:ilvl="0">
      <w:start w:val="4"/>
      <w:numFmt w:val="decimal"/>
      <w:lvlText w:val="%1."/>
      <w:lvlJc w:val="left"/>
      <w:pPr>
        <w:tabs>
          <w:tab w:val="num" w:pos="360"/>
        </w:tabs>
        <w:ind w:left="360" w:hanging="360"/>
      </w:pPr>
      <w:rPr>
        <w:rFonts w:hint="default"/>
      </w:rPr>
    </w:lvl>
  </w:abstractNum>
  <w:abstractNum w:abstractNumId="3" w15:restartNumberingAfterBreak="0">
    <w:nsid w:val="197C6B16"/>
    <w:multiLevelType w:val="singleLevel"/>
    <w:tmpl w:val="115EC0FC"/>
    <w:lvl w:ilvl="0">
      <w:start w:val="1"/>
      <w:numFmt w:val="decimal"/>
      <w:lvlText w:val="%1."/>
      <w:lvlJc w:val="left"/>
      <w:pPr>
        <w:tabs>
          <w:tab w:val="num" w:pos="1080"/>
        </w:tabs>
        <w:ind w:left="1080" w:hanging="1080"/>
      </w:pPr>
      <w:rPr>
        <w:rFonts w:hint="default"/>
      </w:rPr>
    </w:lvl>
  </w:abstractNum>
  <w:abstractNum w:abstractNumId="4" w15:restartNumberingAfterBreak="0">
    <w:nsid w:val="1AA73013"/>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16F51BD"/>
    <w:multiLevelType w:val="singleLevel"/>
    <w:tmpl w:val="49BAD260"/>
    <w:lvl w:ilvl="0">
      <w:start w:val="1"/>
      <w:numFmt w:val="decimal"/>
      <w:lvlText w:val="%1."/>
      <w:lvlJc w:val="left"/>
      <w:pPr>
        <w:tabs>
          <w:tab w:val="num" w:pos="720"/>
        </w:tabs>
        <w:ind w:left="720" w:hanging="720"/>
      </w:pPr>
      <w:rPr>
        <w:rFonts w:hint="default"/>
      </w:rPr>
    </w:lvl>
  </w:abstractNum>
  <w:abstractNum w:abstractNumId="6" w15:restartNumberingAfterBreak="0">
    <w:nsid w:val="24046531"/>
    <w:multiLevelType w:val="singleLevel"/>
    <w:tmpl w:val="92DA3EBE"/>
    <w:lvl w:ilvl="0">
      <w:start w:val="5"/>
      <w:numFmt w:val="decimal"/>
      <w:lvlText w:val="%1."/>
      <w:lvlJc w:val="left"/>
      <w:pPr>
        <w:tabs>
          <w:tab w:val="num" w:pos="1080"/>
        </w:tabs>
        <w:ind w:left="1080" w:hanging="1080"/>
      </w:pPr>
      <w:rPr>
        <w:rFonts w:hint="default"/>
      </w:rPr>
    </w:lvl>
  </w:abstractNum>
  <w:abstractNum w:abstractNumId="7" w15:restartNumberingAfterBreak="0">
    <w:nsid w:val="24922058"/>
    <w:multiLevelType w:val="singleLevel"/>
    <w:tmpl w:val="0409000F"/>
    <w:lvl w:ilvl="0">
      <w:start w:val="6"/>
      <w:numFmt w:val="decimal"/>
      <w:lvlText w:val="%1."/>
      <w:lvlJc w:val="left"/>
      <w:pPr>
        <w:tabs>
          <w:tab w:val="num" w:pos="360"/>
        </w:tabs>
        <w:ind w:left="360" w:hanging="360"/>
      </w:pPr>
      <w:rPr>
        <w:rFonts w:hint="default"/>
      </w:rPr>
    </w:lvl>
  </w:abstractNum>
  <w:abstractNum w:abstractNumId="8" w15:restartNumberingAfterBreak="0">
    <w:nsid w:val="2927789D"/>
    <w:multiLevelType w:val="singleLevel"/>
    <w:tmpl w:val="0409000F"/>
    <w:lvl w:ilvl="0">
      <w:start w:val="6"/>
      <w:numFmt w:val="decimal"/>
      <w:lvlText w:val="%1."/>
      <w:lvlJc w:val="left"/>
      <w:pPr>
        <w:tabs>
          <w:tab w:val="num" w:pos="360"/>
        </w:tabs>
        <w:ind w:left="360" w:hanging="360"/>
      </w:pPr>
      <w:rPr>
        <w:rFonts w:hint="default"/>
      </w:rPr>
    </w:lvl>
  </w:abstractNum>
  <w:abstractNum w:abstractNumId="9" w15:restartNumberingAfterBreak="0">
    <w:nsid w:val="29655154"/>
    <w:multiLevelType w:val="singleLevel"/>
    <w:tmpl w:val="6FF8E312"/>
    <w:lvl w:ilvl="0">
      <w:start w:val="1"/>
      <w:numFmt w:val="lowerLetter"/>
      <w:lvlText w:val="(%1)"/>
      <w:lvlJc w:val="left"/>
      <w:pPr>
        <w:tabs>
          <w:tab w:val="num" w:pos="2160"/>
        </w:tabs>
        <w:ind w:left="2160" w:hanging="1080"/>
      </w:pPr>
      <w:rPr>
        <w:rFonts w:hint="default"/>
      </w:rPr>
    </w:lvl>
  </w:abstractNum>
  <w:abstractNum w:abstractNumId="10" w15:restartNumberingAfterBreak="0">
    <w:nsid w:val="2AD55637"/>
    <w:multiLevelType w:val="singleLevel"/>
    <w:tmpl w:val="0409000F"/>
    <w:lvl w:ilvl="0">
      <w:start w:val="10"/>
      <w:numFmt w:val="decimal"/>
      <w:lvlText w:val="%1."/>
      <w:lvlJc w:val="left"/>
      <w:pPr>
        <w:tabs>
          <w:tab w:val="num" w:pos="360"/>
        </w:tabs>
        <w:ind w:left="360" w:hanging="360"/>
      </w:pPr>
      <w:rPr>
        <w:rFonts w:hint="default"/>
      </w:rPr>
    </w:lvl>
  </w:abstractNum>
  <w:abstractNum w:abstractNumId="11" w15:restartNumberingAfterBreak="0">
    <w:nsid w:val="30C64A38"/>
    <w:multiLevelType w:val="singleLevel"/>
    <w:tmpl w:val="05F4C128"/>
    <w:lvl w:ilvl="0">
      <w:start w:val="1"/>
      <w:numFmt w:val="decimal"/>
      <w:lvlText w:val="(%1)"/>
      <w:lvlJc w:val="left"/>
      <w:pPr>
        <w:tabs>
          <w:tab w:val="num" w:pos="390"/>
        </w:tabs>
        <w:ind w:left="390" w:hanging="390"/>
      </w:pPr>
      <w:rPr>
        <w:rFonts w:hint="default"/>
      </w:rPr>
    </w:lvl>
  </w:abstractNum>
  <w:abstractNum w:abstractNumId="12" w15:restartNumberingAfterBreak="0">
    <w:nsid w:val="31DA420F"/>
    <w:multiLevelType w:val="singleLevel"/>
    <w:tmpl w:val="162C1202"/>
    <w:lvl w:ilvl="0">
      <w:start w:val="1"/>
      <w:numFmt w:val="decimal"/>
      <w:lvlText w:val="%1."/>
      <w:lvlJc w:val="left"/>
      <w:pPr>
        <w:tabs>
          <w:tab w:val="num" w:pos="1080"/>
        </w:tabs>
        <w:ind w:left="1080" w:hanging="1080"/>
      </w:pPr>
      <w:rPr>
        <w:rFonts w:hint="default"/>
      </w:rPr>
    </w:lvl>
  </w:abstractNum>
  <w:abstractNum w:abstractNumId="13" w15:restartNumberingAfterBreak="0">
    <w:nsid w:val="37EB5F7A"/>
    <w:multiLevelType w:val="singleLevel"/>
    <w:tmpl w:val="24A8873A"/>
    <w:lvl w:ilvl="0">
      <w:start w:val="9"/>
      <w:numFmt w:val="decimal"/>
      <w:lvlText w:val="%1."/>
      <w:lvlJc w:val="left"/>
      <w:pPr>
        <w:tabs>
          <w:tab w:val="num" w:pos="1080"/>
        </w:tabs>
        <w:ind w:left="1080" w:hanging="1080"/>
      </w:pPr>
      <w:rPr>
        <w:rFonts w:hint="default"/>
      </w:rPr>
    </w:lvl>
  </w:abstractNum>
  <w:abstractNum w:abstractNumId="14" w15:restartNumberingAfterBreak="0">
    <w:nsid w:val="3EA90D0B"/>
    <w:multiLevelType w:val="singleLevel"/>
    <w:tmpl w:val="10E803B4"/>
    <w:lvl w:ilvl="0">
      <w:start w:val="15"/>
      <w:numFmt w:val="decimal"/>
      <w:lvlText w:val="%1."/>
      <w:lvlJc w:val="left"/>
      <w:pPr>
        <w:tabs>
          <w:tab w:val="num" w:pos="1080"/>
        </w:tabs>
        <w:ind w:left="1080" w:hanging="1080"/>
      </w:pPr>
      <w:rPr>
        <w:rFonts w:hint="default"/>
      </w:rPr>
    </w:lvl>
  </w:abstractNum>
  <w:abstractNum w:abstractNumId="15" w15:restartNumberingAfterBreak="0">
    <w:nsid w:val="442C1BBC"/>
    <w:multiLevelType w:val="hybridMultilevel"/>
    <w:tmpl w:val="7EAAC1E2"/>
    <w:lvl w:ilvl="0" w:tplc="AB1CC7EA">
      <w:start w:val="1090"/>
      <w:numFmt w:val="bullet"/>
      <w:lvlText w:val="-"/>
      <w:lvlJc w:val="left"/>
      <w:pPr>
        <w:ind w:left="720" w:hanging="360"/>
      </w:pPr>
      <w:rPr>
        <w:rFonts w:ascii="Times New Roman" w:eastAsia="Arial Unicode MS"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A673D5"/>
    <w:multiLevelType w:val="singleLevel"/>
    <w:tmpl w:val="27CC0AD2"/>
    <w:lvl w:ilvl="0">
      <w:start w:val="6"/>
      <w:numFmt w:val="decimal"/>
      <w:lvlText w:val="%1."/>
      <w:lvlJc w:val="left"/>
      <w:pPr>
        <w:tabs>
          <w:tab w:val="num" w:pos="1080"/>
        </w:tabs>
        <w:ind w:left="1080" w:hanging="1080"/>
      </w:pPr>
      <w:rPr>
        <w:rFonts w:hint="default"/>
      </w:rPr>
    </w:lvl>
  </w:abstractNum>
  <w:abstractNum w:abstractNumId="17" w15:restartNumberingAfterBreak="0">
    <w:nsid w:val="522E047D"/>
    <w:multiLevelType w:val="singleLevel"/>
    <w:tmpl w:val="A8F2DC0E"/>
    <w:lvl w:ilvl="0">
      <w:start w:val="3"/>
      <w:numFmt w:val="decimal"/>
      <w:lvlText w:val="%1."/>
      <w:lvlJc w:val="left"/>
      <w:pPr>
        <w:tabs>
          <w:tab w:val="num" w:pos="1080"/>
        </w:tabs>
        <w:ind w:left="1080" w:hanging="1080"/>
      </w:pPr>
      <w:rPr>
        <w:rFonts w:hint="default"/>
      </w:rPr>
    </w:lvl>
  </w:abstractNum>
  <w:abstractNum w:abstractNumId="18" w15:restartNumberingAfterBreak="0">
    <w:nsid w:val="55932F2D"/>
    <w:multiLevelType w:val="singleLevel"/>
    <w:tmpl w:val="707EF16E"/>
    <w:lvl w:ilvl="0">
      <w:start w:val="1"/>
      <w:numFmt w:val="decimal"/>
      <w:lvlText w:val="%1."/>
      <w:lvlJc w:val="left"/>
      <w:pPr>
        <w:tabs>
          <w:tab w:val="num" w:pos="360"/>
        </w:tabs>
        <w:ind w:left="360" w:hanging="360"/>
      </w:pPr>
      <w:rPr>
        <w:u w:val="none"/>
      </w:rPr>
    </w:lvl>
  </w:abstractNum>
  <w:abstractNum w:abstractNumId="19" w15:restartNumberingAfterBreak="0">
    <w:nsid w:val="59037E48"/>
    <w:multiLevelType w:val="singleLevel"/>
    <w:tmpl w:val="805E0B8E"/>
    <w:lvl w:ilvl="0">
      <w:start w:val="5"/>
      <w:numFmt w:val="decimal"/>
      <w:lvlText w:val="%1."/>
      <w:lvlJc w:val="left"/>
      <w:pPr>
        <w:tabs>
          <w:tab w:val="num" w:pos="720"/>
        </w:tabs>
        <w:ind w:left="720" w:hanging="720"/>
      </w:pPr>
      <w:rPr>
        <w:rFonts w:hint="default"/>
        <w:u w:val="none"/>
      </w:rPr>
    </w:lvl>
  </w:abstractNum>
  <w:abstractNum w:abstractNumId="20" w15:restartNumberingAfterBreak="0">
    <w:nsid w:val="5A6F2B52"/>
    <w:multiLevelType w:val="singleLevel"/>
    <w:tmpl w:val="0409000F"/>
    <w:lvl w:ilvl="0">
      <w:start w:val="7"/>
      <w:numFmt w:val="decimal"/>
      <w:lvlText w:val="%1."/>
      <w:lvlJc w:val="left"/>
      <w:pPr>
        <w:tabs>
          <w:tab w:val="num" w:pos="360"/>
        </w:tabs>
        <w:ind w:left="360" w:hanging="360"/>
      </w:pPr>
      <w:rPr>
        <w:rFonts w:hint="default"/>
      </w:rPr>
    </w:lvl>
  </w:abstractNum>
  <w:abstractNum w:abstractNumId="21" w15:restartNumberingAfterBreak="0">
    <w:nsid w:val="5B661DBA"/>
    <w:multiLevelType w:val="singleLevel"/>
    <w:tmpl w:val="2D6CDE7A"/>
    <w:lvl w:ilvl="0">
      <w:start w:val="1"/>
      <w:numFmt w:val="lowerLetter"/>
      <w:lvlText w:val="%1)"/>
      <w:lvlJc w:val="left"/>
      <w:pPr>
        <w:tabs>
          <w:tab w:val="num" w:pos="1800"/>
        </w:tabs>
        <w:ind w:left="1800" w:hanging="360"/>
      </w:pPr>
      <w:rPr>
        <w:rFonts w:hint="default"/>
      </w:rPr>
    </w:lvl>
  </w:abstractNum>
  <w:abstractNum w:abstractNumId="22" w15:restartNumberingAfterBreak="0">
    <w:nsid w:val="5E5520AE"/>
    <w:multiLevelType w:val="singleLevel"/>
    <w:tmpl w:val="885CB6B8"/>
    <w:lvl w:ilvl="0">
      <w:start w:val="1"/>
      <w:numFmt w:val="decimal"/>
      <w:lvlText w:val="%1."/>
      <w:lvlJc w:val="left"/>
      <w:pPr>
        <w:tabs>
          <w:tab w:val="num" w:pos="720"/>
        </w:tabs>
        <w:ind w:left="720" w:hanging="720"/>
      </w:pPr>
      <w:rPr>
        <w:rFonts w:hint="default"/>
      </w:rPr>
    </w:lvl>
  </w:abstractNum>
  <w:abstractNum w:abstractNumId="23" w15:restartNumberingAfterBreak="0">
    <w:nsid w:val="5E983BE9"/>
    <w:multiLevelType w:val="singleLevel"/>
    <w:tmpl w:val="0409000F"/>
    <w:lvl w:ilvl="0">
      <w:start w:val="5"/>
      <w:numFmt w:val="decimal"/>
      <w:lvlText w:val="%1."/>
      <w:lvlJc w:val="left"/>
      <w:pPr>
        <w:tabs>
          <w:tab w:val="num" w:pos="360"/>
        </w:tabs>
        <w:ind w:left="360" w:hanging="360"/>
      </w:pPr>
      <w:rPr>
        <w:rFonts w:hint="default"/>
      </w:rPr>
    </w:lvl>
  </w:abstractNum>
  <w:abstractNum w:abstractNumId="24" w15:restartNumberingAfterBreak="0">
    <w:nsid w:val="71290289"/>
    <w:multiLevelType w:val="singleLevel"/>
    <w:tmpl w:val="0409000F"/>
    <w:lvl w:ilvl="0">
      <w:start w:val="5"/>
      <w:numFmt w:val="decimal"/>
      <w:lvlText w:val="%1."/>
      <w:lvlJc w:val="left"/>
      <w:pPr>
        <w:tabs>
          <w:tab w:val="num" w:pos="360"/>
        </w:tabs>
        <w:ind w:left="360" w:hanging="360"/>
      </w:pPr>
      <w:rPr>
        <w:rFonts w:hint="default"/>
      </w:rPr>
    </w:lvl>
  </w:abstractNum>
  <w:abstractNum w:abstractNumId="25" w15:restartNumberingAfterBreak="0">
    <w:nsid w:val="78F63ACC"/>
    <w:multiLevelType w:val="singleLevel"/>
    <w:tmpl w:val="0409000F"/>
    <w:lvl w:ilvl="0">
      <w:start w:val="6"/>
      <w:numFmt w:val="decimal"/>
      <w:lvlText w:val="%1."/>
      <w:lvlJc w:val="left"/>
      <w:pPr>
        <w:tabs>
          <w:tab w:val="num" w:pos="360"/>
        </w:tabs>
        <w:ind w:left="360" w:hanging="360"/>
      </w:pPr>
      <w:rPr>
        <w:rFonts w:hint="default"/>
      </w:rPr>
    </w:lvl>
  </w:abstractNum>
  <w:abstractNum w:abstractNumId="26" w15:restartNumberingAfterBreak="0">
    <w:nsid w:val="7BC755C1"/>
    <w:multiLevelType w:val="singleLevel"/>
    <w:tmpl w:val="4948D6E8"/>
    <w:lvl w:ilvl="0">
      <w:start w:val="1"/>
      <w:numFmt w:val="lowerLetter"/>
      <w:lvlText w:val="(%1)"/>
      <w:lvlJc w:val="left"/>
      <w:pPr>
        <w:tabs>
          <w:tab w:val="num" w:pos="720"/>
        </w:tabs>
        <w:ind w:left="720" w:hanging="720"/>
      </w:pPr>
      <w:rPr>
        <w:rFonts w:hint="default"/>
      </w:rPr>
    </w:lvl>
  </w:abstractNum>
  <w:abstractNum w:abstractNumId="27" w15:restartNumberingAfterBreak="0">
    <w:nsid w:val="7D7422CE"/>
    <w:multiLevelType w:val="singleLevel"/>
    <w:tmpl w:val="E2567878"/>
    <w:lvl w:ilvl="0">
      <w:start w:val="1"/>
      <w:numFmt w:val="decimal"/>
      <w:lvlText w:val="%1."/>
      <w:lvlJc w:val="left"/>
      <w:pPr>
        <w:tabs>
          <w:tab w:val="num" w:pos="1170"/>
        </w:tabs>
        <w:ind w:left="1170" w:hanging="1170"/>
      </w:pPr>
      <w:rPr>
        <w:rFonts w:ascii="Century Gothic" w:hAnsi="Century Gothic" w:hint="default"/>
        <w:b/>
      </w:rPr>
    </w:lvl>
  </w:abstractNum>
  <w:abstractNum w:abstractNumId="28" w15:restartNumberingAfterBreak="0">
    <w:nsid w:val="7DF90CCF"/>
    <w:multiLevelType w:val="hybridMultilevel"/>
    <w:tmpl w:val="4A6457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CA4C7B"/>
    <w:multiLevelType w:val="hybridMultilevel"/>
    <w:tmpl w:val="BABE875C"/>
    <w:lvl w:ilvl="0" w:tplc="10090001">
      <w:start w:val="1"/>
      <w:numFmt w:val="bullet"/>
      <w:lvlText w:val=""/>
      <w:lvlJc w:val="left"/>
      <w:pPr>
        <w:ind w:left="1500" w:hanging="360"/>
      </w:pPr>
      <w:rPr>
        <w:rFonts w:ascii="Symbol" w:hAnsi="Symbol"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30" w15:restartNumberingAfterBreak="0">
    <w:nsid w:val="7F594571"/>
    <w:multiLevelType w:val="singleLevel"/>
    <w:tmpl w:val="0409000F"/>
    <w:lvl w:ilvl="0">
      <w:start w:val="1"/>
      <w:numFmt w:val="decimal"/>
      <w:lvlText w:val="%1."/>
      <w:lvlJc w:val="left"/>
      <w:pPr>
        <w:tabs>
          <w:tab w:val="num" w:pos="360"/>
        </w:tabs>
        <w:ind w:left="360" w:hanging="360"/>
      </w:pPr>
      <w:rPr>
        <w:rFonts w:hint="default"/>
      </w:rPr>
    </w:lvl>
  </w:abstractNum>
  <w:num w:numId="1" w16cid:durableId="1759979842">
    <w:abstractNumId w:val="17"/>
  </w:num>
  <w:num w:numId="2" w16cid:durableId="973945045">
    <w:abstractNumId w:val="21"/>
  </w:num>
  <w:num w:numId="3" w16cid:durableId="60099029">
    <w:abstractNumId w:val="16"/>
  </w:num>
  <w:num w:numId="4" w16cid:durableId="702173594">
    <w:abstractNumId w:val="12"/>
  </w:num>
  <w:num w:numId="5" w16cid:durableId="452603571">
    <w:abstractNumId w:val="3"/>
  </w:num>
  <w:num w:numId="6" w16cid:durableId="1396658482">
    <w:abstractNumId w:val="23"/>
  </w:num>
  <w:num w:numId="7" w16cid:durableId="186676390">
    <w:abstractNumId w:val="8"/>
  </w:num>
  <w:num w:numId="8" w16cid:durableId="1760909784">
    <w:abstractNumId w:val="25"/>
  </w:num>
  <w:num w:numId="9" w16cid:durableId="2038387520">
    <w:abstractNumId w:val="20"/>
  </w:num>
  <w:num w:numId="10" w16cid:durableId="1858033707">
    <w:abstractNumId w:val="10"/>
  </w:num>
  <w:num w:numId="11" w16cid:durableId="1052926976">
    <w:abstractNumId w:val="13"/>
  </w:num>
  <w:num w:numId="12" w16cid:durableId="1593776238">
    <w:abstractNumId w:val="14"/>
  </w:num>
  <w:num w:numId="13" w16cid:durableId="1662273649">
    <w:abstractNumId w:val="27"/>
  </w:num>
  <w:num w:numId="14" w16cid:durableId="1921862329">
    <w:abstractNumId w:val="6"/>
  </w:num>
  <w:num w:numId="15" w16cid:durableId="938871644">
    <w:abstractNumId w:val="9"/>
  </w:num>
  <w:num w:numId="16" w16cid:durableId="282269596">
    <w:abstractNumId w:val="11"/>
  </w:num>
  <w:num w:numId="17" w16cid:durableId="1501234203">
    <w:abstractNumId w:val="18"/>
  </w:num>
  <w:num w:numId="18" w16cid:durableId="1632856947">
    <w:abstractNumId w:val="2"/>
  </w:num>
  <w:num w:numId="19" w16cid:durableId="1257788024">
    <w:abstractNumId w:val="7"/>
  </w:num>
  <w:num w:numId="20" w16cid:durableId="436023582">
    <w:abstractNumId w:val="24"/>
  </w:num>
  <w:num w:numId="21" w16cid:durableId="170334692">
    <w:abstractNumId w:val="1"/>
  </w:num>
  <w:num w:numId="22" w16cid:durableId="435255766">
    <w:abstractNumId w:val="0"/>
  </w:num>
  <w:num w:numId="23" w16cid:durableId="1704553783">
    <w:abstractNumId w:val="22"/>
  </w:num>
  <w:num w:numId="24" w16cid:durableId="1151100235">
    <w:abstractNumId w:val="19"/>
  </w:num>
  <w:num w:numId="25" w16cid:durableId="1190487534">
    <w:abstractNumId w:val="4"/>
  </w:num>
  <w:num w:numId="26" w16cid:durableId="1006245235">
    <w:abstractNumId w:val="26"/>
  </w:num>
  <w:num w:numId="27" w16cid:durableId="152718701">
    <w:abstractNumId w:val="30"/>
  </w:num>
  <w:num w:numId="28" w16cid:durableId="1998266720">
    <w:abstractNumId w:val="5"/>
  </w:num>
  <w:num w:numId="29" w16cid:durableId="1300381005">
    <w:abstractNumId w:val="29"/>
  </w:num>
  <w:num w:numId="30" w16cid:durableId="814614310">
    <w:abstractNumId w:val="28"/>
  </w:num>
  <w:num w:numId="31" w16cid:durableId="6634377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914"/>
    <w:rsid w:val="00021EBC"/>
    <w:rsid w:val="000366ED"/>
    <w:rsid w:val="00063B30"/>
    <w:rsid w:val="00065A98"/>
    <w:rsid w:val="000664D4"/>
    <w:rsid w:val="000720E1"/>
    <w:rsid w:val="0008368C"/>
    <w:rsid w:val="000838FB"/>
    <w:rsid w:val="00087086"/>
    <w:rsid w:val="000969DB"/>
    <w:rsid w:val="000A00A3"/>
    <w:rsid w:val="000A1AB1"/>
    <w:rsid w:val="000A6AE5"/>
    <w:rsid w:val="000C73B0"/>
    <w:rsid w:val="000D1E04"/>
    <w:rsid w:val="000D6699"/>
    <w:rsid w:val="000E294B"/>
    <w:rsid w:val="000F16F5"/>
    <w:rsid w:val="000F71BB"/>
    <w:rsid w:val="00107C19"/>
    <w:rsid w:val="00112D88"/>
    <w:rsid w:val="001217D7"/>
    <w:rsid w:val="0013011C"/>
    <w:rsid w:val="00133F4A"/>
    <w:rsid w:val="00136D94"/>
    <w:rsid w:val="001443C7"/>
    <w:rsid w:val="00147B9D"/>
    <w:rsid w:val="00153FF0"/>
    <w:rsid w:val="00166267"/>
    <w:rsid w:val="00184750"/>
    <w:rsid w:val="0018593B"/>
    <w:rsid w:val="0019029A"/>
    <w:rsid w:val="00195292"/>
    <w:rsid w:val="00196F51"/>
    <w:rsid w:val="001B4725"/>
    <w:rsid w:val="001B6FAD"/>
    <w:rsid w:val="001C234D"/>
    <w:rsid w:val="001D1791"/>
    <w:rsid w:val="001D4240"/>
    <w:rsid w:val="001E3D3E"/>
    <w:rsid w:val="001F04B1"/>
    <w:rsid w:val="001F0CD3"/>
    <w:rsid w:val="001F1952"/>
    <w:rsid w:val="00212A92"/>
    <w:rsid w:val="0022717C"/>
    <w:rsid w:val="002314CC"/>
    <w:rsid w:val="00231B01"/>
    <w:rsid w:val="0023378A"/>
    <w:rsid w:val="0024350B"/>
    <w:rsid w:val="00246109"/>
    <w:rsid w:val="0026525E"/>
    <w:rsid w:val="00270050"/>
    <w:rsid w:val="002703C9"/>
    <w:rsid w:val="00271155"/>
    <w:rsid w:val="00277181"/>
    <w:rsid w:val="0028406C"/>
    <w:rsid w:val="00284309"/>
    <w:rsid w:val="00292DB8"/>
    <w:rsid w:val="00293BFA"/>
    <w:rsid w:val="002A74B8"/>
    <w:rsid w:val="002B34DF"/>
    <w:rsid w:val="002B3EC2"/>
    <w:rsid w:val="002B47E6"/>
    <w:rsid w:val="002C281E"/>
    <w:rsid w:val="002C42C4"/>
    <w:rsid w:val="002D0EDB"/>
    <w:rsid w:val="002D79A5"/>
    <w:rsid w:val="002F00EB"/>
    <w:rsid w:val="00301ED1"/>
    <w:rsid w:val="0031000D"/>
    <w:rsid w:val="00311C4F"/>
    <w:rsid w:val="00316F87"/>
    <w:rsid w:val="0032145B"/>
    <w:rsid w:val="003272EE"/>
    <w:rsid w:val="00330F95"/>
    <w:rsid w:val="00341DFD"/>
    <w:rsid w:val="003427B7"/>
    <w:rsid w:val="00353E71"/>
    <w:rsid w:val="00357860"/>
    <w:rsid w:val="00365D68"/>
    <w:rsid w:val="003669A9"/>
    <w:rsid w:val="00371A64"/>
    <w:rsid w:val="00372312"/>
    <w:rsid w:val="003747DE"/>
    <w:rsid w:val="00374AAA"/>
    <w:rsid w:val="00374BDB"/>
    <w:rsid w:val="0038622B"/>
    <w:rsid w:val="00387FA8"/>
    <w:rsid w:val="00392237"/>
    <w:rsid w:val="00393901"/>
    <w:rsid w:val="0039674E"/>
    <w:rsid w:val="003A01CD"/>
    <w:rsid w:val="003A1AE2"/>
    <w:rsid w:val="003A2E51"/>
    <w:rsid w:val="003A33B0"/>
    <w:rsid w:val="003B03ED"/>
    <w:rsid w:val="003D4D95"/>
    <w:rsid w:val="003D7C1B"/>
    <w:rsid w:val="003D7E95"/>
    <w:rsid w:val="003E2C15"/>
    <w:rsid w:val="003E5732"/>
    <w:rsid w:val="00410E06"/>
    <w:rsid w:val="00425727"/>
    <w:rsid w:val="00435018"/>
    <w:rsid w:val="0043525E"/>
    <w:rsid w:val="00436BA2"/>
    <w:rsid w:val="00437B36"/>
    <w:rsid w:val="004412FE"/>
    <w:rsid w:val="004516E0"/>
    <w:rsid w:val="00461E89"/>
    <w:rsid w:val="00476455"/>
    <w:rsid w:val="0048112B"/>
    <w:rsid w:val="004812B0"/>
    <w:rsid w:val="0048250E"/>
    <w:rsid w:val="004859D7"/>
    <w:rsid w:val="00490549"/>
    <w:rsid w:val="00491971"/>
    <w:rsid w:val="00494DF3"/>
    <w:rsid w:val="00497695"/>
    <w:rsid w:val="004A18E7"/>
    <w:rsid w:val="004A5719"/>
    <w:rsid w:val="004C20C1"/>
    <w:rsid w:val="004C273E"/>
    <w:rsid w:val="004C5433"/>
    <w:rsid w:val="004D4345"/>
    <w:rsid w:val="004E5449"/>
    <w:rsid w:val="004E5863"/>
    <w:rsid w:val="004F2C39"/>
    <w:rsid w:val="004F2FB9"/>
    <w:rsid w:val="004F4F0E"/>
    <w:rsid w:val="00506B7E"/>
    <w:rsid w:val="00507417"/>
    <w:rsid w:val="00520AF9"/>
    <w:rsid w:val="0052371A"/>
    <w:rsid w:val="005300A9"/>
    <w:rsid w:val="005303CF"/>
    <w:rsid w:val="00532AE3"/>
    <w:rsid w:val="005335A1"/>
    <w:rsid w:val="005362A9"/>
    <w:rsid w:val="00542C7E"/>
    <w:rsid w:val="00543B05"/>
    <w:rsid w:val="00543BFA"/>
    <w:rsid w:val="005453C8"/>
    <w:rsid w:val="005469D9"/>
    <w:rsid w:val="005538CB"/>
    <w:rsid w:val="00556BF4"/>
    <w:rsid w:val="00567F8D"/>
    <w:rsid w:val="0057168F"/>
    <w:rsid w:val="0057721B"/>
    <w:rsid w:val="005910DC"/>
    <w:rsid w:val="00591F4E"/>
    <w:rsid w:val="00597EC4"/>
    <w:rsid w:val="005B519F"/>
    <w:rsid w:val="005C774E"/>
    <w:rsid w:val="005D2FF2"/>
    <w:rsid w:val="005E54B5"/>
    <w:rsid w:val="005F1D86"/>
    <w:rsid w:val="005F6D8F"/>
    <w:rsid w:val="0060056E"/>
    <w:rsid w:val="00602360"/>
    <w:rsid w:val="006027D2"/>
    <w:rsid w:val="00605EEF"/>
    <w:rsid w:val="006075E9"/>
    <w:rsid w:val="00614A05"/>
    <w:rsid w:val="00614FD6"/>
    <w:rsid w:val="00615A19"/>
    <w:rsid w:val="00620E7F"/>
    <w:rsid w:val="0063236B"/>
    <w:rsid w:val="00633ED3"/>
    <w:rsid w:val="00635E9A"/>
    <w:rsid w:val="00640E94"/>
    <w:rsid w:val="00644C96"/>
    <w:rsid w:val="006475B8"/>
    <w:rsid w:val="0065605F"/>
    <w:rsid w:val="00657ABB"/>
    <w:rsid w:val="0068465D"/>
    <w:rsid w:val="006A55DD"/>
    <w:rsid w:val="006A67A3"/>
    <w:rsid w:val="006B00C7"/>
    <w:rsid w:val="006B579E"/>
    <w:rsid w:val="006B606F"/>
    <w:rsid w:val="006B7EE7"/>
    <w:rsid w:val="006C75A4"/>
    <w:rsid w:val="006D1A06"/>
    <w:rsid w:val="006D262E"/>
    <w:rsid w:val="006D7630"/>
    <w:rsid w:val="006F08F1"/>
    <w:rsid w:val="006F28FC"/>
    <w:rsid w:val="006F57FE"/>
    <w:rsid w:val="006F591B"/>
    <w:rsid w:val="007035FD"/>
    <w:rsid w:val="0070426D"/>
    <w:rsid w:val="00704C9C"/>
    <w:rsid w:val="00706419"/>
    <w:rsid w:val="00714447"/>
    <w:rsid w:val="00715DB6"/>
    <w:rsid w:val="00717A52"/>
    <w:rsid w:val="00722EA5"/>
    <w:rsid w:val="00731DB7"/>
    <w:rsid w:val="00732DE0"/>
    <w:rsid w:val="00733852"/>
    <w:rsid w:val="00741A94"/>
    <w:rsid w:val="00745939"/>
    <w:rsid w:val="00746CEA"/>
    <w:rsid w:val="007614E2"/>
    <w:rsid w:val="0077207B"/>
    <w:rsid w:val="00772FAD"/>
    <w:rsid w:val="0077464F"/>
    <w:rsid w:val="00776703"/>
    <w:rsid w:val="00792E8D"/>
    <w:rsid w:val="007937C2"/>
    <w:rsid w:val="007C4E3E"/>
    <w:rsid w:val="007C6C37"/>
    <w:rsid w:val="007E2E0F"/>
    <w:rsid w:val="007E5EB8"/>
    <w:rsid w:val="00815F2E"/>
    <w:rsid w:val="0081638D"/>
    <w:rsid w:val="00823A8A"/>
    <w:rsid w:val="00832B61"/>
    <w:rsid w:val="0084522B"/>
    <w:rsid w:val="008538CE"/>
    <w:rsid w:val="00853D01"/>
    <w:rsid w:val="00853D77"/>
    <w:rsid w:val="00855AE0"/>
    <w:rsid w:val="008726BD"/>
    <w:rsid w:val="008901DE"/>
    <w:rsid w:val="008919BC"/>
    <w:rsid w:val="0089739E"/>
    <w:rsid w:val="0089788D"/>
    <w:rsid w:val="008A03EC"/>
    <w:rsid w:val="008B39C7"/>
    <w:rsid w:val="008B7E92"/>
    <w:rsid w:val="008F7CF3"/>
    <w:rsid w:val="0090777F"/>
    <w:rsid w:val="009134CB"/>
    <w:rsid w:val="00922A46"/>
    <w:rsid w:val="00930C4D"/>
    <w:rsid w:val="009335A2"/>
    <w:rsid w:val="00934753"/>
    <w:rsid w:val="00936448"/>
    <w:rsid w:val="0093748D"/>
    <w:rsid w:val="00937D3E"/>
    <w:rsid w:val="0094399F"/>
    <w:rsid w:val="00951E44"/>
    <w:rsid w:val="00955B0F"/>
    <w:rsid w:val="00960F45"/>
    <w:rsid w:val="00965791"/>
    <w:rsid w:val="00972DA7"/>
    <w:rsid w:val="00974D36"/>
    <w:rsid w:val="0097572B"/>
    <w:rsid w:val="00977410"/>
    <w:rsid w:val="00984DFF"/>
    <w:rsid w:val="00985033"/>
    <w:rsid w:val="0099390C"/>
    <w:rsid w:val="00995CD8"/>
    <w:rsid w:val="009A1A93"/>
    <w:rsid w:val="009B51B6"/>
    <w:rsid w:val="009D2F17"/>
    <w:rsid w:val="009E7796"/>
    <w:rsid w:val="009F0D49"/>
    <w:rsid w:val="009F274C"/>
    <w:rsid w:val="009F3B45"/>
    <w:rsid w:val="009F5252"/>
    <w:rsid w:val="009F7571"/>
    <w:rsid w:val="00A033C8"/>
    <w:rsid w:val="00A05E64"/>
    <w:rsid w:val="00A12F3B"/>
    <w:rsid w:val="00A2084E"/>
    <w:rsid w:val="00A260D3"/>
    <w:rsid w:val="00A34536"/>
    <w:rsid w:val="00A45805"/>
    <w:rsid w:val="00A4676A"/>
    <w:rsid w:val="00A47914"/>
    <w:rsid w:val="00A54E57"/>
    <w:rsid w:val="00A609D1"/>
    <w:rsid w:val="00A628C5"/>
    <w:rsid w:val="00A63323"/>
    <w:rsid w:val="00A706AA"/>
    <w:rsid w:val="00A7214E"/>
    <w:rsid w:val="00A75FC3"/>
    <w:rsid w:val="00A80847"/>
    <w:rsid w:val="00A9411A"/>
    <w:rsid w:val="00AA6326"/>
    <w:rsid w:val="00AB223A"/>
    <w:rsid w:val="00AB6177"/>
    <w:rsid w:val="00AC0744"/>
    <w:rsid w:val="00AE0440"/>
    <w:rsid w:val="00AE3FA2"/>
    <w:rsid w:val="00AF34CA"/>
    <w:rsid w:val="00AF5EED"/>
    <w:rsid w:val="00AF77D4"/>
    <w:rsid w:val="00B1320B"/>
    <w:rsid w:val="00B21F8E"/>
    <w:rsid w:val="00B233AF"/>
    <w:rsid w:val="00B26E33"/>
    <w:rsid w:val="00B35604"/>
    <w:rsid w:val="00B46BAF"/>
    <w:rsid w:val="00B56AE7"/>
    <w:rsid w:val="00B667E6"/>
    <w:rsid w:val="00B72279"/>
    <w:rsid w:val="00B7450D"/>
    <w:rsid w:val="00B80088"/>
    <w:rsid w:val="00B80B60"/>
    <w:rsid w:val="00B9218A"/>
    <w:rsid w:val="00B95F0C"/>
    <w:rsid w:val="00B96C4D"/>
    <w:rsid w:val="00BA240C"/>
    <w:rsid w:val="00BB1141"/>
    <w:rsid w:val="00BB1716"/>
    <w:rsid w:val="00BB1833"/>
    <w:rsid w:val="00BD35E9"/>
    <w:rsid w:val="00BD5B4E"/>
    <w:rsid w:val="00BE01AD"/>
    <w:rsid w:val="00BE5841"/>
    <w:rsid w:val="00BE66CB"/>
    <w:rsid w:val="00BF1592"/>
    <w:rsid w:val="00BF1ABF"/>
    <w:rsid w:val="00BF2208"/>
    <w:rsid w:val="00BF621E"/>
    <w:rsid w:val="00C1300B"/>
    <w:rsid w:val="00C2016D"/>
    <w:rsid w:val="00C219EF"/>
    <w:rsid w:val="00C27A18"/>
    <w:rsid w:val="00C30109"/>
    <w:rsid w:val="00C37785"/>
    <w:rsid w:val="00C40FB9"/>
    <w:rsid w:val="00C42D0A"/>
    <w:rsid w:val="00C501F9"/>
    <w:rsid w:val="00C51A7F"/>
    <w:rsid w:val="00C620E7"/>
    <w:rsid w:val="00C6383E"/>
    <w:rsid w:val="00C66B67"/>
    <w:rsid w:val="00C72829"/>
    <w:rsid w:val="00C7323C"/>
    <w:rsid w:val="00C76A78"/>
    <w:rsid w:val="00C80456"/>
    <w:rsid w:val="00C91544"/>
    <w:rsid w:val="00CB12E5"/>
    <w:rsid w:val="00CB2DA4"/>
    <w:rsid w:val="00CB73A6"/>
    <w:rsid w:val="00CC2A18"/>
    <w:rsid w:val="00CC69B3"/>
    <w:rsid w:val="00CD12C1"/>
    <w:rsid w:val="00CE3BEA"/>
    <w:rsid w:val="00CF7FF6"/>
    <w:rsid w:val="00D0209E"/>
    <w:rsid w:val="00D02A8A"/>
    <w:rsid w:val="00D1550E"/>
    <w:rsid w:val="00D21145"/>
    <w:rsid w:val="00D24F67"/>
    <w:rsid w:val="00D30E76"/>
    <w:rsid w:val="00D33367"/>
    <w:rsid w:val="00D365ED"/>
    <w:rsid w:val="00D620BE"/>
    <w:rsid w:val="00D63989"/>
    <w:rsid w:val="00D71661"/>
    <w:rsid w:val="00D729A4"/>
    <w:rsid w:val="00D80B02"/>
    <w:rsid w:val="00D8563F"/>
    <w:rsid w:val="00D92031"/>
    <w:rsid w:val="00D93C45"/>
    <w:rsid w:val="00D9598F"/>
    <w:rsid w:val="00DA175B"/>
    <w:rsid w:val="00DB1FB8"/>
    <w:rsid w:val="00DB5DBF"/>
    <w:rsid w:val="00DB76CB"/>
    <w:rsid w:val="00DC4C90"/>
    <w:rsid w:val="00DC6ADE"/>
    <w:rsid w:val="00E0172D"/>
    <w:rsid w:val="00E053CE"/>
    <w:rsid w:val="00E15474"/>
    <w:rsid w:val="00E20165"/>
    <w:rsid w:val="00E25E3C"/>
    <w:rsid w:val="00E27CB7"/>
    <w:rsid w:val="00E36141"/>
    <w:rsid w:val="00E41FD9"/>
    <w:rsid w:val="00E43C18"/>
    <w:rsid w:val="00E44EC9"/>
    <w:rsid w:val="00E721D6"/>
    <w:rsid w:val="00E747FE"/>
    <w:rsid w:val="00E83E58"/>
    <w:rsid w:val="00E942CC"/>
    <w:rsid w:val="00EA10B4"/>
    <w:rsid w:val="00EA4B65"/>
    <w:rsid w:val="00EB6760"/>
    <w:rsid w:val="00EC12B2"/>
    <w:rsid w:val="00F16795"/>
    <w:rsid w:val="00F17502"/>
    <w:rsid w:val="00F32A0F"/>
    <w:rsid w:val="00F44C1C"/>
    <w:rsid w:val="00F45E28"/>
    <w:rsid w:val="00F5051C"/>
    <w:rsid w:val="00F54A96"/>
    <w:rsid w:val="00F57FDA"/>
    <w:rsid w:val="00F7111F"/>
    <w:rsid w:val="00F80197"/>
    <w:rsid w:val="00F8600C"/>
    <w:rsid w:val="00F8624C"/>
    <w:rsid w:val="00F8732C"/>
    <w:rsid w:val="00F95030"/>
    <w:rsid w:val="00F9633F"/>
    <w:rsid w:val="00FB368B"/>
    <w:rsid w:val="00FD1E09"/>
    <w:rsid w:val="00FE3AEC"/>
    <w:rsid w:val="00FE63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41F0D9"/>
  <w15:docId w15:val="{DAF38156-A7CC-4227-8853-4050DB24E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BodyText"/>
    <w:next w:val="BodyText"/>
    <w:qFormat/>
    <w:pPr>
      <w:keepNext/>
      <w:ind w:left="1080" w:hanging="1080"/>
      <w:outlineLvl w:val="1"/>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240"/>
    </w:pPr>
    <w:rPr>
      <w:sz w:val="24"/>
      <w:lang w:val="en-GB"/>
    </w:rPr>
  </w:style>
  <w:style w:type="paragraph" w:styleId="List">
    <w:name w:val="List"/>
    <w:basedOn w:val="BodyText"/>
    <w:pPr>
      <w:ind w:left="1080" w:hanging="1080"/>
    </w:pPr>
  </w:style>
  <w:style w:type="paragraph" w:styleId="Title">
    <w:name w:val="Title"/>
    <w:basedOn w:val="BodyText"/>
    <w:qFormat/>
    <w:pPr>
      <w:spacing w:after="240"/>
      <w:jc w:val="center"/>
    </w:pPr>
    <w:rPr>
      <w:rFonts w:ascii="Arial" w:hAnsi="Arial"/>
      <w:b/>
      <w:sz w:val="40"/>
    </w:rPr>
  </w:style>
  <w:style w:type="paragraph" w:customStyle="1" w:styleId="amend">
    <w:name w:val="amend"/>
    <w:basedOn w:val="Normal"/>
    <w:pPr>
      <w:tabs>
        <w:tab w:val="left" w:pos="1080"/>
      </w:tabs>
      <w:spacing w:before="40" w:after="40"/>
      <w:jc w:val="right"/>
    </w:pPr>
    <w:rPr>
      <w:rFonts w:ascii="Arial" w:hAnsi="Arial"/>
      <w:b/>
      <w:sz w:val="24"/>
      <w:vertAlign w:val="superscript"/>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Default">
    <w:name w:val="Default"/>
    <w:rsid w:val="00A80847"/>
    <w:pPr>
      <w:autoSpaceDE w:val="0"/>
      <w:autoSpaceDN w:val="0"/>
      <w:adjustRightInd w:val="0"/>
    </w:pPr>
    <w:rPr>
      <w:color w:val="000000"/>
      <w:sz w:val="24"/>
      <w:szCs w:val="24"/>
    </w:rPr>
  </w:style>
  <w:style w:type="character" w:styleId="Hyperlink">
    <w:name w:val="Hyperlink"/>
    <w:basedOn w:val="DefaultParagraphFont"/>
    <w:uiPriority w:val="99"/>
    <w:unhideWhenUsed/>
    <w:rsid w:val="00246109"/>
    <w:rPr>
      <w:color w:val="0000FF" w:themeColor="hyperlink"/>
      <w:u w:val="single"/>
    </w:rPr>
  </w:style>
  <w:style w:type="character" w:styleId="UnresolvedMention">
    <w:name w:val="Unresolved Mention"/>
    <w:basedOn w:val="DefaultParagraphFont"/>
    <w:uiPriority w:val="99"/>
    <w:semiHidden/>
    <w:unhideWhenUsed/>
    <w:rsid w:val="00246109"/>
    <w:rPr>
      <w:color w:val="605E5C"/>
      <w:shd w:val="clear" w:color="auto" w:fill="E1DFDD"/>
    </w:rPr>
  </w:style>
  <w:style w:type="character" w:styleId="CommentReference">
    <w:name w:val="annotation reference"/>
    <w:basedOn w:val="DefaultParagraphFont"/>
    <w:uiPriority w:val="99"/>
    <w:semiHidden/>
    <w:unhideWhenUsed/>
    <w:rsid w:val="009F0D49"/>
    <w:rPr>
      <w:sz w:val="16"/>
      <w:szCs w:val="16"/>
    </w:rPr>
  </w:style>
  <w:style w:type="paragraph" w:styleId="CommentText">
    <w:name w:val="annotation text"/>
    <w:basedOn w:val="Normal"/>
    <w:link w:val="CommentTextChar"/>
    <w:uiPriority w:val="99"/>
    <w:unhideWhenUsed/>
    <w:rsid w:val="009F0D49"/>
  </w:style>
  <w:style w:type="character" w:customStyle="1" w:styleId="CommentTextChar">
    <w:name w:val="Comment Text Char"/>
    <w:basedOn w:val="DefaultParagraphFont"/>
    <w:link w:val="CommentText"/>
    <w:uiPriority w:val="99"/>
    <w:rsid w:val="009F0D49"/>
  </w:style>
  <w:style w:type="paragraph" w:styleId="CommentSubject">
    <w:name w:val="annotation subject"/>
    <w:basedOn w:val="CommentText"/>
    <w:next w:val="CommentText"/>
    <w:link w:val="CommentSubjectChar"/>
    <w:uiPriority w:val="99"/>
    <w:semiHidden/>
    <w:unhideWhenUsed/>
    <w:rsid w:val="009F0D49"/>
    <w:rPr>
      <w:b/>
      <w:bCs/>
    </w:rPr>
  </w:style>
  <w:style w:type="character" w:customStyle="1" w:styleId="CommentSubjectChar">
    <w:name w:val="Comment Subject Char"/>
    <w:basedOn w:val="CommentTextChar"/>
    <w:link w:val="CommentSubject"/>
    <w:uiPriority w:val="99"/>
    <w:semiHidden/>
    <w:rsid w:val="009F0D49"/>
    <w:rPr>
      <w:b/>
      <w:bCs/>
    </w:rPr>
  </w:style>
  <w:style w:type="paragraph" w:styleId="ListParagraph">
    <w:name w:val="List Paragraph"/>
    <w:basedOn w:val="Normal"/>
    <w:uiPriority w:val="34"/>
    <w:qFormat/>
    <w:rsid w:val="0077207B"/>
    <w:pPr>
      <w:ind w:left="720"/>
      <w:contextualSpacing/>
    </w:pPr>
  </w:style>
  <w:style w:type="paragraph" w:styleId="Revision">
    <w:name w:val="Revision"/>
    <w:hidden/>
    <w:uiPriority w:val="99"/>
    <w:semiHidden/>
    <w:rsid w:val="0018593B"/>
  </w:style>
  <w:style w:type="paragraph" w:styleId="NormalWeb">
    <w:name w:val="Normal (Web)"/>
    <w:uiPriority w:val="99"/>
    <w:rsid w:val="00B80B60"/>
    <w:pPr>
      <w:pBdr>
        <w:top w:val="nil"/>
        <w:left w:val="nil"/>
        <w:bottom w:val="nil"/>
        <w:right w:val="nil"/>
        <w:between w:val="nil"/>
        <w:bar w:val="nil"/>
      </w:pBdr>
      <w:spacing w:before="100" w:after="100"/>
    </w:pPr>
    <w:rPr>
      <w:rFonts w:eastAsia="Arial Unicode MS" w:cs="Arial Unicode MS"/>
      <w:color w:val="000000"/>
      <w:sz w:val="24"/>
      <w:szCs w:val="24"/>
      <w:u w:color="000000"/>
      <w:bdr w:val="nil"/>
    </w:rPr>
  </w:style>
  <w:style w:type="paragraph" w:customStyle="1" w:styleId="FigureCaption">
    <w:name w:val="Figure Caption"/>
    <w:basedOn w:val="Normal"/>
    <w:qFormat/>
    <w:rsid w:val="00930C4D"/>
    <w:pPr>
      <w:pBdr>
        <w:top w:val="nil"/>
        <w:left w:val="nil"/>
        <w:bottom w:val="nil"/>
        <w:right w:val="nil"/>
        <w:between w:val="nil"/>
        <w:bar w:val="nil"/>
      </w:pBdr>
      <w:spacing w:after="195"/>
      <w:jc w:val="center"/>
    </w:pPr>
    <w:rPr>
      <w:b/>
      <w:bCs/>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079022">
      <w:bodyDiv w:val="1"/>
      <w:marLeft w:val="0"/>
      <w:marRight w:val="0"/>
      <w:marTop w:val="0"/>
      <w:marBottom w:val="0"/>
      <w:divBdr>
        <w:top w:val="none" w:sz="0" w:space="0" w:color="auto"/>
        <w:left w:val="none" w:sz="0" w:space="0" w:color="auto"/>
        <w:bottom w:val="none" w:sz="0" w:space="0" w:color="auto"/>
        <w:right w:val="none" w:sz="0" w:space="0" w:color="auto"/>
      </w:divBdr>
      <w:divsChild>
        <w:div w:id="407920259">
          <w:marLeft w:val="0"/>
          <w:marRight w:val="0"/>
          <w:marTop w:val="0"/>
          <w:marBottom w:val="0"/>
          <w:divBdr>
            <w:top w:val="none" w:sz="0" w:space="0" w:color="auto"/>
            <w:left w:val="none" w:sz="0" w:space="0" w:color="auto"/>
            <w:bottom w:val="none" w:sz="0" w:space="0" w:color="auto"/>
            <w:right w:val="none" w:sz="0" w:space="0" w:color="auto"/>
          </w:divBdr>
          <w:divsChild>
            <w:div w:id="1356879191">
              <w:marLeft w:val="0"/>
              <w:marRight w:val="0"/>
              <w:marTop w:val="0"/>
              <w:marBottom w:val="0"/>
              <w:divBdr>
                <w:top w:val="none" w:sz="0" w:space="0" w:color="auto"/>
                <w:left w:val="none" w:sz="0" w:space="0" w:color="auto"/>
                <w:bottom w:val="none" w:sz="0" w:space="0" w:color="auto"/>
                <w:right w:val="none" w:sz="0" w:space="0" w:color="auto"/>
              </w:divBdr>
            </w:div>
          </w:divsChild>
        </w:div>
        <w:div w:id="1807039927">
          <w:marLeft w:val="0"/>
          <w:marRight w:val="0"/>
          <w:marTop w:val="0"/>
          <w:marBottom w:val="0"/>
          <w:divBdr>
            <w:top w:val="none" w:sz="0" w:space="0" w:color="auto"/>
            <w:left w:val="none" w:sz="0" w:space="0" w:color="auto"/>
            <w:bottom w:val="none" w:sz="0" w:space="0" w:color="auto"/>
            <w:right w:val="none" w:sz="0" w:space="0" w:color="auto"/>
          </w:divBdr>
        </w:div>
      </w:divsChild>
    </w:div>
    <w:div w:id="163270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7ABFC-FA86-43A3-A45D-F411C5848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2385</Words>
  <Characters>13596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lpstr>
    </vt:vector>
  </TitlesOfParts>
  <Company>Vancouver Stock Exchange</Company>
  <LinksUpToDate>false</LinksUpToDate>
  <CharactersWithSpaces>15950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lstdjoh</dc:creator>
  <cp:keywords/>
  <dc:description/>
  <cp:lastModifiedBy>Stella Chen</cp:lastModifiedBy>
  <cp:revision>4</cp:revision>
  <cp:lastPrinted>2004-05-10T18:28:00Z</cp:lastPrinted>
  <dcterms:created xsi:type="dcterms:W3CDTF">2026-04-06T18:28:00Z</dcterms:created>
  <dcterms:modified xsi:type="dcterms:W3CDTF">2026-04-06T18:44:00Z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PATH">
    <vt:lpwstr>3214.001\0162</vt:lpwstr>
  </property>
</Properties>
</file>