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0A3C" w14:textId="77777777" w:rsidR="00AC4071" w:rsidRDefault="00AC4071" w:rsidP="00AC4071">
      <w:pPr>
        <w:pStyle w:val="BodyFull"/>
        <w:jc w:val="center"/>
        <w:rPr>
          <w:b/>
        </w:rPr>
      </w:pPr>
      <w:r>
        <w:rPr>
          <w:noProof/>
        </w:rPr>
        <w:drawing>
          <wp:anchor distT="0" distB="0" distL="114300" distR="114300" simplePos="0" relativeHeight="251658240" behindDoc="1" locked="0" layoutInCell="1" allowOverlap="1" wp14:anchorId="29DE17D3" wp14:editId="7421A3DF">
            <wp:simplePos x="0" y="0"/>
            <wp:positionH relativeFrom="column">
              <wp:posOffset>-346710</wp:posOffset>
            </wp:positionH>
            <wp:positionV relativeFrom="paragraph">
              <wp:posOffset>-882015</wp:posOffset>
            </wp:positionV>
            <wp:extent cx="5943600" cy="19418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A59DF" w14:textId="77777777" w:rsidR="00AC4071" w:rsidRDefault="00AC4071" w:rsidP="00AC4071">
      <w:pPr>
        <w:pStyle w:val="BodyFull"/>
        <w:jc w:val="center"/>
        <w:rPr>
          <w:b/>
        </w:rPr>
      </w:pPr>
    </w:p>
    <w:p w14:paraId="793D7812" w14:textId="5BFCFAE1" w:rsidR="00B34501" w:rsidRDefault="00B34501" w:rsidP="003B36CC">
      <w:pPr>
        <w:jc w:val="center"/>
        <w:rPr>
          <w:b/>
          <w:bCs/>
        </w:rPr>
      </w:pPr>
      <w:r w:rsidRPr="00B34501">
        <w:rPr>
          <w:b/>
          <w:bCs/>
        </w:rPr>
        <w:t xml:space="preserve">SolarBank </w:t>
      </w:r>
      <w:r w:rsidR="00FB1A96">
        <w:rPr>
          <w:b/>
          <w:bCs/>
        </w:rPr>
        <w:t xml:space="preserve">Announces Third Quarter Results and Provides Year-End </w:t>
      </w:r>
      <w:r w:rsidR="001674AB">
        <w:rPr>
          <w:b/>
          <w:bCs/>
        </w:rPr>
        <w:t xml:space="preserve">Revenue </w:t>
      </w:r>
      <w:r w:rsidR="00FB1A96">
        <w:rPr>
          <w:b/>
          <w:bCs/>
        </w:rPr>
        <w:t>Guidance</w:t>
      </w:r>
    </w:p>
    <w:p w14:paraId="2428A7E6" w14:textId="77777777" w:rsidR="00B34501" w:rsidRPr="00B34501" w:rsidRDefault="00B34501" w:rsidP="00B34501">
      <w:pPr>
        <w:rPr>
          <w:b/>
          <w:bCs/>
        </w:rPr>
      </w:pPr>
    </w:p>
    <w:p w14:paraId="73B8DCF9" w14:textId="7700D7E5" w:rsidR="00D06D1F" w:rsidRDefault="00DD4D87" w:rsidP="00D06D1F">
      <w:pPr>
        <w:pStyle w:val="ListParagraph"/>
        <w:numPr>
          <w:ilvl w:val="0"/>
          <w:numId w:val="7"/>
        </w:numPr>
        <w:rPr>
          <w:rFonts w:eastAsia="MS Mincho" w:cstheme="minorHAnsi"/>
          <w:b/>
          <w:lang w:val="en-CA"/>
        </w:rPr>
      </w:pPr>
      <w:r>
        <w:rPr>
          <w:rFonts w:eastAsia="MS Mincho" w:cstheme="minorHAnsi"/>
          <w:b/>
          <w:lang w:val="en-CA"/>
        </w:rPr>
        <w:t>Revenue for the nine month period of $9.1 million</w:t>
      </w:r>
    </w:p>
    <w:p w14:paraId="6FCB3B8A" w14:textId="29FE4560" w:rsidR="00BA038F" w:rsidRDefault="00DD4D87" w:rsidP="00BA038F">
      <w:pPr>
        <w:pStyle w:val="ListParagraph"/>
        <w:numPr>
          <w:ilvl w:val="0"/>
          <w:numId w:val="7"/>
        </w:numPr>
        <w:rPr>
          <w:rFonts w:cstheme="minorHAnsi"/>
          <w:b/>
        </w:rPr>
      </w:pPr>
      <w:r>
        <w:rPr>
          <w:rFonts w:cstheme="minorHAnsi"/>
          <w:b/>
        </w:rPr>
        <w:t>Net income for the nine month period of $3</w:t>
      </w:r>
      <w:r w:rsidR="00077D8A">
        <w:rPr>
          <w:rFonts w:cstheme="minorHAnsi"/>
          <w:b/>
        </w:rPr>
        <w:t xml:space="preserve"> million or $0.1</w:t>
      </w:r>
      <w:r w:rsidR="008B0A75">
        <w:rPr>
          <w:rFonts w:cstheme="minorHAnsi"/>
          <w:b/>
        </w:rPr>
        <w:t>3</w:t>
      </w:r>
      <w:r w:rsidR="00077D8A">
        <w:rPr>
          <w:rFonts w:cstheme="minorHAnsi"/>
          <w:b/>
        </w:rPr>
        <w:t xml:space="preserve"> per share (undiluted)</w:t>
      </w:r>
    </w:p>
    <w:p w14:paraId="61881B4D" w14:textId="3920165E" w:rsidR="00077D8A" w:rsidRDefault="00077D8A" w:rsidP="00BA038F">
      <w:pPr>
        <w:pStyle w:val="ListParagraph"/>
        <w:numPr>
          <w:ilvl w:val="0"/>
          <w:numId w:val="7"/>
        </w:numPr>
        <w:rPr>
          <w:rFonts w:cstheme="minorHAnsi"/>
          <w:b/>
        </w:rPr>
      </w:pPr>
      <w:r>
        <w:rPr>
          <w:rFonts w:cstheme="minorHAnsi"/>
          <w:b/>
        </w:rPr>
        <w:t>Cash and short-term investments of $10.3 million</w:t>
      </w:r>
    </w:p>
    <w:p w14:paraId="6895C59C" w14:textId="1E779844" w:rsidR="003B36CC" w:rsidRDefault="00077D8A" w:rsidP="00027D63">
      <w:pPr>
        <w:pStyle w:val="ListParagraph"/>
        <w:numPr>
          <w:ilvl w:val="0"/>
          <w:numId w:val="7"/>
        </w:numPr>
        <w:rPr>
          <w:b/>
        </w:rPr>
      </w:pPr>
      <w:r w:rsidRPr="7654AB28">
        <w:rPr>
          <w:b/>
        </w:rPr>
        <w:t>Revenue guidance of $</w:t>
      </w:r>
      <w:r w:rsidR="00C07266" w:rsidRPr="7654AB28">
        <w:rPr>
          <w:b/>
        </w:rPr>
        <w:t>1</w:t>
      </w:r>
      <w:r w:rsidR="00E866CA" w:rsidRPr="7654AB28">
        <w:rPr>
          <w:b/>
        </w:rPr>
        <w:t>7</w:t>
      </w:r>
      <w:r w:rsidR="00294879" w:rsidRPr="7654AB28">
        <w:rPr>
          <w:b/>
        </w:rPr>
        <w:t xml:space="preserve"> </w:t>
      </w:r>
      <w:r w:rsidR="00294879" w:rsidRPr="7654AB28">
        <w:rPr>
          <w:rFonts w:asciiTheme="minorEastAsia" w:eastAsiaTheme="minorEastAsia" w:hAnsiTheme="minorEastAsia" w:hint="eastAsia"/>
          <w:b/>
          <w:lang w:eastAsia="zh-CN"/>
        </w:rPr>
        <w:t>mill</w:t>
      </w:r>
      <w:r w:rsidR="00294879" w:rsidRPr="7654AB28">
        <w:rPr>
          <w:rFonts w:eastAsiaTheme="minorEastAsia"/>
          <w:b/>
        </w:rPr>
        <w:t>ion</w:t>
      </w:r>
      <w:r w:rsidR="00F72E8B" w:rsidRPr="7654AB28">
        <w:rPr>
          <w:b/>
        </w:rPr>
        <w:t xml:space="preserve"> to $</w:t>
      </w:r>
      <w:r w:rsidR="00DA5714">
        <w:rPr>
          <w:rFonts w:cstheme="minorHAnsi"/>
          <w:b/>
        </w:rPr>
        <w:t>20</w:t>
      </w:r>
      <w:r w:rsidR="00E866CA" w:rsidRPr="7654AB28">
        <w:rPr>
          <w:b/>
        </w:rPr>
        <w:t xml:space="preserve"> million</w:t>
      </w:r>
      <w:r w:rsidRPr="7654AB28">
        <w:rPr>
          <w:b/>
        </w:rPr>
        <w:t xml:space="preserve"> for the full fiscal year ended June 30, 2023</w:t>
      </w:r>
    </w:p>
    <w:p w14:paraId="1E736A21" w14:textId="77777777" w:rsidR="009C4509" w:rsidRPr="009C4509" w:rsidRDefault="009C4509" w:rsidP="009C4509">
      <w:pPr>
        <w:pStyle w:val="ListParagraph"/>
        <w:rPr>
          <w:rFonts w:cstheme="minorHAnsi"/>
          <w:b/>
        </w:rPr>
      </w:pPr>
    </w:p>
    <w:p w14:paraId="13A017F1" w14:textId="3A30E714" w:rsidR="002110BC" w:rsidRDefault="00AC4071" w:rsidP="00D06D1F">
      <w:pPr>
        <w:pStyle w:val="BodyFull"/>
        <w:rPr>
          <w:rFonts w:asciiTheme="minorHAnsi" w:hAnsiTheme="minorHAnsi" w:cstheme="minorHAnsi"/>
          <w:sz w:val="24"/>
          <w:szCs w:val="24"/>
        </w:rPr>
      </w:pPr>
      <w:r w:rsidRPr="00027D63">
        <w:rPr>
          <w:rFonts w:asciiTheme="minorHAnsi" w:hAnsiTheme="minorHAnsi" w:cstheme="minorHAnsi"/>
          <w:b/>
          <w:sz w:val="24"/>
          <w:szCs w:val="24"/>
        </w:rPr>
        <w:t xml:space="preserve">Toronto, Ontario, </w:t>
      </w:r>
      <w:r w:rsidRPr="00BE359E">
        <w:rPr>
          <w:rFonts w:asciiTheme="minorHAnsi" w:hAnsiTheme="minorHAnsi" w:cstheme="minorHAnsi"/>
          <w:b/>
          <w:sz w:val="24"/>
          <w:szCs w:val="24"/>
        </w:rPr>
        <w:t>Ma</w:t>
      </w:r>
      <w:r w:rsidR="00D06D1F" w:rsidRPr="00BE359E">
        <w:rPr>
          <w:rFonts w:asciiTheme="minorHAnsi" w:hAnsiTheme="minorHAnsi" w:cstheme="minorHAnsi"/>
          <w:b/>
          <w:sz w:val="24"/>
          <w:szCs w:val="24"/>
        </w:rPr>
        <w:t>y</w:t>
      </w:r>
      <w:r w:rsidRPr="00BE359E">
        <w:rPr>
          <w:rFonts w:asciiTheme="minorHAnsi" w:hAnsiTheme="minorHAnsi" w:cstheme="minorHAnsi"/>
          <w:b/>
          <w:sz w:val="24"/>
          <w:szCs w:val="24"/>
        </w:rPr>
        <w:t xml:space="preserve"> </w:t>
      </w:r>
      <w:r w:rsidR="002110BC">
        <w:rPr>
          <w:rFonts w:asciiTheme="minorHAnsi" w:hAnsiTheme="minorHAnsi" w:cstheme="minorHAnsi"/>
          <w:b/>
          <w:sz w:val="24"/>
          <w:szCs w:val="24"/>
        </w:rPr>
        <w:t>30</w:t>
      </w:r>
      <w:r w:rsidRPr="00027D63">
        <w:rPr>
          <w:rFonts w:asciiTheme="minorHAnsi" w:hAnsiTheme="minorHAnsi" w:cstheme="minorHAnsi"/>
          <w:b/>
          <w:sz w:val="24"/>
          <w:szCs w:val="24"/>
        </w:rPr>
        <w:t>, 2023</w:t>
      </w:r>
      <w:r w:rsidRPr="00027D63">
        <w:rPr>
          <w:rFonts w:asciiTheme="minorHAnsi" w:hAnsiTheme="minorHAnsi" w:cstheme="minorHAnsi"/>
          <w:sz w:val="24"/>
          <w:szCs w:val="24"/>
        </w:rPr>
        <w:t xml:space="preserve"> </w:t>
      </w:r>
      <w:r w:rsidRPr="00027D63">
        <w:rPr>
          <w:rFonts w:asciiTheme="minorHAnsi" w:hAnsiTheme="minorHAnsi" w:cstheme="minorHAnsi"/>
          <w:b/>
          <w:bCs/>
          <w:sz w:val="24"/>
          <w:szCs w:val="24"/>
        </w:rPr>
        <w:t>— SolarBank Corporation</w:t>
      </w:r>
      <w:r w:rsidRPr="00027D63">
        <w:rPr>
          <w:rFonts w:asciiTheme="minorHAnsi" w:hAnsiTheme="minorHAnsi" w:cstheme="minorHAnsi"/>
          <w:sz w:val="24"/>
          <w:szCs w:val="24"/>
        </w:rPr>
        <w:t xml:space="preserve"> </w:t>
      </w:r>
      <w:r w:rsidRPr="00027D63">
        <w:rPr>
          <w:rFonts w:asciiTheme="minorHAnsi" w:hAnsiTheme="minorHAnsi" w:cstheme="minorHAnsi"/>
          <w:b/>
          <w:bCs/>
          <w:sz w:val="24"/>
          <w:szCs w:val="24"/>
        </w:rPr>
        <w:t>(CSE: SUNN)</w:t>
      </w:r>
      <w:r w:rsidR="00D06D1F" w:rsidRPr="00027D63">
        <w:rPr>
          <w:rFonts w:asciiTheme="minorHAnsi" w:hAnsiTheme="minorHAnsi" w:cstheme="minorHAnsi"/>
          <w:sz w:val="24"/>
          <w:szCs w:val="24"/>
        </w:rPr>
        <w:t xml:space="preserve"> </w:t>
      </w:r>
      <w:r w:rsidR="00D06D1F" w:rsidRPr="00027D63">
        <w:rPr>
          <w:rFonts w:asciiTheme="minorHAnsi" w:hAnsiTheme="minorHAnsi" w:cstheme="minorHAnsi"/>
          <w:b/>
          <w:bCs/>
          <w:sz w:val="24"/>
          <w:szCs w:val="24"/>
        </w:rPr>
        <w:t xml:space="preserve">(OTCQX: SLBCF) </w:t>
      </w:r>
      <w:r w:rsidR="00E258A9">
        <w:rPr>
          <w:rFonts w:asciiTheme="minorHAnsi" w:hAnsiTheme="minorHAnsi" w:cstheme="minorHAnsi"/>
          <w:b/>
          <w:bCs/>
          <w:sz w:val="24"/>
          <w:szCs w:val="24"/>
        </w:rPr>
        <w:t>(FSE: GY2)</w:t>
      </w:r>
      <w:r w:rsidRPr="00027D63">
        <w:rPr>
          <w:rFonts w:asciiTheme="minorHAnsi" w:hAnsiTheme="minorHAnsi" w:cstheme="minorHAnsi"/>
          <w:b/>
          <w:bCs/>
          <w:sz w:val="24"/>
          <w:szCs w:val="24"/>
        </w:rPr>
        <w:t xml:space="preserve"> (“SolarBank” or the "Company")</w:t>
      </w:r>
      <w:r w:rsidRPr="00027D63">
        <w:rPr>
          <w:rFonts w:asciiTheme="minorHAnsi" w:hAnsiTheme="minorHAnsi" w:cstheme="minorHAnsi"/>
          <w:sz w:val="24"/>
          <w:szCs w:val="24"/>
        </w:rPr>
        <w:t xml:space="preserve"> </w:t>
      </w:r>
      <w:r w:rsidR="009D6130" w:rsidRPr="009D6130">
        <w:rPr>
          <w:rFonts w:asciiTheme="minorHAnsi" w:hAnsiTheme="minorHAnsi" w:cstheme="minorHAnsi"/>
          <w:sz w:val="24"/>
          <w:szCs w:val="24"/>
        </w:rPr>
        <w:t xml:space="preserve">today reported </w:t>
      </w:r>
      <w:r w:rsidR="009D6130">
        <w:rPr>
          <w:rFonts w:asciiTheme="minorHAnsi" w:hAnsiTheme="minorHAnsi" w:cstheme="minorHAnsi"/>
          <w:sz w:val="24"/>
          <w:szCs w:val="24"/>
        </w:rPr>
        <w:t>third</w:t>
      </w:r>
      <w:r w:rsidR="009D6130" w:rsidRPr="009D6130">
        <w:rPr>
          <w:rFonts w:asciiTheme="minorHAnsi" w:hAnsiTheme="minorHAnsi" w:cstheme="minorHAnsi"/>
          <w:sz w:val="24"/>
          <w:szCs w:val="24"/>
        </w:rPr>
        <w:t xml:space="preserve"> quarter 2023 interim financial results. All financial figures are in Canadian dollars and in accordance with </w:t>
      </w:r>
      <w:r w:rsidR="00F6353B">
        <w:rPr>
          <w:rFonts w:asciiTheme="minorHAnsi" w:hAnsiTheme="minorHAnsi" w:cstheme="minorHAnsi"/>
          <w:sz w:val="24"/>
          <w:szCs w:val="24"/>
        </w:rPr>
        <w:t>I</w:t>
      </w:r>
      <w:r w:rsidR="00F6353B" w:rsidRPr="00F6353B">
        <w:rPr>
          <w:rFonts w:asciiTheme="minorHAnsi" w:hAnsiTheme="minorHAnsi" w:cstheme="minorHAnsi"/>
          <w:sz w:val="24"/>
          <w:szCs w:val="24"/>
        </w:rPr>
        <w:t>nternational Financial Reporting Standards</w:t>
      </w:r>
      <w:r w:rsidR="00F6353B">
        <w:rPr>
          <w:rFonts w:asciiTheme="minorHAnsi" w:hAnsiTheme="minorHAnsi" w:cstheme="minorHAnsi"/>
          <w:sz w:val="24"/>
          <w:szCs w:val="24"/>
        </w:rPr>
        <w:t xml:space="preserve"> (</w:t>
      </w:r>
      <w:r w:rsidR="009D6130" w:rsidRPr="009D6130">
        <w:rPr>
          <w:rFonts w:asciiTheme="minorHAnsi" w:hAnsiTheme="minorHAnsi" w:cstheme="minorHAnsi"/>
          <w:sz w:val="24"/>
          <w:szCs w:val="24"/>
        </w:rPr>
        <w:t>IFRS</w:t>
      </w:r>
      <w:r w:rsidR="00F6353B">
        <w:rPr>
          <w:rFonts w:asciiTheme="minorHAnsi" w:hAnsiTheme="minorHAnsi" w:cstheme="minorHAnsi"/>
          <w:sz w:val="24"/>
          <w:szCs w:val="24"/>
        </w:rPr>
        <w:t>)</w:t>
      </w:r>
      <w:r w:rsidR="009D6130" w:rsidRPr="009D6130">
        <w:rPr>
          <w:rFonts w:asciiTheme="minorHAnsi" w:hAnsiTheme="minorHAnsi" w:cstheme="minorHAnsi"/>
          <w:sz w:val="24"/>
          <w:szCs w:val="24"/>
        </w:rPr>
        <w:t xml:space="preserve"> as presented in the </w:t>
      </w:r>
      <w:r w:rsidR="009D6130">
        <w:rPr>
          <w:rFonts w:asciiTheme="minorHAnsi" w:hAnsiTheme="minorHAnsi" w:cstheme="minorHAnsi"/>
          <w:sz w:val="24"/>
          <w:szCs w:val="24"/>
        </w:rPr>
        <w:t xml:space="preserve">interim </w:t>
      </w:r>
      <w:r w:rsidR="009D6130" w:rsidRPr="009D6130">
        <w:rPr>
          <w:rFonts w:asciiTheme="minorHAnsi" w:hAnsiTheme="minorHAnsi" w:cstheme="minorHAnsi"/>
          <w:sz w:val="24"/>
          <w:szCs w:val="24"/>
        </w:rPr>
        <w:t>consolidated financial statements.</w:t>
      </w:r>
    </w:p>
    <w:p w14:paraId="0114B0D6" w14:textId="4542F76F" w:rsidR="002110BC" w:rsidRDefault="00FB1A96" w:rsidP="00D06D1F">
      <w:pPr>
        <w:pStyle w:val="BodyFull"/>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Third Quarter </w:t>
      </w:r>
      <w:r w:rsidR="0008182E">
        <w:rPr>
          <w:rFonts w:asciiTheme="minorHAnsi" w:hAnsiTheme="minorHAnsi" w:cstheme="minorHAnsi"/>
          <w:b/>
          <w:bCs/>
          <w:sz w:val="24"/>
          <w:szCs w:val="24"/>
          <w:u w:val="single"/>
        </w:rPr>
        <w:t>Highlights</w:t>
      </w:r>
      <w:r w:rsidR="00213436">
        <w:rPr>
          <w:rFonts w:asciiTheme="minorHAnsi" w:hAnsiTheme="minorHAnsi" w:cstheme="minorHAnsi"/>
          <w:b/>
          <w:bCs/>
          <w:sz w:val="24"/>
          <w:szCs w:val="24"/>
          <w:u w:val="single"/>
        </w:rPr>
        <w:t xml:space="preserve"> (All Amounts are for the Nine Month Period)</w:t>
      </w:r>
    </w:p>
    <w:p w14:paraId="1A61C1E4" w14:textId="049EFBCB" w:rsidR="0008182E" w:rsidRPr="0008182E" w:rsidRDefault="0008182E" w:rsidP="0008182E">
      <w:pPr>
        <w:pStyle w:val="BodyFull"/>
        <w:numPr>
          <w:ilvl w:val="0"/>
          <w:numId w:val="9"/>
        </w:numPr>
        <w:spacing w:after="0"/>
        <w:ind w:left="714" w:hanging="357"/>
        <w:rPr>
          <w:rFonts w:asciiTheme="minorHAnsi" w:hAnsiTheme="minorHAnsi" w:cstheme="minorHAnsi"/>
          <w:sz w:val="24"/>
          <w:szCs w:val="24"/>
        </w:rPr>
      </w:pPr>
      <w:r w:rsidRPr="0008182E">
        <w:rPr>
          <w:rFonts w:asciiTheme="minorHAnsi" w:hAnsiTheme="minorHAnsi" w:cstheme="minorHAnsi"/>
          <w:sz w:val="24"/>
          <w:szCs w:val="24"/>
        </w:rPr>
        <w:t>Revenue of $</w:t>
      </w:r>
      <w:r w:rsidR="00502729">
        <w:rPr>
          <w:rFonts w:asciiTheme="minorHAnsi" w:hAnsiTheme="minorHAnsi" w:cstheme="minorHAnsi"/>
          <w:sz w:val="24"/>
          <w:szCs w:val="24"/>
        </w:rPr>
        <w:t>9</w:t>
      </w:r>
      <w:r w:rsidR="00077D8A">
        <w:rPr>
          <w:rFonts w:asciiTheme="minorHAnsi" w:hAnsiTheme="minorHAnsi" w:cstheme="minorHAnsi"/>
          <w:sz w:val="24"/>
          <w:szCs w:val="24"/>
        </w:rPr>
        <w:t>.</w:t>
      </w:r>
      <w:r w:rsidR="009E7CF2">
        <w:rPr>
          <w:rFonts w:asciiTheme="minorHAnsi" w:hAnsiTheme="minorHAnsi" w:cstheme="minorHAnsi"/>
          <w:sz w:val="24"/>
          <w:szCs w:val="24"/>
        </w:rPr>
        <w:t xml:space="preserve">2 </w:t>
      </w:r>
      <w:r w:rsidR="00077D8A">
        <w:rPr>
          <w:rFonts w:asciiTheme="minorHAnsi" w:hAnsiTheme="minorHAnsi" w:cstheme="minorHAnsi"/>
          <w:sz w:val="24"/>
          <w:szCs w:val="24"/>
        </w:rPr>
        <w:t>million</w:t>
      </w:r>
      <w:r w:rsidR="00DD4D87">
        <w:rPr>
          <w:rFonts w:asciiTheme="minorHAnsi" w:hAnsiTheme="minorHAnsi" w:cstheme="minorHAnsi"/>
          <w:sz w:val="24"/>
          <w:szCs w:val="24"/>
        </w:rPr>
        <w:t>:</w:t>
      </w:r>
    </w:p>
    <w:p w14:paraId="5261C4B9" w14:textId="2053140B" w:rsidR="0008182E" w:rsidRPr="0008182E" w:rsidRDefault="0008182E" w:rsidP="0008182E">
      <w:pPr>
        <w:pStyle w:val="BodyFull"/>
        <w:numPr>
          <w:ilvl w:val="0"/>
          <w:numId w:val="9"/>
        </w:numPr>
        <w:spacing w:after="0"/>
        <w:ind w:left="714" w:hanging="357"/>
        <w:rPr>
          <w:rFonts w:asciiTheme="minorHAnsi" w:hAnsiTheme="minorHAnsi" w:cstheme="minorHAnsi"/>
          <w:sz w:val="24"/>
          <w:szCs w:val="24"/>
        </w:rPr>
      </w:pPr>
      <w:r w:rsidRPr="0008182E">
        <w:rPr>
          <w:rFonts w:asciiTheme="minorHAnsi" w:hAnsiTheme="minorHAnsi" w:cstheme="minorHAnsi"/>
          <w:sz w:val="24"/>
          <w:szCs w:val="24"/>
        </w:rPr>
        <w:t>Cash flow from operating activities of $</w:t>
      </w:r>
      <w:r w:rsidR="00213436">
        <w:rPr>
          <w:rFonts w:asciiTheme="minorHAnsi" w:hAnsiTheme="minorHAnsi" w:cstheme="minorHAnsi"/>
          <w:sz w:val="24"/>
          <w:szCs w:val="24"/>
        </w:rPr>
        <w:t>4</w:t>
      </w:r>
      <w:r w:rsidR="00077D8A">
        <w:rPr>
          <w:rFonts w:asciiTheme="minorHAnsi" w:hAnsiTheme="minorHAnsi" w:cstheme="minorHAnsi"/>
          <w:sz w:val="24"/>
          <w:szCs w:val="24"/>
        </w:rPr>
        <w:t>.</w:t>
      </w:r>
      <w:r w:rsidR="009C0FCF">
        <w:rPr>
          <w:rFonts w:asciiTheme="minorHAnsi" w:hAnsiTheme="minorHAnsi" w:cstheme="minorHAnsi"/>
          <w:sz w:val="24"/>
          <w:szCs w:val="24"/>
        </w:rPr>
        <w:t>7</w:t>
      </w:r>
      <w:r w:rsidR="00077D8A">
        <w:rPr>
          <w:rFonts w:asciiTheme="minorHAnsi" w:hAnsiTheme="minorHAnsi" w:cstheme="minorHAnsi"/>
          <w:sz w:val="24"/>
          <w:szCs w:val="24"/>
        </w:rPr>
        <w:t xml:space="preserve"> million</w:t>
      </w:r>
      <w:r w:rsidR="00A751AD">
        <w:rPr>
          <w:rFonts w:asciiTheme="minorHAnsi" w:hAnsiTheme="minorHAnsi" w:cstheme="minorHAnsi"/>
          <w:sz w:val="24"/>
          <w:szCs w:val="24"/>
        </w:rPr>
        <w:t>;</w:t>
      </w:r>
    </w:p>
    <w:p w14:paraId="75C72EC1" w14:textId="6EBD7AE2" w:rsidR="00B3526C" w:rsidRDefault="00473E25" w:rsidP="0008182E">
      <w:pPr>
        <w:pStyle w:val="BodyFull"/>
        <w:numPr>
          <w:ilvl w:val="0"/>
          <w:numId w:val="9"/>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Net income </w:t>
      </w:r>
      <w:r w:rsidR="0008182E" w:rsidRPr="0008182E">
        <w:rPr>
          <w:rFonts w:asciiTheme="minorHAnsi" w:hAnsiTheme="minorHAnsi" w:cstheme="minorHAnsi"/>
          <w:sz w:val="24"/>
          <w:szCs w:val="24"/>
        </w:rPr>
        <w:t>of $3</w:t>
      </w:r>
      <w:r w:rsidR="00077D8A">
        <w:rPr>
          <w:rFonts w:asciiTheme="minorHAnsi" w:hAnsiTheme="minorHAnsi" w:cstheme="minorHAnsi"/>
          <w:sz w:val="24"/>
          <w:szCs w:val="24"/>
        </w:rPr>
        <w:t>.</w:t>
      </w:r>
      <w:r w:rsidR="001E06D3">
        <w:rPr>
          <w:rFonts w:asciiTheme="minorHAnsi" w:hAnsiTheme="minorHAnsi" w:cstheme="minorHAnsi"/>
          <w:sz w:val="24"/>
          <w:szCs w:val="24"/>
        </w:rPr>
        <w:t xml:space="preserve">4 </w:t>
      </w:r>
      <w:r w:rsidR="00077D8A">
        <w:rPr>
          <w:rFonts w:asciiTheme="minorHAnsi" w:hAnsiTheme="minorHAnsi" w:cstheme="minorHAnsi"/>
          <w:sz w:val="24"/>
          <w:szCs w:val="24"/>
        </w:rPr>
        <w:t>million;</w:t>
      </w:r>
    </w:p>
    <w:p w14:paraId="47B4C76F" w14:textId="68EDE3B8" w:rsidR="0008182E" w:rsidRDefault="00B3526C" w:rsidP="0008182E">
      <w:pPr>
        <w:pStyle w:val="BodyFull"/>
        <w:numPr>
          <w:ilvl w:val="0"/>
          <w:numId w:val="9"/>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Net income of </w:t>
      </w:r>
      <w:r w:rsidR="0008182E" w:rsidRPr="0008182E">
        <w:rPr>
          <w:rFonts w:asciiTheme="minorHAnsi" w:hAnsiTheme="minorHAnsi" w:cstheme="minorHAnsi"/>
          <w:sz w:val="24"/>
          <w:szCs w:val="24"/>
        </w:rPr>
        <w:t>$0.</w:t>
      </w:r>
      <w:r w:rsidR="00473E25">
        <w:rPr>
          <w:rFonts w:asciiTheme="minorHAnsi" w:hAnsiTheme="minorHAnsi" w:cstheme="minorHAnsi"/>
          <w:sz w:val="24"/>
          <w:szCs w:val="24"/>
        </w:rPr>
        <w:t>1</w:t>
      </w:r>
      <w:r w:rsidR="001E06D3">
        <w:rPr>
          <w:rFonts w:asciiTheme="minorHAnsi" w:hAnsiTheme="minorHAnsi" w:cstheme="minorHAnsi"/>
          <w:sz w:val="24"/>
          <w:szCs w:val="24"/>
        </w:rPr>
        <w:t>3</w:t>
      </w:r>
      <w:r w:rsidR="0008182E" w:rsidRPr="0008182E">
        <w:rPr>
          <w:rFonts w:asciiTheme="minorHAnsi" w:hAnsiTheme="minorHAnsi" w:cstheme="minorHAnsi"/>
          <w:sz w:val="24"/>
          <w:szCs w:val="24"/>
        </w:rPr>
        <w:t xml:space="preserve"> per share</w:t>
      </w:r>
      <w:r w:rsidR="00473E25">
        <w:rPr>
          <w:rFonts w:asciiTheme="minorHAnsi" w:hAnsiTheme="minorHAnsi" w:cstheme="minorHAnsi"/>
          <w:sz w:val="24"/>
          <w:szCs w:val="24"/>
        </w:rPr>
        <w:t xml:space="preserve"> (undiluted)</w:t>
      </w:r>
      <w:r w:rsidR="0008182E" w:rsidRPr="0008182E">
        <w:rPr>
          <w:rFonts w:asciiTheme="minorHAnsi" w:hAnsiTheme="minorHAnsi" w:cstheme="minorHAnsi"/>
          <w:sz w:val="24"/>
          <w:szCs w:val="24"/>
        </w:rPr>
        <w:t>;</w:t>
      </w:r>
    </w:p>
    <w:p w14:paraId="6EB3407F" w14:textId="1E8A4E65" w:rsidR="0042516F" w:rsidRDefault="0042516F" w:rsidP="0008182E">
      <w:pPr>
        <w:pStyle w:val="BodyFull"/>
        <w:numPr>
          <w:ilvl w:val="0"/>
          <w:numId w:val="9"/>
        </w:numPr>
        <w:spacing w:after="0"/>
        <w:ind w:left="714" w:hanging="357"/>
        <w:rPr>
          <w:rFonts w:asciiTheme="minorHAnsi" w:hAnsiTheme="minorHAnsi" w:cstheme="minorHAnsi"/>
          <w:sz w:val="24"/>
          <w:szCs w:val="24"/>
        </w:rPr>
      </w:pPr>
      <w:r>
        <w:rPr>
          <w:rFonts w:asciiTheme="minorHAnsi" w:hAnsiTheme="minorHAnsi" w:cstheme="minorHAnsi"/>
          <w:sz w:val="24"/>
          <w:szCs w:val="24"/>
        </w:rPr>
        <w:t xml:space="preserve">Cash and short-term investments of </w:t>
      </w:r>
      <w:r w:rsidR="00DD4D87">
        <w:rPr>
          <w:rFonts w:asciiTheme="minorHAnsi" w:hAnsiTheme="minorHAnsi" w:cstheme="minorHAnsi"/>
          <w:sz w:val="24"/>
          <w:szCs w:val="24"/>
        </w:rPr>
        <w:t>$10</w:t>
      </w:r>
      <w:r w:rsidR="00077D8A">
        <w:rPr>
          <w:rFonts w:asciiTheme="minorHAnsi" w:hAnsiTheme="minorHAnsi" w:cstheme="minorHAnsi"/>
          <w:sz w:val="24"/>
          <w:szCs w:val="24"/>
        </w:rPr>
        <w:t>.3 million</w:t>
      </w:r>
      <w:r w:rsidR="00DD4D87">
        <w:rPr>
          <w:rFonts w:asciiTheme="minorHAnsi" w:hAnsiTheme="minorHAnsi" w:cstheme="minorHAnsi"/>
          <w:sz w:val="24"/>
          <w:szCs w:val="24"/>
        </w:rPr>
        <w:t>;</w:t>
      </w:r>
    </w:p>
    <w:p w14:paraId="2F86136F" w14:textId="49F59DCB" w:rsidR="00B3526C" w:rsidRDefault="00B3526C" w:rsidP="0008182E">
      <w:pPr>
        <w:pStyle w:val="BodyFull"/>
        <w:numPr>
          <w:ilvl w:val="0"/>
          <w:numId w:val="9"/>
        </w:numPr>
        <w:spacing w:after="0"/>
        <w:ind w:left="714" w:hanging="357"/>
        <w:rPr>
          <w:rFonts w:asciiTheme="minorHAnsi" w:hAnsiTheme="minorHAnsi" w:cstheme="minorHAnsi"/>
          <w:sz w:val="24"/>
          <w:szCs w:val="24"/>
        </w:rPr>
      </w:pPr>
      <w:r>
        <w:rPr>
          <w:rFonts w:asciiTheme="minorHAnsi" w:hAnsiTheme="minorHAnsi" w:cstheme="minorHAnsi"/>
          <w:sz w:val="24"/>
          <w:szCs w:val="24"/>
        </w:rPr>
        <w:t>Six projects have reached</w:t>
      </w:r>
      <w:r w:rsidR="00BD4039">
        <w:rPr>
          <w:rFonts w:asciiTheme="minorHAnsi" w:hAnsiTheme="minorHAnsi" w:cstheme="minorHAnsi"/>
          <w:sz w:val="24"/>
          <w:szCs w:val="24"/>
        </w:rPr>
        <w:t xml:space="preserve"> permission to operate</w:t>
      </w:r>
      <w:r>
        <w:rPr>
          <w:rFonts w:asciiTheme="minorHAnsi" w:hAnsiTheme="minorHAnsi" w:cstheme="minorHAnsi"/>
          <w:sz w:val="24"/>
          <w:szCs w:val="24"/>
        </w:rPr>
        <w:t xml:space="preserve"> </w:t>
      </w:r>
      <w:r w:rsidR="00BD4039">
        <w:rPr>
          <w:rFonts w:asciiTheme="minorHAnsi" w:hAnsiTheme="minorHAnsi" w:cstheme="minorHAnsi"/>
          <w:sz w:val="24"/>
          <w:szCs w:val="24"/>
        </w:rPr>
        <w:t>(PTO); and</w:t>
      </w:r>
    </w:p>
    <w:p w14:paraId="54327781" w14:textId="16534C6C" w:rsidR="007D3889" w:rsidRPr="0008182E" w:rsidRDefault="007D3889" w:rsidP="0008182E">
      <w:pPr>
        <w:pStyle w:val="BodyFull"/>
        <w:numPr>
          <w:ilvl w:val="0"/>
          <w:numId w:val="9"/>
        </w:numPr>
        <w:spacing w:after="0"/>
        <w:ind w:left="714" w:hanging="357"/>
        <w:rPr>
          <w:rFonts w:asciiTheme="minorHAnsi" w:hAnsiTheme="minorHAnsi" w:cstheme="minorHAnsi"/>
          <w:sz w:val="24"/>
          <w:szCs w:val="24"/>
        </w:rPr>
      </w:pPr>
      <w:r>
        <w:rPr>
          <w:rFonts w:asciiTheme="minorHAnsi" w:hAnsiTheme="minorHAnsi" w:cstheme="minorHAnsi"/>
          <w:sz w:val="24"/>
          <w:szCs w:val="24"/>
        </w:rPr>
        <w:t>Mobilization underway and construction commenced on</w:t>
      </w:r>
      <w:r w:rsidR="002611FE">
        <w:rPr>
          <w:rFonts w:asciiTheme="minorHAnsi" w:hAnsiTheme="minorHAnsi" w:cstheme="minorHAnsi"/>
          <w:sz w:val="24"/>
          <w:szCs w:val="24"/>
        </w:rPr>
        <w:t xml:space="preserve"> Manlius (5.7 MW</w:t>
      </w:r>
      <w:r w:rsidR="000D5D5B">
        <w:rPr>
          <w:rFonts w:asciiTheme="minorHAnsi" w:hAnsiTheme="minorHAnsi" w:cstheme="minorHAnsi"/>
          <w:sz w:val="24"/>
          <w:szCs w:val="24"/>
        </w:rPr>
        <w:t>dc</w:t>
      </w:r>
      <w:r w:rsidR="002611FE">
        <w:rPr>
          <w:rFonts w:asciiTheme="minorHAnsi" w:hAnsiTheme="minorHAnsi" w:cstheme="minorHAnsi"/>
          <w:sz w:val="24"/>
          <w:szCs w:val="24"/>
        </w:rPr>
        <w:t>) and</w:t>
      </w:r>
      <w:r>
        <w:rPr>
          <w:rFonts w:asciiTheme="minorHAnsi" w:hAnsiTheme="minorHAnsi" w:cstheme="minorHAnsi"/>
          <w:sz w:val="24"/>
          <w:szCs w:val="24"/>
        </w:rPr>
        <w:t xml:space="preserve"> </w:t>
      </w:r>
      <w:r w:rsidR="000D45F7">
        <w:rPr>
          <w:rFonts w:asciiTheme="minorHAnsi" w:hAnsiTheme="minorHAnsi" w:cstheme="minorHAnsi"/>
          <w:sz w:val="24"/>
          <w:szCs w:val="24"/>
        </w:rPr>
        <w:t>Geddes</w:t>
      </w:r>
      <w:r w:rsidR="001C2ECF">
        <w:rPr>
          <w:rFonts w:asciiTheme="minorHAnsi" w:hAnsiTheme="minorHAnsi" w:cstheme="minorHAnsi"/>
          <w:sz w:val="24"/>
          <w:szCs w:val="24"/>
        </w:rPr>
        <w:t xml:space="preserve"> (</w:t>
      </w:r>
      <w:r w:rsidR="002611FE">
        <w:rPr>
          <w:rFonts w:asciiTheme="minorHAnsi" w:hAnsiTheme="minorHAnsi" w:cstheme="minorHAnsi"/>
          <w:sz w:val="24"/>
          <w:szCs w:val="24"/>
        </w:rPr>
        <w:t xml:space="preserve">3.8 </w:t>
      </w:r>
      <w:r w:rsidR="000D5D5B">
        <w:rPr>
          <w:rFonts w:asciiTheme="minorHAnsi" w:hAnsiTheme="minorHAnsi" w:cstheme="minorHAnsi"/>
          <w:sz w:val="24"/>
          <w:szCs w:val="24"/>
        </w:rPr>
        <w:t>M</w:t>
      </w:r>
      <w:r w:rsidR="002611FE">
        <w:rPr>
          <w:rFonts w:asciiTheme="minorHAnsi" w:hAnsiTheme="minorHAnsi" w:cstheme="minorHAnsi"/>
          <w:sz w:val="24"/>
          <w:szCs w:val="24"/>
        </w:rPr>
        <w:t>W</w:t>
      </w:r>
      <w:r w:rsidR="000D5D5B">
        <w:rPr>
          <w:rFonts w:asciiTheme="minorHAnsi" w:hAnsiTheme="minorHAnsi" w:cstheme="minorHAnsi"/>
          <w:sz w:val="24"/>
          <w:szCs w:val="24"/>
        </w:rPr>
        <w:t>dc</w:t>
      </w:r>
      <w:r w:rsidR="002611FE">
        <w:rPr>
          <w:rFonts w:asciiTheme="minorHAnsi" w:hAnsiTheme="minorHAnsi" w:cstheme="minorHAnsi"/>
          <w:sz w:val="24"/>
          <w:szCs w:val="24"/>
        </w:rPr>
        <w:t>)</w:t>
      </w:r>
      <w:r w:rsidR="000D45F7">
        <w:rPr>
          <w:rFonts w:asciiTheme="minorHAnsi" w:hAnsiTheme="minorHAnsi" w:cstheme="minorHAnsi"/>
          <w:sz w:val="24"/>
          <w:szCs w:val="24"/>
        </w:rPr>
        <w:t xml:space="preserve"> projects</w:t>
      </w:r>
      <w:r w:rsidR="002611FE">
        <w:rPr>
          <w:rFonts w:asciiTheme="minorHAnsi" w:hAnsiTheme="minorHAnsi" w:cstheme="minorHAnsi"/>
          <w:sz w:val="24"/>
          <w:szCs w:val="24"/>
        </w:rPr>
        <w:t xml:space="preserve"> in New York.</w:t>
      </w:r>
    </w:p>
    <w:p w14:paraId="5BAE0501" w14:textId="77777777" w:rsidR="0008182E" w:rsidRPr="0008182E" w:rsidRDefault="0008182E" w:rsidP="0008182E">
      <w:pPr>
        <w:pStyle w:val="BodyFull"/>
        <w:spacing w:after="0"/>
        <w:ind w:left="714"/>
        <w:rPr>
          <w:rFonts w:asciiTheme="minorHAnsi" w:hAnsiTheme="minorHAnsi" w:cstheme="minorHAnsi"/>
          <w:sz w:val="24"/>
          <w:szCs w:val="24"/>
        </w:rPr>
      </w:pPr>
    </w:p>
    <w:p w14:paraId="1928B689" w14:textId="51EBEDFB" w:rsidR="00167B4C" w:rsidRDefault="00167B4C" w:rsidP="0008182E">
      <w:pPr>
        <w:pStyle w:val="BodyFull"/>
        <w:rPr>
          <w:rFonts w:asciiTheme="minorHAnsi" w:hAnsiTheme="minorHAnsi" w:cstheme="minorHAnsi"/>
          <w:sz w:val="24"/>
          <w:szCs w:val="24"/>
        </w:rPr>
      </w:pPr>
      <w:r w:rsidRPr="00167B4C">
        <w:rPr>
          <w:rFonts w:asciiTheme="minorHAnsi" w:hAnsiTheme="minorHAnsi" w:cstheme="minorHAnsi"/>
          <w:sz w:val="24"/>
          <w:szCs w:val="24"/>
        </w:rPr>
        <w:t>“</w:t>
      </w:r>
      <w:r w:rsidR="0079370D">
        <w:rPr>
          <w:rFonts w:asciiTheme="minorHAnsi" w:hAnsiTheme="minorHAnsi" w:cstheme="minorHAnsi"/>
          <w:sz w:val="24"/>
          <w:szCs w:val="24"/>
        </w:rPr>
        <w:t xml:space="preserve">I am pleased with our </w:t>
      </w:r>
      <w:r w:rsidR="002E34A7">
        <w:rPr>
          <w:rFonts w:asciiTheme="minorHAnsi" w:hAnsiTheme="minorHAnsi" w:cstheme="minorHAnsi"/>
          <w:sz w:val="24"/>
          <w:szCs w:val="24"/>
        </w:rPr>
        <w:t xml:space="preserve">nine month financial results and our growing volume of business. </w:t>
      </w:r>
      <w:r w:rsidRPr="00167B4C">
        <w:rPr>
          <w:rFonts w:asciiTheme="minorHAnsi" w:hAnsiTheme="minorHAnsi" w:cstheme="minorHAnsi"/>
          <w:sz w:val="24"/>
          <w:szCs w:val="24"/>
        </w:rPr>
        <w:t xml:space="preserve">We are successfully implementing our </w:t>
      </w:r>
      <w:r w:rsidR="00004844">
        <w:rPr>
          <w:rFonts w:asciiTheme="minorHAnsi" w:hAnsiTheme="minorHAnsi" w:cstheme="minorHAnsi"/>
          <w:sz w:val="24"/>
          <w:szCs w:val="24"/>
        </w:rPr>
        <w:t>operating</w:t>
      </w:r>
      <w:r w:rsidRPr="00167B4C">
        <w:rPr>
          <w:rFonts w:asciiTheme="minorHAnsi" w:hAnsiTheme="minorHAnsi" w:cstheme="minorHAnsi"/>
          <w:sz w:val="24"/>
          <w:szCs w:val="24"/>
        </w:rPr>
        <w:t xml:space="preserve"> plan to become </w:t>
      </w:r>
      <w:r w:rsidR="002E34A7">
        <w:rPr>
          <w:rFonts w:asciiTheme="minorHAnsi" w:hAnsiTheme="minorHAnsi" w:cstheme="minorHAnsi"/>
          <w:sz w:val="24"/>
          <w:szCs w:val="24"/>
        </w:rPr>
        <w:t>a</w:t>
      </w:r>
      <w:r w:rsidRPr="00167B4C">
        <w:rPr>
          <w:rFonts w:asciiTheme="minorHAnsi" w:hAnsiTheme="minorHAnsi" w:cstheme="minorHAnsi"/>
          <w:sz w:val="24"/>
          <w:szCs w:val="24"/>
        </w:rPr>
        <w:t xml:space="preserve"> leader in turn key solar projects.” </w:t>
      </w:r>
      <w:r>
        <w:rPr>
          <w:rFonts w:asciiTheme="minorHAnsi" w:hAnsiTheme="minorHAnsi" w:cstheme="minorHAnsi"/>
          <w:sz w:val="24"/>
          <w:szCs w:val="24"/>
        </w:rPr>
        <w:t>s</w:t>
      </w:r>
      <w:r w:rsidRPr="00167B4C">
        <w:rPr>
          <w:rFonts w:asciiTheme="minorHAnsi" w:hAnsiTheme="minorHAnsi" w:cstheme="minorHAnsi"/>
          <w:sz w:val="24"/>
          <w:szCs w:val="24"/>
        </w:rPr>
        <w:t>tated Dr. Richard Lu</w:t>
      </w:r>
      <w:r>
        <w:rPr>
          <w:rFonts w:asciiTheme="minorHAnsi" w:hAnsiTheme="minorHAnsi" w:cstheme="minorHAnsi"/>
          <w:sz w:val="24"/>
          <w:szCs w:val="24"/>
        </w:rPr>
        <w:t>, Chief Executive Officer</w:t>
      </w:r>
      <w:r w:rsidRPr="00167B4C">
        <w:rPr>
          <w:rFonts w:asciiTheme="minorHAnsi" w:hAnsiTheme="minorHAnsi" w:cstheme="minorHAnsi"/>
          <w:sz w:val="24"/>
          <w:szCs w:val="24"/>
        </w:rPr>
        <w:t xml:space="preserve"> of SolarBank Corporation.</w:t>
      </w:r>
      <w:r w:rsidR="002E34A7">
        <w:rPr>
          <w:rFonts w:asciiTheme="minorHAnsi" w:hAnsiTheme="minorHAnsi" w:cstheme="minorHAnsi"/>
          <w:sz w:val="24"/>
          <w:szCs w:val="24"/>
        </w:rPr>
        <w:t xml:space="preserve"> “</w:t>
      </w:r>
      <w:r w:rsidR="00A9283C">
        <w:rPr>
          <w:rFonts w:asciiTheme="minorHAnsi" w:hAnsiTheme="minorHAnsi" w:cstheme="minorHAnsi"/>
          <w:sz w:val="24"/>
          <w:szCs w:val="24"/>
        </w:rPr>
        <w:t>W</w:t>
      </w:r>
      <w:r w:rsidR="00B61CFB">
        <w:rPr>
          <w:rFonts w:asciiTheme="minorHAnsi" w:hAnsiTheme="minorHAnsi" w:cstheme="minorHAnsi"/>
          <w:sz w:val="24"/>
          <w:szCs w:val="24"/>
        </w:rPr>
        <w:t xml:space="preserve">hile the third quarter is </w:t>
      </w:r>
      <w:r w:rsidR="00004844">
        <w:rPr>
          <w:rFonts w:asciiTheme="minorHAnsi" w:hAnsiTheme="minorHAnsi" w:cstheme="minorHAnsi"/>
          <w:sz w:val="24"/>
          <w:szCs w:val="24"/>
        </w:rPr>
        <w:t>seasonally</w:t>
      </w:r>
      <w:r w:rsidR="00B61CFB">
        <w:rPr>
          <w:rFonts w:asciiTheme="minorHAnsi" w:hAnsiTheme="minorHAnsi" w:cstheme="minorHAnsi"/>
          <w:sz w:val="24"/>
          <w:szCs w:val="24"/>
        </w:rPr>
        <w:t xml:space="preserve"> slower due to winter conditions limiting construction activities, the outlook for the</w:t>
      </w:r>
      <w:r w:rsidR="00A9283C">
        <w:rPr>
          <w:rFonts w:asciiTheme="minorHAnsi" w:hAnsiTheme="minorHAnsi" w:cstheme="minorHAnsi"/>
          <w:sz w:val="24"/>
          <w:szCs w:val="24"/>
        </w:rPr>
        <w:t xml:space="preserve"> full fiscal year ended June 30, 2023</w:t>
      </w:r>
      <w:r w:rsidR="00B61CFB">
        <w:rPr>
          <w:rFonts w:asciiTheme="minorHAnsi" w:hAnsiTheme="minorHAnsi" w:cstheme="minorHAnsi"/>
          <w:sz w:val="24"/>
          <w:szCs w:val="24"/>
        </w:rPr>
        <w:t xml:space="preserve"> remains strong and I expect to achieve our revenue guidance</w:t>
      </w:r>
      <w:r w:rsidR="00A9283C">
        <w:rPr>
          <w:rFonts w:asciiTheme="minorHAnsi" w:hAnsiTheme="minorHAnsi" w:cstheme="minorHAnsi"/>
          <w:sz w:val="24"/>
          <w:szCs w:val="24"/>
        </w:rPr>
        <w:t xml:space="preserve">.” </w:t>
      </w:r>
      <w:r w:rsidRPr="00167B4C">
        <w:rPr>
          <w:rFonts w:asciiTheme="minorHAnsi" w:hAnsiTheme="minorHAnsi" w:cstheme="minorHAnsi"/>
          <w:sz w:val="24"/>
          <w:szCs w:val="24"/>
        </w:rPr>
        <w:t xml:space="preserve"> </w:t>
      </w:r>
    </w:p>
    <w:p w14:paraId="2A148EC4" w14:textId="4DF43FE5" w:rsidR="0008182E" w:rsidRPr="0008182E" w:rsidRDefault="0008182E" w:rsidP="00D06D1F">
      <w:pPr>
        <w:pStyle w:val="BodyFull"/>
        <w:rPr>
          <w:rFonts w:asciiTheme="minorHAnsi" w:hAnsiTheme="minorHAnsi" w:cstheme="minorHAnsi"/>
          <w:b/>
          <w:bCs/>
          <w:sz w:val="24"/>
          <w:szCs w:val="24"/>
          <w:u w:val="single"/>
        </w:rPr>
      </w:pPr>
      <w:r>
        <w:rPr>
          <w:rFonts w:asciiTheme="minorHAnsi" w:hAnsiTheme="minorHAnsi" w:cstheme="minorHAnsi"/>
          <w:b/>
          <w:bCs/>
          <w:sz w:val="24"/>
          <w:szCs w:val="24"/>
          <w:u w:val="single"/>
        </w:rPr>
        <w:t>Summary of Quarterly Results</w:t>
      </w:r>
      <w:r w:rsidR="005E2C50">
        <w:rPr>
          <w:rFonts w:asciiTheme="minorHAnsi" w:hAnsiTheme="minorHAnsi" w:cstheme="minorHAnsi"/>
          <w:b/>
          <w:bCs/>
          <w:sz w:val="24"/>
          <w:szCs w:val="24"/>
          <w:u w:val="single"/>
        </w:rPr>
        <w:t xml:space="preserve"> (All Amounts are for the Nine Month Period)</w:t>
      </w:r>
    </w:p>
    <w:tbl>
      <w:tblPr>
        <w:tblStyle w:val="TableGrid"/>
        <w:tblW w:w="0" w:type="auto"/>
        <w:tblLook w:val="04A0" w:firstRow="1" w:lastRow="0" w:firstColumn="1" w:lastColumn="0" w:noHBand="0" w:noVBand="1"/>
      </w:tblPr>
      <w:tblGrid>
        <w:gridCol w:w="4815"/>
        <w:gridCol w:w="2410"/>
        <w:gridCol w:w="2125"/>
      </w:tblGrid>
      <w:tr w:rsidR="00F379BA" w14:paraId="129EDC59" w14:textId="77777777" w:rsidTr="00F379BA">
        <w:tc>
          <w:tcPr>
            <w:tcW w:w="4815" w:type="dxa"/>
          </w:tcPr>
          <w:p w14:paraId="4D61FFD0" w14:textId="16823874" w:rsidR="00F379BA" w:rsidRPr="002251D0" w:rsidRDefault="00F379BA" w:rsidP="00656F79">
            <w:pPr>
              <w:pStyle w:val="BodyFull"/>
              <w:spacing w:after="0"/>
              <w:rPr>
                <w:rFonts w:asciiTheme="minorHAnsi" w:hAnsiTheme="minorHAnsi" w:cstheme="minorHAnsi"/>
                <w:b/>
                <w:bCs/>
                <w:sz w:val="22"/>
              </w:rPr>
            </w:pPr>
            <w:r w:rsidRPr="002251D0">
              <w:rPr>
                <w:rFonts w:asciiTheme="minorHAnsi" w:hAnsiTheme="minorHAnsi" w:cstheme="minorHAnsi"/>
                <w:b/>
                <w:bCs/>
                <w:sz w:val="22"/>
              </w:rPr>
              <w:t>Quarter Ended</w:t>
            </w:r>
          </w:p>
        </w:tc>
        <w:tc>
          <w:tcPr>
            <w:tcW w:w="2410" w:type="dxa"/>
          </w:tcPr>
          <w:p w14:paraId="439FB3A4" w14:textId="7E08CDCC" w:rsidR="00F379BA" w:rsidRPr="002251D0" w:rsidRDefault="00F379BA" w:rsidP="009E60FE">
            <w:pPr>
              <w:pStyle w:val="BodyFull"/>
              <w:spacing w:after="0"/>
              <w:jc w:val="center"/>
              <w:rPr>
                <w:rFonts w:asciiTheme="minorHAnsi" w:hAnsiTheme="minorHAnsi" w:cstheme="minorHAnsi"/>
                <w:b/>
                <w:bCs/>
                <w:sz w:val="22"/>
              </w:rPr>
            </w:pPr>
            <w:r w:rsidRPr="002251D0">
              <w:rPr>
                <w:rFonts w:asciiTheme="minorHAnsi" w:hAnsiTheme="minorHAnsi" w:cstheme="minorHAnsi"/>
                <w:b/>
                <w:bCs/>
                <w:sz w:val="22"/>
              </w:rPr>
              <w:t>March 31, 2023</w:t>
            </w:r>
          </w:p>
        </w:tc>
        <w:tc>
          <w:tcPr>
            <w:tcW w:w="2125" w:type="dxa"/>
          </w:tcPr>
          <w:p w14:paraId="60BB75B0" w14:textId="2509269A" w:rsidR="00F379BA" w:rsidRPr="002251D0" w:rsidRDefault="00F379BA" w:rsidP="009E60FE">
            <w:pPr>
              <w:pStyle w:val="BodyFull"/>
              <w:spacing w:after="0"/>
              <w:jc w:val="center"/>
              <w:rPr>
                <w:rFonts w:asciiTheme="minorHAnsi" w:hAnsiTheme="minorHAnsi" w:cstheme="minorHAnsi"/>
                <w:b/>
                <w:bCs/>
                <w:sz w:val="22"/>
              </w:rPr>
            </w:pPr>
            <w:r w:rsidRPr="002251D0">
              <w:rPr>
                <w:rFonts w:asciiTheme="minorHAnsi" w:hAnsiTheme="minorHAnsi" w:cstheme="minorHAnsi"/>
                <w:b/>
                <w:bCs/>
                <w:sz w:val="22"/>
              </w:rPr>
              <w:t>March 31, 2022</w:t>
            </w:r>
          </w:p>
        </w:tc>
      </w:tr>
      <w:tr w:rsidR="00F379BA" w14:paraId="2EECA158" w14:textId="77777777" w:rsidTr="00F379BA">
        <w:tc>
          <w:tcPr>
            <w:tcW w:w="4815" w:type="dxa"/>
          </w:tcPr>
          <w:p w14:paraId="7377FC06" w14:textId="05C5B7B6" w:rsidR="00F379BA" w:rsidRPr="00656F79" w:rsidRDefault="00656F79" w:rsidP="00656F79">
            <w:pPr>
              <w:pStyle w:val="BodyFull"/>
              <w:spacing w:after="0"/>
              <w:rPr>
                <w:rFonts w:asciiTheme="minorHAnsi" w:hAnsiTheme="minorHAnsi" w:cstheme="minorHAnsi"/>
                <w:b/>
                <w:bCs/>
                <w:sz w:val="22"/>
              </w:rPr>
            </w:pPr>
            <w:r w:rsidRPr="00656F79">
              <w:rPr>
                <w:rFonts w:asciiTheme="minorHAnsi" w:hAnsiTheme="minorHAnsi" w:cstheme="minorHAnsi"/>
                <w:b/>
                <w:bCs/>
                <w:sz w:val="22"/>
              </w:rPr>
              <w:t>Statement of Income and Comprehensive Income</w:t>
            </w:r>
          </w:p>
        </w:tc>
        <w:tc>
          <w:tcPr>
            <w:tcW w:w="2410" w:type="dxa"/>
          </w:tcPr>
          <w:p w14:paraId="5D0C6D23" w14:textId="77777777" w:rsidR="00F379BA" w:rsidRPr="00656F79" w:rsidRDefault="00F379BA" w:rsidP="00656F79">
            <w:pPr>
              <w:pStyle w:val="BodyFull"/>
              <w:spacing w:after="0"/>
              <w:rPr>
                <w:rFonts w:asciiTheme="minorHAnsi" w:hAnsiTheme="minorHAnsi" w:cstheme="minorHAnsi"/>
                <w:sz w:val="22"/>
              </w:rPr>
            </w:pPr>
          </w:p>
        </w:tc>
        <w:tc>
          <w:tcPr>
            <w:tcW w:w="2125" w:type="dxa"/>
          </w:tcPr>
          <w:p w14:paraId="40C3B467" w14:textId="77777777" w:rsidR="00F379BA" w:rsidRPr="00656F79" w:rsidRDefault="00F379BA" w:rsidP="00656F79">
            <w:pPr>
              <w:pStyle w:val="BodyFull"/>
              <w:spacing w:after="0"/>
              <w:rPr>
                <w:rFonts w:asciiTheme="minorHAnsi" w:hAnsiTheme="minorHAnsi" w:cstheme="minorHAnsi"/>
                <w:sz w:val="22"/>
              </w:rPr>
            </w:pPr>
          </w:p>
        </w:tc>
      </w:tr>
      <w:tr w:rsidR="00F379BA" w14:paraId="5A471611" w14:textId="77777777" w:rsidTr="00F379BA">
        <w:tc>
          <w:tcPr>
            <w:tcW w:w="4815" w:type="dxa"/>
          </w:tcPr>
          <w:p w14:paraId="2B1024DB" w14:textId="159D5629" w:rsidR="00F379BA" w:rsidRPr="00656F79" w:rsidRDefault="00656F79" w:rsidP="00656F79">
            <w:pPr>
              <w:pStyle w:val="BodyFull"/>
              <w:spacing w:after="0"/>
              <w:rPr>
                <w:rFonts w:asciiTheme="minorHAnsi" w:hAnsiTheme="minorHAnsi" w:cstheme="minorHAnsi"/>
                <w:sz w:val="22"/>
              </w:rPr>
            </w:pPr>
            <w:r>
              <w:rPr>
                <w:rFonts w:asciiTheme="minorHAnsi" w:hAnsiTheme="minorHAnsi" w:cstheme="minorHAnsi"/>
                <w:sz w:val="22"/>
              </w:rPr>
              <w:t>Total Revenue</w:t>
            </w:r>
          </w:p>
        </w:tc>
        <w:tc>
          <w:tcPr>
            <w:tcW w:w="2410" w:type="dxa"/>
          </w:tcPr>
          <w:p w14:paraId="2562B086" w14:textId="67755761" w:rsidR="00F379BA" w:rsidRPr="00656F79" w:rsidRDefault="00B61CFB" w:rsidP="00656F79">
            <w:pPr>
              <w:pStyle w:val="BodyFull"/>
              <w:spacing w:after="0"/>
              <w:rPr>
                <w:rFonts w:asciiTheme="minorHAnsi" w:hAnsiTheme="minorHAnsi" w:cstheme="minorHAnsi"/>
                <w:sz w:val="22"/>
              </w:rPr>
            </w:pPr>
            <w:r>
              <w:rPr>
                <w:rFonts w:asciiTheme="minorHAnsi" w:hAnsiTheme="minorHAnsi" w:cstheme="minorHAnsi"/>
                <w:sz w:val="22"/>
              </w:rPr>
              <w:t>$</w:t>
            </w:r>
            <w:r w:rsidR="009E60FE">
              <w:rPr>
                <w:rFonts w:asciiTheme="minorHAnsi" w:hAnsiTheme="minorHAnsi" w:cstheme="minorHAnsi"/>
                <w:sz w:val="22"/>
              </w:rPr>
              <w:t xml:space="preserve"> </w:t>
            </w:r>
            <w:r w:rsidR="009E60FE">
              <w:rPr>
                <w:rFonts w:asciiTheme="minorHAnsi" w:hAnsiTheme="minorHAnsi" w:cstheme="minorHAnsi"/>
                <w:sz w:val="22"/>
              </w:rPr>
              <w:tab/>
            </w:r>
            <w:r>
              <w:rPr>
                <w:rFonts w:asciiTheme="minorHAnsi" w:hAnsiTheme="minorHAnsi" w:cstheme="minorHAnsi"/>
                <w:sz w:val="22"/>
              </w:rPr>
              <w:t>9,152,242</w:t>
            </w:r>
          </w:p>
        </w:tc>
        <w:tc>
          <w:tcPr>
            <w:tcW w:w="2125" w:type="dxa"/>
          </w:tcPr>
          <w:p w14:paraId="561AB964" w14:textId="1BA62591" w:rsidR="00F379BA" w:rsidRPr="00656F79" w:rsidRDefault="00B61CFB" w:rsidP="00656F79">
            <w:pPr>
              <w:pStyle w:val="BodyFull"/>
              <w:spacing w:after="0"/>
              <w:rPr>
                <w:rFonts w:asciiTheme="minorHAnsi" w:hAnsiTheme="minorHAnsi" w:cstheme="minorHAnsi"/>
                <w:sz w:val="22"/>
              </w:rPr>
            </w:pPr>
            <w:r>
              <w:rPr>
                <w:rFonts w:asciiTheme="minorHAnsi" w:hAnsiTheme="minorHAnsi" w:cstheme="minorHAnsi"/>
                <w:sz w:val="22"/>
              </w:rPr>
              <w:t>$</w:t>
            </w:r>
            <w:r w:rsidR="009E60FE">
              <w:rPr>
                <w:rFonts w:asciiTheme="minorHAnsi" w:hAnsiTheme="minorHAnsi" w:cstheme="minorHAnsi"/>
                <w:sz w:val="22"/>
              </w:rPr>
              <w:tab/>
            </w:r>
            <w:r>
              <w:rPr>
                <w:rFonts w:asciiTheme="minorHAnsi" w:hAnsiTheme="minorHAnsi" w:cstheme="minorHAnsi"/>
                <w:sz w:val="22"/>
              </w:rPr>
              <w:t>9,791,250</w:t>
            </w:r>
          </w:p>
        </w:tc>
      </w:tr>
      <w:tr w:rsidR="00F379BA" w14:paraId="72C629F6" w14:textId="77777777" w:rsidTr="00F379BA">
        <w:tc>
          <w:tcPr>
            <w:tcW w:w="4815" w:type="dxa"/>
          </w:tcPr>
          <w:p w14:paraId="74267F83" w14:textId="647E4334" w:rsidR="00F379BA" w:rsidRPr="00656F79" w:rsidRDefault="00656F79" w:rsidP="00656F79">
            <w:pPr>
              <w:pStyle w:val="BodyFull"/>
              <w:spacing w:after="0"/>
              <w:rPr>
                <w:rFonts w:asciiTheme="minorHAnsi" w:hAnsiTheme="minorHAnsi" w:cstheme="minorHAnsi"/>
                <w:sz w:val="22"/>
              </w:rPr>
            </w:pPr>
            <w:r>
              <w:rPr>
                <w:rFonts w:asciiTheme="minorHAnsi" w:hAnsiTheme="minorHAnsi" w:cstheme="minorHAnsi"/>
                <w:sz w:val="22"/>
              </w:rPr>
              <w:t>Cash flow from operating activities</w:t>
            </w:r>
          </w:p>
        </w:tc>
        <w:tc>
          <w:tcPr>
            <w:tcW w:w="2410" w:type="dxa"/>
          </w:tcPr>
          <w:p w14:paraId="03F6AFAB" w14:textId="5A5E22E4" w:rsidR="00F379BA" w:rsidRPr="00656F79" w:rsidRDefault="002A08CF"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t>4,653,394</w:t>
            </w:r>
          </w:p>
        </w:tc>
        <w:tc>
          <w:tcPr>
            <w:tcW w:w="2125" w:type="dxa"/>
          </w:tcPr>
          <w:p w14:paraId="29BDD5F7" w14:textId="1DB5B4FD" w:rsidR="00F379BA" w:rsidRPr="00656F79" w:rsidRDefault="002A08CF"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t>3,259,107</w:t>
            </w:r>
          </w:p>
        </w:tc>
      </w:tr>
      <w:tr w:rsidR="00F379BA" w14:paraId="32193150" w14:textId="77777777" w:rsidTr="00F379BA">
        <w:tc>
          <w:tcPr>
            <w:tcW w:w="4815" w:type="dxa"/>
          </w:tcPr>
          <w:p w14:paraId="3744BC47" w14:textId="31F8ABC7" w:rsidR="00F379BA" w:rsidRPr="00656F79" w:rsidRDefault="00656F79" w:rsidP="00656F79">
            <w:pPr>
              <w:pStyle w:val="BodyFull"/>
              <w:spacing w:after="0"/>
              <w:rPr>
                <w:rFonts w:asciiTheme="minorHAnsi" w:hAnsiTheme="minorHAnsi" w:cstheme="minorHAnsi"/>
                <w:sz w:val="22"/>
              </w:rPr>
            </w:pPr>
            <w:r>
              <w:rPr>
                <w:rFonts w:asciiTheme="minorHAnsi" w:hAnsiTheme="minorHAnsi" w:cstheme="minorHAnsi"/>
                <w:sz w:val="22"/>
              </w:rPr>
              <w:t>Net income</w:t>
            </w:r>
          </w:p>
        </w:tc>
        <w:tc>
          <w:tcPr>
            <w:tcW w:w="2410" w:type="dxa"/>
          </w:tcPr>
          <w:p w14:paraId="62F7B7A6" w14:textId="57313A26" w:rsidR="00F379BA" w:rsidRPr="00656F79" w:rsidRDefault="00A751AD" w:rsidP="00656F79">
            <w:pPr>
              <w:pStyle w:val="BodyFull"/>
              <w:spacing w:after="0"/>
              <w:rPr>
                <w:rFonts w:asciiTheme="minorHAnsi" w:hAnsiTheme="minorHAnsi" w:cstheme="minorHAnsi"/>
                <w:sz w:val="22"/>
              </w:rPr>
            </w:pPr>
            <w:r>
              <w:rPr>
                <w:rFonts w:asciiTheme="minorHAnsi" w:hAnsiTheme="minorHAnsi" w:cstheme="minorHAnsi"/>
                <w:sz w:val="22"/>
              </w:rPr>
              <w:t>$</w:t>
            </w:r>
            <w:r w:rsidR="00CA6A5B">
              <w:rPr>
                <w:rFonts w:asciiTheme="minorHAnsi" w:hAnsiTheme="minorHAnsi" w:cstheme="minorHAnsi"/>
                <w:sz w:val="22"/>
              </w:rPr>
              <w:tab/>
              <w:t>3,</w:t>
            </w:r>
            <w:r w:rsidR="000928C0">
              <w:rPr>
                <w:rFonts w:asciiTheme="minorHAnsi" w:hAnsiTheme="minorHAnsi" w:cstheme="minorHAnsi"/>
                <w:sz w:val="22"/>
              </w:rPr>
              <w:t>426,589</w:t>
            </w:r>
          </w:p>
        </w:tc>
        <w:tc>
          <w:tcPr>
            <w:tcW w:w="2125" w:type="dxa"/>
          </w:tcPr>
          <w:p w14:paraId="544D3C90" w14:textId="43B47C49" w:rsidR="00F379BA" w:rsidRPr="00656F79" w:rsidRDefault="00CA6A5B"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sidR="00B11F10">
              <w:rPr>
                <w:rFonts w:asciiTheme="minorHAnsi" w:hAnsiTheme="minorHAnsi" w:cstheme="minorHAnsi"/>
                <w:sz w:val="22"/>
              </w:rPr>
              <w:t>692,024</w:t>
            </w:r>
          </w:p>
        </w:tc>
      </w:tr>
      <w:tr w:rsidR="00656F79" w14:paraId="7819597E" w14:textId="77777777" w:rsidTr="00F379BA">
        <w:tc>
          <w:tcPr>
            <w:tcW w:w="4815" w:type="dxa"/>
          </w:tcPr>
          <w:p w14:paraId="7BC9BCC6" w14:textId="17B41D72" w:rsidR="00656F79" w:rsidRDefault="00656F79" w:rsidP="00656F79">
            <w:pPr>
              <w:pStyle w:val="BodyFull"/>
              <w:spacing w:after="0"/>
              <w:rPr>
                <w:rFonts w:asciiTheme="minorHAnsi" w:hAnsiTheme="minorHAnsi" w:cstheme="minorHAnsi"/>
                <w:sz w:val="22"/>
              </w:rPr>
            </w:pPr>
            <w:r>
              <w:rPr>
                <w:rFonts w:asciiTheme="minorHAnsi" w:hAnsiTheme="minorHAnsi" w:cstheme="minorHAnsi"/>
                <w:sz w:val="22"/>
              </w:rPr>
              <w:t>Basic earnings per share</w:t>
            </w:r>
          </w:p>
        </w:tc>
        <w:tc>
          <w:tcPr>
            <w:tcW w:w="2410" w:type="dxa"/>
          </w:tcPr>
          <w:p w14:paraId="055BE7A7" w14:textId="5B706E8A" w:rsidR="00656F79" w:rsidRPr="00656F79" w:rsidRDefault="00CA6A5B"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sidR="0002423D">
              <w:rPr>
                <w:rFonts w:asciiTheme="minorHAnsi" w:hAnsiTheme="minorHAnsi" w:cstheme="minorHAnsi"/>
                <w:sz w:val="22"/>
              </w:rPr>
              <w:t xml:space="preserve">          </w:t>
            </w:r>
            <w:r>
              <w:rPr>
                <w:rFonts w:asciiTheme="minorHAnsi" w:hAnsiTheme="minorHAnsi" w:cstheme="minorHAnsi"/>
                <w:sz w:val="22"/>
              </w:rPr>
              <w:t>0.1</w:t>
            </w:r>
            <w:r w:rsidR="00AE2AF1">
              <w:rPr>
                <w:rFonts w:asciiTheme="minorHAnsi" w:hAnsiTheme="minorHAnsi" w:cstheme="minorHAnsi"/>
                <w:sz w:val="22"/>
              </w:rPr>
              <w:t>3</w:t>
            </w:r>
          </w:p>
        </w:tc>
        <w:tc>
          <w:tcPr>
            <w:tcW w:w="2125" w:type="dxa"/>
          </w:tcPr>
          <w:p w14:paraId="31D29E8D" w14:textId="0CE18E41" w:rsidR="00656F79" w:rsidRPr="00656F79" w:rsidRDefault="00CA6A5B"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sidR="0002423D">
              <w:rPr>
                <w:rFonts w:asciiTheme="minorHAnsi" w:hAnsiTheme="minorHAnsi" w:cstheme="minorHAnsi"/>
                <w:sz w:val="22"/>
              </w:rPr>
              <w:t xml:space="preserve">          </w:t>
            </w:r>
            <w:r>
              <w:rPr>
                <w:rFonts w:asciiTheme="minorHAnsi" w:hAnsiTheme="minorHAnsi" w:cstheme="minorHAnsi"/>
                <w:sz w:val="22"/>
              </w:rPr>
              <w:t>0.</w:t>
            </w:r>
            <w:r w:rsidR="00F5299A">
              <w:rPr>
                <w:rFonts w:asciiTheme="minorHAnsi" w:hAnsiTheme="minorHAnsi" w:cstheme="minorHAnsi"/>
                <w:sz w:val="22"/>
              </w:rPr>
              <w:t>04</w:t>
            </w:r>
          </w:p>
        </w:tc>
      </w:tr>
      <w:tr w:rsidR="00656F79" w14:paraId="52D0F4C2" w14:textId="77777777" w:rsidTr="00F379BA">
        <w:tc>
          <w:tcPr>
            <w:tcW w:w="4815" w:type="dxa"/>
          </w:tcPr>
          <w:p w14:paraId="5DEE4E40" w14:textId="7A8CB0DD" w:rsidR="00656F79" w:rsidRDefault="00656F79" w:rsidP="00656F79">
            <w:pPr>
              <w:pStyle w:val="BodyFull"/>
              <w:spacing w:after="0"/>
              <w:rPr>
                <w:rFonts w:asciiTheme="minorHAnsi" w:hAnsiTheme="minorHAnsi" w:cstheme="minorHAnsi"/>
                <w:sz w:val="22"/>
              </w:rPr>
            </w:pPr>
            <w:r>
              <w:rPr>
                <w:rFonts w:asciiTheme="minorHAnsi" w:hAnsiTheme="minorHAnsi" w:cstheme="minorHAnsi"/>
                <w:sz w:val="22"/>
              </w:rPr>
              <w:t>Diluted earnings per share</w:t>
            </w:r>
          </w:p>
        </w:tc>
        <w:tc>
          <w:tcPr>
            <w:tcW w:w="2410" w:type="dxa"/>
          </w:tcPr>
          <w:p w14:paraId="1A3CE55D" w14:textId="3639917A" w:rsidR="00656F79" w:rsidRPr="00656F79" w:rsidRDefault="00CA6A5B"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r>
            <w:r w:rsidR="0002423D">
              <w:rPr>
                <w:rFonts w:asciiTheme="minorHAnsi" w:hAnsiTheme="minorHAnsi" w:cstheme="minorHAnsi"/>
                <w:sz w:val="22"/>
              </w:rPr>
              <w:t xml:space="preserve">          </w:t>
            </w:r>
            <w:r>
              <w:rPr>
                <w:rFonts w:asciiTheme="minorHAnsi" w:hAnsiTheme="minorHAnsi" w:cstheme="minorHAnsi"/>
                <w:sz w:val="22"/>
              </w:rPr>
              <w:t>0.</w:t>
            </w:r>
            <w:r w:rsidR="00AE2AF1">
              <w:rPr>
                <w:rFonts w:asciiTheme="minorHAnsi" w:hAnsiTheme="minorHAnsi" w:cstheme="minorHAnsi"/>
                <w:sz w:val="22"/>
              </w:rPr>
              <w:t>10</w:t>
            </w:r>
          </w:p>
        </w:tc>
        <w:tc>
          <w:tcPr>
            <w:tcW w:w="2125" w:type="dxa"/>
          </w:tcPr>
          <w:p w14:paraId="2D37DAC8" w14:textId="268A0822" w:rsidR="00656F79" w:rsidRPr="00656F79" w:rsidRDefault="0002423D" w:rsidP="00656F79">
            <w:pPr>
              <w:pStyle w:val="BodyFull"/>
              <w:spacing w:after="0"/>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sz w:val="22"/>
              </w:rPr>
              <w:tab/>
              <w:t xml:space="preserve">          0.</w:t>
            </w:r>
            <w:r w:rsidR="00F5299A">
              <w:rPr>
                <w:rFonts w:asciiTheme="minorHAnsi" w:hAnsiTheme="minorHAnsi" w:cstheme="minorHAnsi"/>
                <w:sz w:val="22"/>
              </w:rPr>
              <w:t>04</w:t>
            </w:r>
          </w:p>
        </w:tc>
      </w:tr>
    </w:tbl>
    <w:p w14:paraId="7C91A879" w14:textId="66D459E6" w:rsidR="005E2C50" w:rsidRPr="005E2C50" w:rsidRDefault="00D478EC" w:rsidP="005E2C50">
      <w:pPr>
        <w:pStyle w:val="BodyFull"/>
        <w:rPr>
          <w:rFonts w:asciiTheme="minorHAnsi" w:hAnsiTheme="minorHAnsi" w:cstheme="minorHAnsi"/>
          <w:sz w:val="24"/>
          <w:szCs w:val="24"/>
        </w:rPr>
      </w:pPr>
      <w:r>
        <w:rPr>
          <w:rFonts w:asciiTheme="minorHAnsi" w:hAnsiTheme="minorHAnsi" w:cstheme="minorHAnsi"/>
          <w:sz w:val="24"/>
          <w:szCs w:val="24"/>
        </w:rPr>
        <w:br/>
      </w:r>
      <w:r w:rsidR="005E2C50" w:rsidRPr="005E2C50">
        <w:rPr>
          <w:rFonts w:asciiTheme="minorHAnsi" w:hAnsiTheme="minorHAnsi" w:cstheme="minorHAnsi"/>
          <w:sz w:val="24"/>
          <w:szCs w:val="24"/>
        </w:rPr>
        <w:t xml:space="preserve">The Company ended the </w:t>
      </w:r>
      <w:r w:rsidR="006625B1">
        <w:rPr>
          <w:rFonts w:asciiTheme="minorHAnsi" w:hAnsiTheme="minorHAnsi" w:cstheme="minorHAnsi"/>
          <w:sz w:val="24"/>
          <w:szCs w:val="24"/>
        </w:rPr>
        <w:t xml:space="preserve">third </w:t>
      </w:r>
      <w:r w:rsidR="005E2C50" w:rsidRPr="005E2C50">
        <w:rPr>
          <w:rFonts w:asciiTheme="minorHAnsi" w:hAnsiTheme="minorHAnsi" w:cstheme="minorHAnsi"/>
          <w:sz w:val="24"/>
          <w:szCs w:val="24"/>
        </w:rPr>
        <w:t>quarter of 2023 with $</w:t>
      </w:r>
      <w:r w:rsidR="00FB73E8">
        <w:rPr>
          <w:rFonts w:asciiTheme="minorHAnsi" w:hAnsiTheme="minorHAnsi" w:cstheme="minorHAnsi"/>
          <w:sz w:val="24"/>
          <w:szCs w:val="24"/>
        </w:rPr>
        <w:t>21.7</w:t>
      </w:r>
      <w:r w:rsidR="005E2C50" w:rsidRPr="005E2C50">
        <w:rPr>
          <w:rFonts w:asciiTheme="minorHAnsi" w:hAnsiTheme="minorHAnsi" w:cstheme="minorHAnsi"/>
          <w:sz w:val="24"/>
          <w:szCs w:val="24"/>
        </w:rPr>
        <w:t xml:space="preserve"> million in current assets, an increase of </w:t>
      </w:r>
      <w:r w:rsidR="005E2C50" w:rsidRPr="005E2C50">
        <w:rPr>
          <w:rFonts w:asciiTheme="minorHAnsi" w:hAnsiTheme="minorHAnsi" w:cstheme="minorHAnsi"/>
          <w:sz w:val="24"/>
          <w:szCs w:val="24"/>
        </w:rPr>
        <w:lastRenderedPageBreak/>
        <w:t>$</w:t>
      </w:r>
      <w:r w:rsidR="006625B1">
        <w:rPr>
          <w:rFonts w:asciiTheme="minorHAnsi" w:hAnsiTheme="minorHAnsi" w:cstheme="minorHAnsi"/>
          <w:sz w:val="24"/>
          <w:szCs w:val="24"/>
        </w:rPr>
        <w:t>1</w:t>
      </w:r>
      <w:r w:rsidR="005E2C50" w:rsidRPr="005E2C50">
        <w:rPr>
          <w:rFonts w:asciiTheme="minorHAnsi" w:hAnsiTheme="minorHAnsi" w:cstheme="minorHAnsi"/>
          <w:sz w:val="24"/>
          <w:szCs w:val="24"/>
        </w:rPr>
        <w:t>2</w:t>
      </w:r>
      <w:r w:rsidR="00F30C1F">
        <w:rPr>
          <w:rFonts w:asciiTheme="minorHAnsi" w:hAnsiTheme="minorHAnsi" w:cstheme="minorHAnsi"/>
          <w:sz w:val="24"/>
          <w:szCs w:val="24"/>
        </w:rPr>
        <w:t>.7</w:t>
      </w:r>
      <w:r w:rsidR="005E2C50" w:rsidRPr="005E2C50">
        <w:rPr>
          <w:rFonts w:asciiTheme="minorHAnsi" w:hAnsiTheme="minorHAnsi" w:cstheme="minorHAnsi"/>
          <w:sz w:val="24"/>
          <w:szCs w:val="24"/>
        </w:rPr>
        <w:t xml:space="preserve"> million compared to year end </w:t>
      </w:r>
      <w:r w:rsidR="00F30C1F">
        <w:rPr>
          <w:rFonts w:asciiTheme="minorHAnsi" w:hAnsiTheme="minorHAnsi" w:cstheme="minorHAnsi"/>
          <w:sz w:val="24"/>
          <w:szCs w:val="24"/>
        </w:rPr>
        <w:t xml:space="preserve">June 30, </w:t>
      </w:r>
      <w:r w:rsidR="005E2C50" w:rsidRPr="005E2C50">
        <w:rPr>
          <w:rFonts w:asciiTheme="minorHAnsi" w:hAnsiTheme="minorHAnsi" w:cstheme="minorHAnsi"/>
          <w:sz w:val="24"/>
          <w:szCs w:val="24"/>
        </w:rPr>
        <w:t>2022. The increase is mainly due to the increase in cash balances from financing activities.</w:t>
      </w:r>
    </w:p>
    <w:p w14:paraId="7E56B9CD" w14:textId="668E9AFE" w:rsidR="005E2C50" w:rsidRDefault="005E2C50" w:rsidP="005E2C50">
      <w:pPr>
        <w:pStyle w:val="BodyFull"/>
        <w:rPr>
          <w:rFonts w:asciiTheme="minorHAnsi" w:hAnsiTheme="minorHAnsi" w:cstheme="minorHAnsi"/>
          <w:sz w:val="24"/>
          <w:szCs w:val="24"/>
        </w:rPr>
      </w:pPr>
      <w:r w:rsidRPr="005E2C50">
        <w:rPr>
          <w:rFonts w:asciiTheme="minorHAnsi" w:hAnsiTheme="minorHAnsi" w:cstheme="minorHAnsi"/>
          <w:sz w:val="24"/>
          <w:szCs w:val="24"/>
        </w:rPr>
        <w:t>Current liabilities increased</w:t>
      </w:r>
      <w:r w:rsidR="00E554BE">
        <w:rPr>
          <w:rFonts w:asciiTheme="minorHAnsi" w:hAnsiTheme="minorHAnsi" w:cstheme="minorHAnsi"/>
          <w:sz w:val="24"/>
          <w:szCs w:val="24"/>
        </w:rPr>
        <w:t xml:space="preserve"> slightly</w:t>
      </w:r>
      <w:r w:rsidRPr="005E2C50">
        <w:rPr>
          <w:rFonts w:asciiTheme="minorHAnsi" w:hAnsiTheme="minorHAnsi" w:cstheme="minorHAnsi"/>
          <w:sz w:val="24"/>
          <w:szCs w:val="24"/>
        </w:rPr>
        <w:t xml:space="preserve"> from $</w:t>
      </w:r>
      <w:r w:rsidR="00E554BE">
        <w:rPr>
          <w:rFonts w:asciiTheme="minorHAnsi" w:hAnsiTheme="minorHAnsi" w:cstheme="minorHAnsi"/>
          <w:sz w:val="24"/>
          <w:szCs w:val="24"/>
        </w:rPr>
        <w:t xml:space="preserve">3.4 </w:t>
      </w:r>
      <w:r w:rsidRPr="005E2C50">
        <w:rPr>
          <w:rFonts w:asciiTheme="minorHAnsi" w:hAnsiTheme="minorHAnsi" w:cstheme="minorHAnsi"/>
          <w:sz w:val="24"/>
          <w:szCs w:val="24"/>
        </w:rPr>
        <w:t xml:space="preserve">million </w:t>
      </w:r>
      <w:r w:rsidR="00E554BE">
        <w:rPr>
          <w:rFonts w:asciiTheme="minorHAnsi" w:hAnsiTheme="minorHAnsi" w:cstheme="minorHAnsi"/>
          <w:sz w:val="24"/>
          <w:szCs w:val="24"/>
        </w:rPr>
        <w:t>as of year ended June 30, 2022</w:t>
      </w:r>
      <w:r w:rsidRPr="005E2C50">
        <w:rPr>
          <w:rFonts w:asciiTheme="minorHAnsi" w:hAnsiTheme="minorHAnsi" w:cstheme="minorHAnsi"/>
          <w:sz w:val="24"/>
          <w:szCs w:val="24"/>
        </w:rPr>
        <w:t xml:space="preserve"> to $</w:t>
      </w:r>
      <w:r w:rsidR="00E554BE">
        <w:rPr>
          <w:rFonts w:asciiTheme="minorHAnsi" w:hAnsiTheme="minorHAnsi" w:cstheme="minorHAnsi"/>
          <w:sz w:val="24"/>
          <w:szCs w:val="24"/>
        </w:rPr>
        <w:t>3.7</w:t>
      </w:r>
      <w:r w:rsidR="00486A9E">
        <w:rPr>
          <w:rFonts w:asciiTheme="minorHAnsi" w:hAnsiTheme="minorHAnsi" w:cstheme="minorHAnsi"/>
          <w:sz w:val="24"/>
          <w:szCs w:val="24"/>
        </w:rPr>
        <w:t xml:space="preserve"> </w:t>
      </w:r>
      <w:r w:rsidRPr="005E2C50">
        <w:rPr>
          <w:rFonts w:asciiTheme="minorHAnsi" w:hAnsiTheme="minorHAnsi" w:cstheme="minorHAnsi"/>
          <w:sz w:val="24"/>
          <w:szCs w:val="24"/>
        </w:rPr>
        <w:t>million in the current quarter, mainly due to an increase</w:t>
      </w:r>
      <w:r w:rsidR="00A808AC">
        <w:rPr>
          <w:rFonts w:asciiTheme="minorHAnsi" w:hAnsiTheme="minorHAnsi" w:cstheme="minorHAnsi"/>
          <w:sz w:val="24"/>
          <w:szCs w:val="24"/>
        </w:rPr>
        <w:t xml:space="preserve"> in trade an</w:t>
      </w:r>
      <w:r w:rsidR="00042C29">
        <w:rPr>
          <w:rFonts w:asciiTheme="minorHAnsi" w:hAnsiTheme="minorHAnsi" w:cstheme="minorHAnsi"/>
          <w:sz w:val="24"/>
          <w:szCs w:val="24"/>
        </w:rPr>
        <w:t>d</w:t>
      </w:r>
      <w:r w:rsidR="00A808AC">
        <w:rPr>
          <w:rFonts w:asciiTheme="minorHAnsi" w:hAnsiTheme="minorHAnsi" w:cstheme="minorHAnsi"/>
          <w:sz w:val="24"/>
          <w:szCs w:val="24"/>
        </w:rPr>
        <w:t xml:space="preserve"> other payables and unearned revenue, offset by the repayment of a loan that was outstanding as of June 30, 2022. </w:t>
      </w:r>
      <w:r w:rsidRPr="005E2C50">
        <w:rPr>
          <w:rFonts w:asciiTheme="minorHAnsi" w:hAnsiTheme="minorHAnsi" w:cstheme="minorHAnsi"/>
          <w:sz w:val="24"/>
          <w:szCs w:val="24"/>
        </w:rPr>
        <w:t xml:space="preserve"> </w:t>
      </w:r>
    </w:p>
    <w:p w14:paraId="447862F5" w14:textId="048938B4" w:rsidR="00D478EC" w:rsidRDefault="00D478EC" w:rsidP="00D06D1F">
      <w:pPr>
        <w:pStyle w:val="BodyFull"/>
        <w:rPr>
          <w:rFonts w:asciiTheme="minorHAnsi" w:hAnsiTheme="minorHAnsi" w:cstheme="minorHAnsi"/>
          <w:sz w:val="24"/>
          <w:szCs w:val="24"/>
        </w:rPr>
      </w:pPr>
      <w:r w:rsidRPr="00D478EC">
        <w:rPr>
          <w:rFonts w:asciiTheme="minorHAnsi" w:hAnsiTheme="minorHAnsi" w:cstheme="minorHAnsi"/>
          <w:sz w:val="24"/>
          <w:szCs w:val="24"/>
        </w:rPr>
        <w:t xml:space="preserve">For complete details please refer to the unaudited condensed interim consolidated financial statements and associated Management Discussion and Analysis for the </w:t>
      </w:r>
      <w:r w:rsidR="009C4509">
        <w:rPr>
          <w:rFonts w:asciiTheme="minorHAnsi" w:hAnsiTheme="minorHAnsi" w:cstheme="minorHAnsi"/>
          <w:sz w:val="24"/>
          <w:szCs w:val="24"/>
        </w:rPr>
        <w:t xml:space="preserve">nine </w:t>
      </w:r>
      <w:r w:rsidRPr="00D478EC">
        <w:rPr>
          <w:rFonts w:asciiTheme="minorHAnsi" w:hAnsiTheme="minorHAnsi" w:cstheme="minorHAnsi"/>
          <w:sz w:val="24"/>
          <w:szCs w:val="24"/>
        </w:rPr>
        <w:t>months ended March 31, 202</w:t>
      </w:r>
      <w:r w:rsidR="009C4509">
        <w:rPr>
          <w:rFonts w:asciiTheme="minorHAnsi" w:hAnsiTheme="minorHAnsi" w:cstheme="minorHAnsi"/>
          <w:sz w:val="24"/>
          <w:szCs w:val="24"/>
        </w:rPr>
        <w:t>3</w:t>
      </w:r>
      <w:r w:rsidRPr="00D478EC">
        <w:rPr>
          <w:rFonts w:asciiTheme="minorHAnsi" w:hAnsiTheme="minorHAnsi" w:cstheme="minorHAnsi"/>
          <w:sz w:val="24"/>
          <w:szCs w:val="24"/>
        </w:rPr>
        <w:t>, available on SEDAR (www.sedar.com)</w:t>
      </w:r>
      <w:r w:rsidR="009C4509">
        <w:rPr>
          <w:rFonts w:asciiTheme="minorHAnsi" w:hAnsiTheme="minorHAnsi" w:cstheme="minorHAnsi"/>
          <w:sz w:val="24"/>
          <w:szCs w:val="24"/>
        </w:rPr>
        <w:t>.</w:t>
      </w:r>
    </w:p>
    <w:p w14:paraId="572B6FB0" w14:textId="7FD30727" w:rsidR="00BA038F" w:rsidRPr="00027D63" w:rsidRDefault="00D478EC" w:rsidP="00D478EC">
      <w:pPr>
        <w:pStyle w:val="BodyFull"/>
        <w:rPr>
          <w:rFonts w:asciiTheme="minorHAnsi" w:hAnsiTheme="minorHAnsi" w:cstheme="minorHAnsi"/>
          <w:sz w:val="24"/>
          <w:szCs w:val="24"/>
        </w:rPr>
      </w:pPr>
      <w:r>
        <w:rPr>
          <w:rFonts w:asciiTheme="minorHAnsi" w:hAnsiTheme="minorHAnsi" w:cstheme="minorHAnsi"/>
          <w:b/>
          <w:bCs/>
          <w:sz w:val="24"/>
          <w:szCs w:val="24"/>
          <w:u w:val="single"/>
        </w:rPr>
        <w:t>2023 Year End Outlook</w:t>
      </w:r>
      <w:r w:rsidR="00D52DF7" w:rsidRPr="00027D63">
        <w:rPr>
          <w:rFonts w:asciiTheme="minorHAnsi" w:hAnsiTheme="minorHAnsi" w:cstheme="minorHAnsi"/>
          <w:sz w:val="24"/>
          <w:szCs w:val="24"/>
        </w:rPr>
        <w:t xml:space="preserve"> </w:t>
      </w:r>
    </w:p>
    <w:p w14:paraId="6364ECFE" w14:textId="0BCE637B" w:rsidR="00E64A55" w:rsidRDefault="00FE079A" w:rsidP="001F5B7A">
      <w:pPr>
        <w:pStyle w:val="BodyFull"/>
        <w:rPr>
          <w:rFonts w:asciiTheme="minorHAnsi" w:hAnsiTheme="minorHAnsi"/>
          <w:sz w:val="24"/>
          <w:szCs w:val="24"/>
        </w:rPr>
      </w:pPr>
      <w:r w:rsidRPr="7654AB28">
        <w:rPr>
          <w:rFonts w:asciiTheme="minorHAnsi" w:hAnsiTheme="minorHAnsi"/>
          <w:sz w:val="24"/>
          <w:szCs w:val="24"/>
        </w:rPr>
        <w:t xml:space="preserve">The Company is providing guidance of expected full year revenue in 2023 of </w:t>
      </w:r>
      <w:r w:rsidR="007921D7" w:rsidRPr="7654AB28">
        <w:rPr>
          <w:rFonts w:asciiTheme="minorHAnsi" w:hAnsiTheme="minorHAnsi"/>
          <w:sz w:val="24"/>
          <w:szCs w:val="24"/>
        </w:rPr>
        <w:t>between $</w:t>
      </w:r>
      <w:r w:rsidR="00D122D1" w:rsidRPr="7654AB28">
        <w:rPr>
          <w:rFonts w:asciiTheme="minorHAnsi" w:hAnsiTheme="minorHAnsi"/>
          <w:sz w:val="24"/>
          <w:szCs w:val="24"/>
        </w:rPr>
        <w:t>17</w:t>
      </w:r>
      <w:r w:rsidR="007921D7" w:rsidRPr="7654AB28">
        <w:rPr>
          <w:rFonts w:asciiTheme="minorHAnsi" w:hAnsiTheme="minorHAnsi"/>
          <w:sz w:val="24"/>
          <w:szCs w:val="24"/>
        </w:rPr>
        <w:t xml:space="preserve"> million and $</w:t>
      </w:r>
      <w:r w:rsidR="00DA5714">
        <w:rPr>
          <w:rFonts w:asciiTheme="minorHAnsi" w:hAnsiTheme="minorHAnsi" w:cstheme="minorHAnsi"/>
          <w:sz w:val="24"/>
          <w:szCs w:val="24"/>
        </w:rPr>
        <w:t>20</w:t>
      </w:r>
      <w:r w:rsidR="007921D7" w:rsidRPr="7654AB28">
        <w:rPr>
          <w:rFonts w:asciiTheme="minorHAnsi" w:hAnsiTheme="minorHAnsi"/>
          <w:sz w:val="24"/>
          <w:szCs w:val="24"/>
        </w:rPr>
        <w:t xml:space="preserve"> million.</w:t>
      </w:r>
      <w:r w:rsidR="00CA61B2" w:rsidRPr="7654AB28">
        <w:rPr>
          <w:rFonts w:asciiTheme="minorHAnsi" w:hAnsiTheme="minorHAnsi"/>
          <w:sz w:val="24"/>
          <w:szCs w:val="24"/>
        </w:rPr>
        <w:t xml:space="preserve"> </w:t>
      </w:r>
      <w:r w:rsidR="00E64A55" w:rsidRPr="7654AB28">
        <w:rPr>
          <w:rFonts w:asciiTheme="minorHAnsi" w:hAnsiTheme="minorHAnsi"/>
          <w:sz w:val="24"/>
          <w:szCs w:val="24"/>
        </w:rPr>
        <w:t>The purpose of the financial outlook is to assist investors, shareholders, and others in understanding certain financial metrics relating to expected 2023 financial results for evaluating the performance of the Company’s business</w:t>
      </w:r>
      <w:r w:rsidR="00ED2A0E" w:rsidRPr="7654AB28">
        <w:rPr>
          <w:rFonts w:asciiTheme="minorHAnsi" w:hAnsiTheme="minorHAnsi"/>
          <w:sz w:val="24"/>
          <w:szCs w:val="24"/>
        </w:rPr>
        <w:t xml:space="preserve"> and is dated as of the date of this press release</w:t>
      </w:r>
      <w:r w:rsidR="00E64A55" w:rsidRPr="7654AB28">
        <w:rPr>
          <w:rFonts w:asciiTheme="minorHAnsi" w:hAnsiTheme="minorHAnsi"/>
          <w:sz w:val="24"/>
          <w:szCs w:val="24"/>
        </w:rPr>
        <w:t>. This information may not be appropriate for other purposes. Information about the Company’s guidance, including the various assumptions underlying it, is forward-looking and should be read in conjunction with “Forward-Looking Statements” in this press release and the related disclosure and information about various economic, competitive, and regulatory assumptions, factors, and risks that may cause the Company’s actual future financial and operating results to differ from what it currently expects.</w:t>
      </w:r>
    </w:p>
    <w:p w14:paraId="50D3F99F" w14:textId="12B24CF2" w:rsidR="001F5B7A" w:rsidRPr="001F5B7A" w:rsidRDefault="00555310" w:rsidP="001F5B7A">
      <w:pPr>
        <w:pStyle w:val="BodyFull"/>
        <w:rPr>
          <w:rFonts w:asciiTheme="minorHAnsi" w:hAnsiTheme="minorHAnsi" w:cstheme="minorHAnsi"/>
          <w:sz w:val="24"/>
          <w:szCs w:val="24"/>
        </w:rPr>
      </w:pPr>
      <w:r>
        <w:rPr>
          <w:rFonts w:asciiTheme="minorHAnsi" w:hAnsiTheme="minorHAnsi" w:cstheme="minorHAnsi"/>
          <w:sz w:val="24"/>
          <w:szCs w:val="24"/>
        </w:rPr>
        <w:t>The Company notes that t</w:t>
      </w:r>
      <w:r w:rsidR="001F5B7A" w:rsidRPr="001F5B7A">
        <w:rPr>
          <w:rFonts w:asciiTheme="minorHAnsi" w:hAnsiTheme="minorHAnsi" w:cstheme="minorHAnsi"/>
          <w:sz w:val="24"/>
          <w:szCs w:val="24"/>
        </w:rPr>
        <w:t xml:space="preserve">he execution of the </w:t>
      </w:r>
      <w:r>
        <w:rPr>
          <w:rFonts w:asciiTheme="minorHAnsi" w:hAnsiTheme="minorHAnsi" w:cstheme="minorHAnsi"/>
          <w:sz w:val="24"/>
          <w:szCs w:val="24"/>
        </w:rPr>
        <w:t>C</w:t>
      </w:r>
      <w:r w:rsidR="001F5B7A" w:rsidRPr="001F5B7A">
        <w:rPr>
          <w:rFonts w:asciiTheme="minorHAnsi" w:hAnsiTheme="minorHAnsi" w:cstheme="minorHAnsi"/>
          <w:sz w:val="24"/>
          <w:szCs w:val="24"/>
        </w:rPr>
        <w:t xml:space="preserve">ompany’s growth strategy depends upon the continued availability of third-party financing arrangements for the </w:t>
      </w:r>
      <w:r>
        <w:rPr>
          <w:rFonts w:asciiTheme="minorHAnsi" w:hAnsiTheme="minorHAnsi" w:cstheme="minorHAnsi"/>
          <w:sz w:val="24"/>
          <w:szCs w:val="24"/>
        </w:rPr>
        <w:t>C</w:t>
      </w:r>
      <w:r w:rsidR="001F5B7A" w:rsidRPr="001F5B7A">
        <w:rPr>
          <w:rFonts w:asciiTheme="minorHAnsi" w:hAnsiTheme="minorHAnsi" w:cstheme="minorHAnsi"/>
          <w:sz w:val="24"/>
          <w:szCs w:val="24"/>
        </w:rPr>
        <w:t>ompany and its customers</w:t>
      </w:r>
      <w:r>
        <w:rPr>
          <w:rFonts w:asciiTheme="minorHAnsi" w:hAnsiTheme="minorHAnsi" w:cstheme="minorHAnsi"/>
          <w:sz w:val="24"/>
          <w:szCs w:val="24"/>
        </w:rPr>
        <w:t xml:space="preserve"> </w:t>
      </w:r>
      <w:r w:rsidR="001F5B7A" w:rsidRPr="001F5B7A">
        <w:rPr>
          <w:rFonts w:asciiTheme="minorHAnsi" w:hAnsiTheme="minorHAnsi" w:cstheme="minorHAnsi"/>
          <w:sz w:val="24"/>
          <w:szCs w:val="24"/>
        </w:rPr>
        <w:t xml:space="preserve">and the </w:t>
      </w:r>
      <w:r w:rsidR="00872401">
        <w:rPr>
          <w:rFonts w:asciiTheme="minorHAnsi" w:hAnsiTheme="minorHAnsi" w:cstheme="minorHAnsi"/>
          <w:sz w:val="24"/>
          <w:szCs w:val="24"/>
        </w:rPr>
        <w:t>C</w:t>
      </w:r>
      <w:r w:rsidR="001F5B7A" w:rsidRPr="001F5B7A">
        <w:rPr>
          <w:rFonts w:asciiTheme="minorHAnsi" w:hAnsiTheme="minorHAnsi" w:cstheme="minorHAnsi"/>
          <w:sz w:val="24"/>
          <w:szCs w:val="24"/>
        </w:rPr>
        <w:t>ompany’s future success depends partly on its ability to expand the pipeline of its energy business in several key markets</w:t>
      </w:r>
      <w:r w:rsidR="00004FE4">
        <w:rPr>
          <w:rFonts w:asciiTheme="minorHAnsi" w:hAnsiTheme="minorHAnsi" w:cstheme="minorHAnsi"/>
          <w:sz w:val="24"/>
          <w:szCs w:val="24"/>
        </w:rPr>
        <w:t>. In addition, g</w:t>
      </w:r>
      <w:r w:rsidR="001F5B7A" w:rsidRPr="001F5B7A">
        <w:rPr>
          <w:rFonts w:asciiTheme="minorHAnsi" w:hAnsiTheme="minorHAnsi" w:cstheme="minorHAnsi"/>
          <w:sz w:val="24"/>
          <w:szCs w:val="24"/>
        </w:rPr>
        <w:t xml:space="preserve">overnments may revise, reduce or eliminate incentives and policy support schemes for solar and battery storage power, which could cause demand for the </w:t>
      </w:r>
      <w:r w:rsidR="00004FE4">
        <w:rPr>
          <w:rFonts w:asciiTheme="minorHAnsi" w:hAnsiTheme="minorHAnsi" w:cstheme="minorHAnsi"/>
          <w:sz w:val="24"/>
          <w:szCs w:val="24"/>
        </w:rPr>
        <w:t>C</w:t>
      </w:r>
      <w:r w:rsidR="001F5B7A" w:rsidRPr="001F5B7A">
        <w:rPr>
          <w:rFonts w:asciiTheme="minorHAnsi" w:hAnsiTheme="minorHAnsi" w:cstheme="minorHAnsi"/>
          <w:sz w:val="24"/>
          <w:szCs w:val="24"/>
        </w:rPr>
        <w:t>ompany’s services to decline.</w:t>
      </w:r>
      <w:r w:rsidR="005B2008">
        <w:rPr>
          <w:rFonts w:asciiTheme="minorHAnsi" w:hAnsiTheme="minorHAnsi" w:cstheme="minorHAnsi"/>
          <w:sz w:val="24"/>
          <w:szCs w:val="24"/>
        </w:rPr>
        <w:t xml:space="preserve"> </w:t>
      </w:r>
      <w:r w:rsidR="005B2008" w:rsidRPr="005B2008">
        <w:rPr>
          <w:rFonts w:asciiTheme="minorHAnsi" w:hAnsiTheme="minorHAnsi" w:cstheme="minorHAnsi"/>
          <w:sz w:val="24"/>
          <w:szCs w:val="24"/>
        </w:rPr>
        <w:t>Further the forecasted MW capacity of a solar project may not be reached.</w:t>
      </w:r>
      <w:r w:rsidR="00004FE4">
        <w:rPr>
          <w:rFonts w:asciiTheme="minorHAnsi" w:hAnsiTheme="minorHAnsi" w:cstheme="minorHAnsi"/>
          <w:sz w:val="24"/>
          <w:szCs w:val="24"/>
        </w:rPr>
        <w:t xml:space="preserve"> Please refer to “Forward-Looking Statements” for additional discussion of the assumptions and risk factors associated with the statements in this press release.</w:t>
      </w:r>
    </w:p>
    <w:p w14:paraId="1DBC0B89" w14:textId="77777777" w:rsidR="00AC4071" w:rsidRPr="00027D63" w:rsidRDefault="00AC4071" w:rsidP="00AC4071">
      <w:pPr>
        <w:pStyle w:val="BodyFull"/>
        <w:rPr>
          <w:rFonts w:asciiTheme="minorHAnsi" w:hAnsiTheme="minorHAnsi" w:cstheme="minorHAnsi"/>
          <w:b/>
          <w:bCs/>
          <w:sz w:val="24"/>
          <w:szCs w:val="24"/>
        </w:rPr>
      </w:pPr>
      <w:r w:rsidRPr="00027D63">
        <w:rPr>
          <w:rFonts w:asciiTheme="minorHAnsi" w:hAnsiTheme="minorHAnsi" w:cstheme="minorHAnsi"/>
          <w:b/>
          <w:bCs/>
          <w:sz w:val="24"/>
          <w:szCs w:val="24"/>
        </w:rPr>
        <w:t>About SolarBank Corporation</w:t>
      </w:r>
    </w:p>
    <w:p w14:paraId="313EF185" w14:textId="6B9F68C9" w:rsidR="00107EE8" w:rsidRPr="00027D63" w:rsidRDefault="00107EE8" w:rsidP="00A169AA">
      <w:pPr>
        <w:pStyle w:val="HeadingTitle2"/>
        <w:keepNext w:val="0"/>
        <w:keepLines w:val="0"/>
        <w:jc w:val="both"/>
        <w:rPr>
          <w:rFonts w:asciiTheme="minorHAnsi" w:hAnsiTheme="minorHAnsi" w:cstheme="minorHAnsi"/>
          <w:b w:val="0"/>
          <w:bCs/>
          <w:sz w:val="24"/>
          <w:szCs w:val="24"/>
        </w:rPr>
      </w:pPr>
      <w:r w:rsidRPr="00027D63">
        <w:rPr>
          <w:rFonts w:asciiTheme="minorHAnsi" w:hAnsiTheme="minorHAnsi" w:cstheme="minorHAnsi"/>
          <w:b w:val="0"/>
          <w:bCs/>
          <w:sz w:val="24"/>
          <w:szCs w:val="24"/>
        </w:rPr>
        <w:t xml:space="preserve">SolarBank Corporation is an independent renewable and clean energy project developer focusing on distributed and community solar projects in Canada and the USA. The Company develops solar projects that sell electricity to utilities, commercial, industrial, municipal, and residential off-takers. The Company maximizes returns via a diverse portfolio of projects across multiple leading solar markets, including projects with utilities, host off-takers, community solar, and virtual net metering projects. The Company has completed over 1,000 development projects with a combined capacity of over 60 megawatts. It currently has a potential development pipeline of over 700 megawatts. To learn more about SolarBank, please visit </w:t>
      </w:r>
      <w:hyperlink r:id="rId8" w:history="1">
        <w:r w:rsidRPr="00027D63">
          <w:rPr>
            <w:rStyle w:val="Hyperlink"/>
            <w:rFonts w:asciiTheme="minorHAnsi" w:hAnsiTheme="minorHAnsi" w:cstheme="minorHAnsi"/>
            <w:b w:val="0"/>
            <w:bCs/>
            <w:sz w:val="24"/>
            <w:szCs w:val="24"/>
          </w:rPr>
          <w:t>www.solarbankcorp.com</w:t>
        </w:r>
      </w:hyperlink>
      <w:r w:rsidRPr="00027D63">
        <w:rPr>
          <w:rFonts w:asciiTheme="minorHAnsi" w:hAnsiTheme="minorHAnsi" w:cstheme="minorHAnsi"/>
          <w:b w:val="0"/>
          <w:bCs/>
          <w:sz w:val="24"/>
          <w:szCs w:val="24"/>
        </w:rPr>
        <w:t xml:space="preserve">. </w:t>
      </w:r>
    </w:p>
    <w:p w14:paraId="49BF1141" w14:textId="64C69494" w:rsidR="00AC4071" w:rsidRPr="00027D63" w:rsidRDefault="00AC4071" w:rsidP="00A169AA">
      <w:pPr>
        <w:pStyle w:val="HeadingTitle2"/>
        <w:keepNext w:val="0"/>
        <w:keepLines w:val="0"/>
        <w:rPr>
          <w:rFonts w:asciiTheme="minorHAnsi" w:hAnsiTheme="minorHAnsi" w:cstheme="minorHAnsi"/>
          <w:sz w:val="24"/>
          <w:szCs w:val="24"/>
        </w:rPr>
      </w:pPr>
      <w:r w:rsidRPr="00027D63">
        <w:rPr>
          <w:rFonts w:asciiTheme="minorHAnsi" w:hAnsiTheme="minorHAnsi" w:cstheme="minorHAnsi"/>
          <w:sz w:val="24"/>
          <w:szCs w:val="24"/>
        </w:rPr>
        <w:lastRenderedPageBreak/>
        <w:t>For further information, please contact:‎</w:t>
      </w:r>
    </w:p>
    <w:p w14:paraId="4205B77D" w14:textId="77777777" w:rsidR="00AC4071" w:rsidRPr="00027D63" w:rsidRDefault="00AC4071" w:rsidP="00A169AA">
      <w:pPr>
        <w:pStyle w:val="BodyFull"/>
        <w:spacing w:after="0"/>
        <w:rPr>
          <w:rFonts w:asciiTheme="minorHAnsi" w:hAnsiTheme="minorHAnsi" w:cstheme="minorHAnsi"/>
          <w:sz w:val="24"/>
          <w:szCs w:val="24"/>
        </w:rPr>
      </w:pPr>
      <w:r w:rsidRPr="00027D63">
        <w:rPr>
          <w:rFonts w:asciiTheme="minorHAnsi" w:hAnsiTheme="minorHAnsi" w:cstheme="minorHAnsi"/>
          <w:sz w:val="24"/>
          <w:szCs w:val="24"/>
        </w:rPr>
        <w:t>SolarBank Corporation</w:t>
      </w:r>
    </w:p>
    <w:p w14:paraId="705D1E2F" w14:textId="77777777" w:rsidR="00AC4071" w:rsidRPr="00027D63" w:rsidRDefault="00AC4071" w:rsidP="00A169AA">
      <w:pPr>
        <w:pStyle w:val="BodyFull"/>
        <w:spacing w:after="0"/>
        <w:rPr>
          <w:rFonts w:asciiTheme="minorHAnsi" w:hAnsiTheme="minorHAnsi" w:cstheme="minorHAnsi"/>
          <w:sz w:val="24"/>
          <w:szCs w:val="24"/>
        </w:rPr>
      </w:pPr>
      <w:r w:rsidRPr="00027D63">
        <w:rPr>
          <w:rFonts w:asciiTheme="minorHAnsi" w:hAnsiTheme="minorHAnsi" w:cstheme="minorHAnsi"/>
          <w:sz w:val="24"/>
          <w:szCs w:val="24"/>
        </w:rPr>
        <w:t>Tracy Zheng</w:t>
      </w:r>
    </w:p>
    <w:p w14:paraId="3F5BE0DE" w14:textId="77777777" w:rsidR="00AC4071" w:rsidRPr="00027D63" w:rsidRDefault="00AC4071" w:rsidP="00A169AA">
      <w:pPr>
        <w:pStyle w:val="BodyFull"/>
        <w:spacing w:after="0"/>
        <w:rPr>
          <w:rStyle w:val="Hyperlink"/>
          <w:rFonts w:asciiTheme="minorHAnsi" w:hAnsiTheme="minorHAnsi" w:cstheme="minorHAnsi"/>
          <w:sz w:val="24"/>
          <w:szCs w:val="24"/>
        </w:rPr>
      </w:pPr>
      <w:r w:rsidRPr="00027D63">
        <w:rPr>
          <w:rFonts w:asciiTheme="minorHAnsi" w:hAnsiTheme="minorHAnsi" w:cstheme="minorHAnsi"/>
          <w:sz w:val="24"/>
          <w:szCs w:val="24"/>
        </w:rPr>
        <w:t xml:space="preserve">Email: </w:t>
      </w:r>
      <w:hyperlink r:id="rId9" w:history="1">
        <w:r w:rsidRPr="00027D63">
          <w:rPr>
            <w:rStyle w:val="Hyperlink"/>
            <w:rFonts w:asciiTheme="minorHAnsi" w:hAnsiTheme="minorHAnsi" w:cstheme="minorHAnsi"/>
            <w:sz w:val="24"/>
            <w:szCs w:val="24"/>
          </w:rPr>
          <w:t>tracy.zheng@solarbankcorp.com</w:t>
        </w:r>
      </w:hyperlink>
    </w:p>
    <w:p w14:paraId="42CE7ECA" w14:textId="77777777" w:rsidR="00AC4071" w:rsidRPr="00027D63" w:rsidRDefault="00AC4071" w:rsidP="00A169AA">
      <w:pPr>
        <w:pStyle w:val="BodyFull"/>
        <w:spacing w:after="0"/>
        <w:rPr>
          <w:rFonts w:asciiTheme="minorHAnsi" w:hAnsiTheme="minorHAnsi" w:cstheme="minorHAnsi"/>
          <w:sz w:val="24"/>
          <w:szCs w:val="24"/>
        </w:rPr>
      </w:pPr>
      <w:r w:rsidRPr="00027D63">
        <w:rPr>
          <w:rFonts w:asciiTheme="minorHAnsi" w:hAnsiTheme="minorHAnsi" w:cstheme="minorHAnsi"/>
          <w:sz w:val="24"/>
          <w:szCs w:val="24"/>
        </w:rPr>
        <w:t>Phone: 416.494.9559</w:t>
      </w:r>
    </w:p>
    <w:p w14:paraId="06E2D292" w14:textId="77777777" w:rsidR="00AC4071" w:rsidRPr="00027D63" w:rsidRDefault="00AC4071" w:rsidP="00AC4071">
      <w:pPr>
        <w:pStyle w:val="BodyFull"/>
        <w:rPr>
          <w:rFonts w:asciiTheme="minorHAnsi" w:hAnsiTheme="minorHAnsi" w:cstheme="minorHAnsi"/>
          <w:b/>
          <w:bCs/>
          <w:sz w:val="24"/>
          <w:szCs w:val="24"/>
        </w:rPr>
      </w:pPr>
    </w:p>
    <w:p w14:paraId="46B4CD95" w14:textId="77777777" w:rsidR="00AC4071" w:rsidRPr="00027D63" w:rsidRDefault="00AC4071" w:rsidP="00AC4071">
      <w:pPr>
        <w:pStyle w:val="BodyFull"/>
        <w:rPr>
          <w:rFonts w:asciiTheme="minorHAnsi" w:hAnsiTheme="minorHAnsi" w:cstheme="minorHAnsi"/>
          <w:b/>
          <w:bCs/>
          <w:sz w:val="24"/>
          <w:szCs w:val="24"/>
        </w:rPr>
      </w:pPr>
      <w:r w:rsidRPr="00027D63">
        <w:rPr>
          <w:rFonts w:asciiTheme="minorHAnsi" w:hAnsiTheme="minorHAnsi" w:cstheme="minorHAnsi"/>
          <w:b/>
          <w:bCs/>
          <w:sz w:val="24"/>
          <w:szCs w:val="24"/>
        </w:rPr>
        <w:t>FORWARD-LOOKING STATEMENTS</w:t>
      </w:r>
    </w:p>
    <w:p w14:paraId="213F9CDB" w14:textId="16865D27" w:rsidR="00AC4071" w:rsidRPr="00027D63" w:rsidRDefault="00AC4071" w:rsidP="00AC4071">
      <w:pPr>
        <w:pStyle w:val="BodyFull"/>
        <w:rPr>
          <w:rFonts w:asciiTheme="minorHAnsi" w:hAnsiTheme="minorHAnsi" w:cstheme="minorHAnsi"/>
          <w:sz w:val="24"/>
          <w:szCs w:val="24"/>
        </w:rPr>
      </w:pPr>
      <w:r w:rsidRPr="00027D63">
        <w:rPr>
          <w:rFonts w:asciiTheme="minorHAnsi" w:hAnsiTheme="minorHAnsi" w:cstheme="minorHAnsi"/>
          <w:sz w:val="24"/>
          <w:szCs w:val="24"/>
        </w:rPr>
        <w:t xml:space="preserve">This </w:t>
      </w:r>
      <w:r w:rsidR="00ED2A0E">
        <w:rPr>
          <w:rFonts w:asciiTheme="minorHAnsi" w:hAnsiTheme="minorHAnsi" w:cstheme="minorHAnsi"/>
          <w:sz w:val="24"/>
          <w:szCs w:val="24"/>
        </w:rPr>
        <w:t>press</w:t>
      </w:r>
      <w:r w:rsidRPr="00027D63">
        <w:rPr>
          <w:rFonts w:asciiTheme="minorHAnsi" w:hAnsiTheme="minorHAnsi" w:cstheme="minorHAnsi"/>
          <w:sz w:val="24"/>
          <w:szCs w:val="24"/>
        </w:rPr>
        <w:t xml:space="preserve"> release contains forward-looking statements and forward-looking information ‎within the meaning of Canadian securities legislation (collectively, "forward-looking ‎statements") that relate to the Company's current expectations and views of future events. ‎Any statements that express, or involve discussions as to, expectations, beliefs, plans, ‎objectives, assumptions or future events or performance (often, but not always, through the ‎use of words or phrases such as "will likely result", "are expected to", "expects", "will ‎continue", "is anticipated", "anticipates", "believes", "estimated", "intends", "plans", "forecast", ‎‎"projection", "strategy", "objective" and "outlook") are not historical facts and may be ‎forward-looking statements and may involve estimates, assumptions and uncertainties ‎which could cause actual results or outcomes to differ materially from those expressed in ‎such forward-looking statements. In particular and without limitation, this </w:t>
      </w:r>
      <w:r w:rsidR="00ED2A0E">
        <w:rPr>
          <w:rFonts w:asciiTheme="minorHAnsi" w:hAnsiTheme="minorHAnsi" w:cstheme="minorHAnsi"/>
          <w:sz w:val="24"/>
          <w:szCs w:val="24"/>
        </w:rPr>
        <w:t>press</w:t>
      </w:r>
      <w:r w:rsidRPr="00027D63">
        <w:rPr>
          <w:rFonts w:asciiTheme="minorHAnsi" w:hAnsiTheme="minorHAnsi" w:cstheme="minorHAnsi"/>
          <w:sz w:val="24"/>
          <w:szCs w:val="24"/>
        </w:rPr>
        <w:t xml:space="preserve"> release ‎contains forward-looking statements pertaining to the Company’s expectations regarding its industry trends and overall market growth; the Company’s growth strategies; the expected energy production from the solar power project mentioned in this press release</w:t>
      </w:r>
      <w:r w:rsidR="00023A1E">
        <w:rPr>
          <w:rFonts w:asciiTheme="minorHAnsi" w:hAnsiTheme="minorHAnsi" w:cstheme="minorHAnsi"/>
          <w:sz w:val="24"/>
          <w:szCs w:val="24"/>
        </w:rPr>
        <w:t>;</w:t>
      </w:r>
      <w:r w:rsidRPr="00027D63">
        <w:rPr>
          <w:rFonts w:asciiTheme="minorHAnsi" w:hAnsiTheme="minorHAnsi" w:cstheme="minorHAnsi"/>
          <w:sz w:val="24"/>
          <w:szCs w:val="24"/>
        </w:rPr>
        <w:t xml:space="preserve"> the megawatt capacity and type of future solar projects</w:t>
      </w:r>
      <w:r w:rsidR="00023A1E">
        <w:rPr>
          <w:rFonts w:asciiTheme="minorHAnsi" w:hAnsiTheme="minorHAnsi" w:cstheme="minorHAnsi"/>
          <w:sz w:val="24"/>
          <w:szCs w:val="24"/>
        </w:rPr>
        <w:t>; and future revenue guidance</w:t>
      </w:r>
      <w:r w:rsidRPr="00027D63">
        <w:rPr>
          <w:rFonts w:asciiTheme="minorHAnsi" w:hAnsiTheme="minorHAnsi" w:cstheme="minorHAnsi"/>
          <w:sz w:val="24"/>
          <w:szCs w:val="24"/>
        </w:rPr>
        <w:t xml:space="preserve">. No assurance ‎can be given that these expectations will prove to be correct and such forward-looking ‎statements included in this </w:t>
      </w:r>
      <w:r w:rsidR="00ED2A0E">
        <w:rPr>
          <w:rFonts w:asciiTheme="minorHAnsi" w:hAnsiTheme="minorHAnsi" w:cstheme="minorHAnsi"/>
          <w:sz w:val="24"/>
          <w:szCs w:val="24"/>
        </w:rPr>
        <w:t>press</w:t>
      </w:r>
      <w:r w:rsidRPr="00027D63">
        <w:rPr>
          <w:rFonts w:asciiTheme="minorHAnsi" w:hAnsiTheme="minorHAnsi" w:cstheme="minorHAnsi"/>
          <w:sz w:val="24"/>
          <w:szCs w:val="24"/>
        </w:rPr>
        <w:t xml:space="preserve"> release should not be unduly relied upon. These ‎statements speak only as of the date of this </w:t>
      </w:r>
      <w:r w:rsidR="00ED2A0E">
        <w:rPr>
          <w:rFonts w:asciiTheme="minorHAnsi" w:hAnsiTheme="minorHAnsi" w:cstheme="minorHAnsi"/>
          <w:sz w:val="24"/>
          <w:szCs w:val="24"/>
        </w:rPr>
        <w:t>press</w:t>
      </w:r>
      <w:r w:rsidRPr="00027D63">
        <w:rPr>
          <w:rFonts w:asciiTheme="minorHAnsi" w:hAnsiTheme="minorHAnsi" w:cstheme="minorHAnsi"/>
          <w:sz w:val="24"/>
          <w:szCs w:val="24"/>
        </w:rPr>
        <w:t xml:space="preserve"> release.‎</w:t>
      </w:r>
    </w:p>
    <w:p w14:paraId="20713B3A" w14:textId="2D5AF385" w:rsidR="00AC4071" w:rsidRPr="00027D63" w:rsidRDefault="00AC4071" w:rsidP="00AC4071">
      <w:pPr>
        <w:pStyle w:val="BodyFull"/>
        <w:rPr>
          <w:rFonts w:asciiTheme="minorHAnsi" w:hAnsiTheme="minorHAnsi" w:cstheme="minorHAnsi"/>
          <w:sz w:val="24"/>
          <w:szCs w:val="24"/>
        </w:rPr>
      </w:pPr>
      <w:r w:rsidRPr="00027D63">
        <w:rPr>
          <w:rFonts w:asciiTheme="minorHAnsi" w:hAnsiTheme="minorHAnsi" w:cstheme="minorHAnsi"/>
          <w:sz w:val="24"/>
          <w:szCs w:val="24"/>
        </w:rPr>
        <w:t xml:space="preserve">Forward-looking statements are based on certain assumptions and analyses made by the Company in light of the experience and perception of historical trends, current conditions and expected future developments and other factors it believes are appropriate, and are subject to risks and uncertainties. In making the forward looking statements included in this </w:t>
      </w:r>
      <w:r w:rsidR="00ED2A0E">
        <w:rPr>
          <w:rFonts w:asciiTheme="minorHAnsi" w:hAnsiTheme="minorHAnsi" w:cstheme="minorHAnsi"/>
          <w:sz w:val="24"/>
          <w:szCs w:val="24"/>
        </w:rPr>
        <w:t>press</w:t>
      </w:r>
      <w:r w:rsidRPr="00027D63">
        <w:rPr>
          <w:rFonts w:asciiTheme="minorHAnsi" w:hAnsiTheme="minorHAnsi" w:cstheme="minorHAnsi"/>
          <w:sz w:val="24"/>
          <w:szCs w:val="24"/>
        </w:rPr>
        <w:t xml:space="preserve"> release, the Company has made various material assumptions, including but not limited to: obtaining the necessary regulatory approvals; that regulatory requirements will be maintained; general business and economic conditions; the Company’s ability to successfully execute its plans and intentions; the availability of financing on reasonable terms; the Company’s ability to attract and retain skilled staff; market competition; the products and services offered by the Company’s competitors; that the Company’s current good relationships with its service providers and other third parties will be maintained; and government subsidies and funding for renewable energy will continue as currently contemplated. Although the Company believes that the assumptions underlying these statements are reasonable, they may prove to be incorrect, and the Company cannot assure that actual results will be consistent with these forward-looking statements. Given these risks, uncertainties and assumptions, investors should not place undue reliance on these forward-looking statements. </w:t>
      </w:r>
    </w:p>
    <w:p w14:paraId="32F9E65B" w14:textId="3E1E5DA1" w:rsidR="00AC4071" w:rsidRPr="00027D63" w:rsidRDefault="00AC4071" w:rsidP="00AC4071">
      <w:pPr>
        <w:pStyle w:val="BodyFull"/>
        <w:rPr>
          <w:rFonts w:asciiTheme="minorHAnsi" w:hAnsiTheme="minorHAnsi" w:cstheme="minorHAnsi"/>
          <w:sz w:val="24"/>
          <w:szCs w:val="24"/>
        </w:rPr>
      </w:pPr>
      <w:r w:rsidRPr="00027D63">
        <w:rPr>
          <w:rFonts w:asciiTheme="minorHAnsi" w:hAnsiTheme="minorHAnsi" w:cstheme="minorHAnsi"/>
          <w:sz w:val="24"/>
          <w:szCs w:val="24"/>
        </w:rPr>
        <w:lastRenderedPageBreak/>
        <w:t xml:space="preserve">Whether actual results, performance or achievements will conform to the Company’s expectations and predictions is subject to a number of known and unknown risks, uncertainties, assumptions and other factors, including those listed under </w:t>
      </w:r>
      <w:r w:rsidRPr="00027D63">
        <w:rPr>
          <w:rFonts w:asciiTheme="minorHAnsi" w:hAnsiTheme="minorHAnsi" w:cstheme="minorHAnsi"/>
          <w:i/>
          <w:iCs/>
          <w:sz w:val="24"/>
          <w:szCs w:val="24"/>
          <w:lang w:val="en-US"/>
        </w:rPr>
        <w:t xml:space="preserve">"Forward-‎Looking Statements" and "Risk ‎Factors" in the final long form prospectus of the Company dated February 10, 2023, </w:t>
      </w:r>
      <w:r w:rsidRPr="00027D63">
        <w:rPr>
          <w:rFonts w:asciiTheme="minorHAnsi" w:hAnsiTheme="minorHAnsi" w:cstheme="minorHAnsi"/>
          <w:iCs/>
          <w:sz w:val="24"/>
          <w:szCs w:val="24"/>
          <w:lang w:val="en-US"/>
        </w:rPr>
        <w:t>and other</w:t>
      </w:r>
      <w:r w:rsidRPr="00027D63">
        <w:rPr>
          <w:rFonts w:asciiTheme="minorHAnsi" w:hAnsiTheme="minorHAnsi" w:cstheme="minorHAnsi"/>
          <w:sz w:val="24"/>
          <w:szCs w:val="24"/>
        </w:rPr>
        <w:t xml:space="preserve"> public filings of the Company, which include: the Company may be adversely affected by volatile solar power market and industry conditions; the execution of the Company’s growth strategy depends upon the continued availability of third-party financing arrangements; the Company’s future success depends partly on its ability to expand the pipeline of its energy business in several key markets; governments may revise, reduce or eliminate incentives and policy support schemes for solar and battery storage power; general global economic conditions may have an adverse impact on our operating performance and results of operations; the Company’s project development and construction activities may not be successful; developing and operating solar projects exposes the Company to various risks; the Company faces a number of risks involving Power Purchase Agreements (“PPAs”) and project-level financing arrangements; any changes to the laws, regulations and policies that the Company is subject to may present technical, regulatory and economic barriers to the purchase and use of solar power; the markets in which the Company competes are highly competitive and evolving quickly; an anti-circumvention investigation could adversely affect the Company by potentially raising the prices of key supplies for the construction of solar power projects; foreign exchange rate fluctuations; a change in the Company’s effective tax rate can have a significant adverse impact on its business; seasonal variations in demand linked to construction cycles and weather conditions may influence the Company’s results of operations; the Company may be unable to generate sufficient cash flows or have access to external financing; the Company may incur substantial additional indebtedness in the future; the Company is subject to risks from supply chain issues; risks related to inflation; unexpected warranty expenses that may not be adequately covered by the Company’s insurance policies; if the Company is unable to attract and retain key personnel, it may not be able to compete effectively in the renewable energy market; there are a limited number of purchasers of utility-scale quantities of electricity; compliance with environmental laws and regulations can be expensive; corporate responsibility may adversely impose additional costs; the future impact of COVID-19 on the Company is unknown at this time; the Company has limited insurance coverage; the Company will be reliant on information technology systems and may be subject to damaging cyberattacks; the Company may become subject to litigation; there is no guarantee on how the Company will use its available funds; the Company will continue to sell securities for cash to fund operations, capital expansion, mergers and acquisitions that will dilute the current shareholders; and future dilution as a result of financings.</w:t>
      </w:r>
      <w:r w:rsidR="003C40D0">
        <w:rPr>
          <w:rFonts w:asciiTheme="minorHAnsi" w:hAnsiTheme="minorHAnsi" w:cstheme="minorHAnsi"/>
          <w:sz w:val="24"/>
          <w:szCs w:val="24"/>
        </w:rPr>
        <w:t xml:space="preserve"> In addition, there are </w:t>
      </w:r>
      <w:r w:rsidR="003C40D0" w:rsidRPr="003C40D0">
        <w:rPr>
          <w:rFonts w:asciiTheme="minorHAnsi" w:hAnsiTheme="minorHAnsi" w:cstheme="minorHAnsi"/>
          <w:sz w:val="24"/>
          <w:szCs w:val="24"/>
        </w:rPr>
        <w:t xml:space="preserve">difficulties in forecasting </w:t>
      </w:r>
      <w:r w:rsidR="003C40D0">
        <w:rPr>
          <w:rFonts w:asciiTheme="minorHAnsi" w:hAnsiTheme="minorHAnsi" w:cstheme="minorHAnsi"/>
          <w:sz w:val="24"/>
          <w:szCs w:val="24"/>
        </w:rPr>
        <w:t>the Company’s</w:t>
      </w:r>
      <w:r w:rsidR="003C40D0" w:rsidRPr="003C40D0">
        <w:rPr>
          <w:rFonts w:asciiTheme="minorHAnsi" w:hAnsiTheme="minorHAnsi" w:cstheme="minorHAnsi"/>
          <w:sz w:val="24"/>
          <w:szCs w:val="24"/>
        </w:rPr>
        <w:t xml:space="preserve"> financial results and performance for future periods, particularly over longer periods, given changes in technology and </w:t>
      </w:r>
      <w:r w:rsidR="003C40D0">
        <w:rPr>
          <w:rFonts w:asciiTheme="minorHAnsi" w:hAnsiTheme="minorHAnsi" w:cstheme="minorHAnsi"/>
          <w:sz w:val="24"/>
          <w:szCs w:val="24"/>
        </w:rPr>
        <w:t>the Company’s</w:t>
      </w:r>
      <w:r w:rsidR="003C40D0" w:rsidRPr="003C40D0">
        <w:rPr>
          <w:rFonts w:asciiTheme="minorHAnsi" w:hAnsiTheme="minorHAnsi" w:cstheme="minorHAnsi"/>
          <w:sz w:val="24"/>
          <w:szCs w:val="24"/>
        </w:rPr>
        <w:t xml:space="preserve"> business strategy, evolving industry standards, intense competition and </w:t>
      </w:r>
      <w:r w:rsidR="00023A1E">
        <w:rPr>
          <w:rFonts w:asciiTheme="minorHAnsi" w:hAnsiTheme="minorHAnsi" w:cstheme="minorHAnsi"/>
          <w:sz w:val="24"/>
          <w:szCs w:val="24"/>
        </w:rPr>
        <w:t>government regulation</w:t>
      </w:r>
      <w:r w:rsidR="003C40D0" w:rsidRPr="003C40D0">
        <w:rPr>
          <w:rFonts w:asciiTheme="minorHAnsi" w:hAnsiTheme="minorHAnsi" w:cstheme="minorHAnsi"/>
          <w:sz w:val="24"/>
          <w:szCs w:val="24"/>
        </w:rPr>
        <w:t xml:space="preserve"> that characterize the industries in which </w:t>
      </w:r>
      <w:r w:rsidR="00023A1E">
        <w:rPr>
          <w:rFonts w:asciiTheme="minorHAnsi" w:hAnsiTheme="minorHAnsi" w:cstheme="minorHAnsi"/>
          <w:sz w:val="24"/>
          <w:szCs w:val="24"/>
        </w:rPr>
        <w:t>the Company</w:t>
      </w:r>
      <w:r w:rsidR="003C40D0" w:rsidRPr="003C40D0">
        <w:rPr>
          <w:rFonts w:asciiTheme="minorHAnsi" w:hAnsiTheme="minorHAnsi" w:cstheme="minorHAnsi"/>
          <w:sz w:val="24"/>
          <w:szCs w:val="24"/>
        </w:rPr>
        <w:t xml:space="preserve"> operates.</w:t>
      </w:r>
    </w:p>
    <w:p w14:paraId="1FCEB09E" w14:textId="5D7C1CC0" w:rsidR="00E21009" w:rsidRPr="00027D63" w:rsidRDefault="00AC4071" w:rsidP="00290548">
      <w:pPr>
        <w:pStyle w:val="BodyFull"/>
        <w:rPr>
          <w:rFonts w:asciiTheme="minorHAnsi" w:hAnsiTheme="minorHAnsi" w:cstheme="minorHAnsi"/>
          <w:sz w:val="24"/>
          <w:szCs w:val="24"/>
        </w:rPr>
      </w:pPr>
      <w:r w:rsidRPr="00027D63">
        <w:rPr>
          <w:rFonts w:asciiTheme="minorHAnsi" w:hAnsiTheme="minorHAnsi" w:cstheme="minorHAnsi"/>
          <w:sz w:val="24"/>
          <w:szCs w:val="24"/>
        </w:rPr>
        <w:t xml:space="preserve">The Company undertakes no obligation to update or revise any ‎forward-looking statements, whether as a result of new information, future events or ‎otherwise, except as may be required by law. New factors emerge from time to time, and it ‎is not possible for the Company to predict all of them, or assess the impact of each such ‎factor or the extent to which any factor, or </w:t>
      </w:r>
      <w:r w:rsidRPr="00027D63">
        <w:rPr>
          <w:rFonts w:asciiTheme="minorHAnsi" w:hAnsiTheme="minorHAnsi" w:cstheme="minorHAnsi"/>
          <w:sz w:val="24"/>
          <w:szCs w:val="24"/>
        </w:rPr>
        <w:lastRenderedPageBreak/>
        <w:t xml:space="preserve">combination of factors, may cause results to ‎differ materially from those contained in any forward-looking statement. Any forward-‎looking statements contained in this </w:t>
      </w:r>
      <w:r w:rsidR="00ED2A0E">
        <w:rPr>
          <w:rFonts w:asciiTheme="minorHAnsi" w:hAnsiTheme="minorHAnsi" w:cstheme="minorHAnsi"/>
          <w:sz w:val="24"/>
          <w:szCs w:val="24"/>
        </w:rPr>
        <w:t>press</w:t>
      </w:r>
      <w:r w:rsidRPr="00027D63">
        <w:rPr>
          <w:rFonts w:asciiTheme="minorHAnsi" w:hAnsiTheme="minorHAnsi" w:cstheme="minorHAnsi"/>
          <w:sz w:val="24"/>
          <w:szCs w:val="24"/>
        </w:rPr>
        <w:t xml:space="preserve"> release are expressly qualified in their entirety by ‎this cautionary statement.‎</w:t>
      </w:r>
    </w:p>
    <w:sectPr w:rsidR="00E21009" w:rsidRPr="0002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DA8"/>
    <w:multiLevelType w:val="multilevel"/>
    <w:tmpl w:val="CC6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D5AD4"/>
    <w:multiLevelType w:val="hybridMultilevel"/>
    <w:tmpl w:val="A1F6F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04062"/>
    <w:multiLevelType w:val="multilevel"/>
    <w:tmpl w:val="78C6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616A3"/>
    <w:multiLevelType w:val="multilevel"/>
    <w:tmpl w:val="55E8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372A7"/>
    <w:multiLevelType w:val="hybridMultilevel"/>
    <w:tmpl w:val="60C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D3612"/>
    <w:multiLevelType w:val="multilevel"/>
    <w:tmpl w:val="35EA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DA7318"/>
    <w:multiLevelType w:val="hybridMultilevel"/>
    <w:tmpl w:val="67B87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8504DA"/>
    <w:multiLevelType w:val="multilevel"/>
    <w:tmpl w:val="C26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167E4D"/>
    <w:multiLevelType w:val="multilevel"/>
    <w:tmpl w:val="4872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306504">
    <w:abstractNumId w:val="0"/>
  </w:num>
  <w:num w:numId="2" w16cid:durableId="1146891680">
    <w:abstractNumId w:val="8"/>
  </w:num>
  <w:num w:numId="3" w16cid:durableId="49773515">
    <w:abstractNumId w:val="3"/>
  </w:num>
  <w:num w:numId="4" w16cid:durableId="1813478449">
    <w:abstractNumId w:val="5"/>
  </w:num>
  <w:num w:numId="5" w16cid:durableId="1064596726">
    <w:abstractNumId w:val="7"/>
  </w:num>
  <w:num w:numId="6" w16cid:durableId="1228492888">
    <w:abstractNumId w:val="2"/>
  </w:num>
  <w:num w:numId="7" w16cid:durableId="1527206954">
    <w:abstractNumId w:val="4"/>
  </w:num>
  <w:num w:numId="8" w16cid:durableId="1848907756">
    <w:abstractNumId w:val="1"/>
  </w:num>
  <w:num w:numId="9" w16cid:durableId="1863469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71"/>
    <w:rsid w:val="00004844"/>
    <w:rsid w:val="00004FE4"/>
    <w:rsid w:val="00023A1E"/>
    <w:rsid w:val="0002423D"/>
    <w:rsid w:val="00027D63"/>
    <w:rsid w:val="00035B1F"/>
    <w:rsid w:val="00042C29"/>
    <w:rsid w:val="00077D8A"/>
    <w:rsid w:val="0008182E"/>
    <w:rsid w:val="000928C0"/>
    <w:rsid w:val="000D45F7"/>
    <w:rsid w:val="000D5D5B"/>
    <w:rsid w:val="00107EE8"/>
    <w:rsid w:val="0012352D"/>
    <w:rsid w:val="001674AB"/>
    <w:rsid w:val="00167B4C"/>
    <w:rsid w:val="0019550D"/>
    <w:rsid w:val="001A46B5"/>
    <w:rsid w:val="001A52A2"/>
    <w:rsid w:val="001C2ECF"/>
    <w:rsid w:val="001E06D3"/>
    <w:rsid w:val="001F072D"/>
    <w:rsid w:val="001F5B7A"/>
    <w:rsid w:val="00204B05"/>
    <w:rsid w:val="002110BC"/>
    <w:rsid w:val="00213436"/>
    <w:rsid w:val="002251D0"/>
    <w:rsid w:val="002611FE"/>
    <w:rsid w:val="00290548"/>
    <w:rsid w:val="00294879"/>
    <w:rsid w:val="002A08CF"/>
    <w:rsid w:val="002D70D5"/>
    <w:rsid w:val="002E34A7"/>
    <w:rsid w:val="003B36CC"/>
    <w:rsid w:val="003C40D0"/>
    <w:rsid w:val="0042516F"/>
    <w:rsid w:val="004262B9"/>
    <w:rsid w:val="00433CB1"/>
    <w:rsid w:val="00473E25"/>
    <w:rsid w:val="00486A9E"/>
    <w:rsid w:val="004941E9"/>
    <w:rsid w:val="004B4C02"/>
    <w:rsid w:val="004D0264"/>
    <w:rsid w:val="00502729"/>
    <w:rsid w:val="00532FFD"/>
    <w:rsid w:val="00555310"/>
    <w:rsid w:val="00563F73"/>
    <w:rsid w:val="005B2008"/>
    <w:rsid w:val="005E2C50"/>
    <w:rsid w:val="00636B25"/>
    <w:rsid w:val="00656F79"/>
    <w:rsid w:val="006625B1"/>
    <w:rsid w:val="00767A0F"/>
    <w:rsid w:val="007921D7"/>
    <w:rsid w:val="0079370D"/>
    <w:rsid w:val="007D3889"/>
    <w:rsid w:val="007E5720"/>
    <w:rsid w:val="00827437"/>
    <w:rsid w:val="008413C4"/>
    <w:rsid w:val="00860D0F"/>
    <w:rsid w:val="008712F1"/>
    <w:rsid w:val="00872401"/>
    <w:rsid w:val="00893ACB"/>
    <w:rsid w:val="008A13D9"/>
    <w:rsid w:val="008B0A75"/>
    <w:rsid w:val="008F13B7"/>
    <w:rsid w:val="009164F1"/>
    <w:rsid w:val="00923AF8"/>
    <w:rsid w:val="00944AF4"/>
    <w:rsid w:val="00977801"/>
    <w:rsid w:val="009A3C72"/>
    <w:rsid w:val="009C0FCF"/>
    <w:rsid w:val="009C2A75"/>
    <w:rsid w:val="009C4509"/>
    <w:rsid w:val="009D6130"/>
    <w:rsid w:val="009E3B1F"/>
    <w:rsid w:val="009E60FE"/>
    <w:rsid w:val="009E7CF2"/>
    <w:rsid w:val="00A15687"/>
    <w:rsid w:val="00A169AA"/>
    <w:rsid w:val="00A2397E"/>
    <w:rsid w:val="00A751AD"/>
    <w:rsid w:val="00A808AC"/>
    <w:rsid w:val="00A90C99"/>
    <w:rsid w:val="00A9283C"/>
    <w:rsid w:val="00AC4071"/>
    <w:rsid w:val="00AE2AF1"/>
    <w:rsid w:val="00B03B8C"/>
    <w:rsid w:val="00B11F10"/>
    <w:rsid w:val="00B34501"/>
    <w:rsid w:val="00B3526C"/>
    <w:rsid w:val="00B36C47"/>
    <w:rsid w:val="00B55D03"/>
    <w:rsid w:val="00B61CFB"/>
    <w:rsid w:val="00BA038F"/>
    <w:rsid w:val="00BD4039"/>
    <w:rsid w:val="00BE359E"/>
    <w:rsid w:val="00BE4B50"/>
    <w:rsid w:val="00C07266"/>
    <w:rsid w:val="00C43C38"/>
    <w:rsid w:val="00C7526D"/>
    <w:rsid w:val="00C9132E"/>
    <w:rsid w:val="00C925E9"/>
    <w:rsid w:val="00CA61B2"/>
    <w:rsid w:val="00CA6A5B"/>
    <w:rsid w:val="00D06D1F"/>
    <w:rsid w:val="00D122D1"/>
    <w:rsid w:val="00D17B8F"/>
    <w:rsid w:val="00D230F6"/>
    <w:rsid w:val="00D478EC"/>
    <w:rsid w:val="00D52DF7"/>
    <w:rsid w:val="00DA5714"/>
    <w:rsid w:val="00DD4D87"/>
    <w:rsid w:val="00E258A9"/>
    <w:rsid w:val="00E26C3F"/>
    <w:rsid w:val="00E554BE"/>
    <w:rsid w:val="00E64A55"/>
    <w:rsid w:val="00E802FA"/>
    <w:rsid w:val="00E866CA"/>
    <w:rsid w:val="00E92169"/>
    <w:rsid w:val="00ED2A0E"/>
    <w:rsid w:val="00EE14BD"/>
    <w:rsid w:val="00F30C1F"/>
    <w:rsid w:val="00F379BA"/>
    <w:rsid w:val="00F5299A"/>
    <w:rsid w:val="00F6353B"/>
    <w:rsid w:val="00F710DF"/>
    <w:rsid w:val="00F72E8B"/>
    <w:rsid w:val="00FB1A96"/>
    <w:rsid w:val="00FB73E8"/>
    <w:rsid w:val="00FC169D"/>
    <w:rsid w:val="00FE079A"/>
    <w:rsid w:val="00FF240C"/>
    <w:rsid w:val="38FCE494"/>
    <w:rsid w:val="62744671"/>
    <w:rsid w:val="7654A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607B"/>
  <w15:chartTrackingRefBased/>
  <w15:docId w15:val="{D751A165-E569-7841-83F9-B30DC755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xxxmsonormal"/>
    <w:basedOn w:val="Normal"/>
    <w:rsid w:val="00AC4071"/>
    <w:pPr>
      <w:spacing w:before="100" w:beforeAutospacing="1" w:after="100" w:afterAutospacing="1"/>
    </w:pPr>
    <w:rPr>
      <w:rFonts w:ascii="Times New Roman" w:eastAsia="Times New Roman" w:hAnsi="Times New Roman" w:cs="Times New Roman"/>
    </w:rPr>
  </w:style>
  <w:style w:type="paragraph" w:customStyle="1" w:styleId="xxxxmsolistparagraph">
    <w:name w:val="xxxxmsolistparagraph"/>
    <w:basedOn w:val="Normal"/>
    <w:rsid w:val="00AC40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4071"/>
  </w:style>
  <w:style w:type="paragraph" w:customStyle="1" w:styleId="BodyFull">
    <w:name w:val="Body Full"/>
    <w:basedOn w:val="Normal"/>
    <w:link w:val="BodyFullChar"/>
    <w:qFormat/>
    <w:rsid w:val="00AC4071"/>
    <w:pPr>
      <w:spacing w:after="240"/>
      <w:jc w:val="both"/>
    </w:pPr>
    <w:rPr>
      <w:rFonts w:ascii="Arial" w:eastAsia="MS Mincho" w:hAnsi="Arial"/>
      <w:sz w:val="20"/>
      <w:szCs w:val="22"/>
      <w:lang w:val="en-CA"/>
    </w:rPr>
  </w:style>
  <w:style w:type="character" w:customStyle="1" w:styleId="BodyFullChar">
    <w:name w:val="Body Full Char"/>
    <w:basedOn w:val="DefaultParagraphFont"/>
    <w:link w:val="BodyFull"/>
    <w:rsid w:val="00AC4071"/>
    <w:rPr>
      <w:rFonts w:ascii="Arial" w:eastAsia="MS Mincho" w:hAnsi="Arial"/>
      <w:sz w:val="20"/>
      <w:szCs w:val="22"/>
      <w:lang w:val="en-CA"/>
    </w:rPr>
  </w:style>
  <w:style w:type="paragraph" w:customStyle="1" w:styleId="HeadingTitle2">
    <w:name w:val="Heading Title 2"/>
    <w:basedOn w:val="Normal"/>
    <w:next w:val="BodyFull"/>
    <w:unhideWhenUsed/>
    <w:rsid w:val="00AC4071"/>
    <w:pPr>
      <w:keepNext/>
      <w:keepLines/>
      <w:spacing w:after="240"/>
    </w:pPr>
    <w:rPr>
      <w:rFonts w:ascii="Arial" w:eastAsia="MS Mincho" w:hAnsi="Arial"/>
      <w:b/>
      <w:sz w:val="20"/>
      <w:szCs w:val="22"/>
      <w:lang w:val="en-CA"/>
    </w:rPr>
  </w:style>
  <w:style w:type="character" w:styleId="Hyperlink">
    <w:name w:val="Hyperlink"/>
    <w:basedOn w:val="DefaultParagraphFont"/>
    <w:uiPriority w:val="99"/>
    <w:unhideWhenUsed/>
    <w:rsid w:val="00AC4071"/>
    <w:rPr>
      <w:color w:val="0563C1" w:themeColor="hyperlink"/>
      <w:u w:val="single"/>
    </w:rPr>
  </w:style>
  <w:style w:type="character" w:styleId="UnresolvedMention">
    <w:name w:val="Unresolved Mention"/>
    <w:basedOn w:val="DefaultParagraphFont"/>
    <w:uiPriority w:val="99"/>
    <w:semiHidden/>
    <w:unhideWhenUsed/>
    <w:rsid w:val="004262B9"/>
    <w:rPr>
      <w:color w:val="605E5C"/>
      <w:shd w:val="clear" w:color="auto" w:fill="E1DFDD"/>
    </w:rPr>
  </w:style>
  <w:style w:type="paragraph" w:styleId="ListParagraph">
    <w:name w:val="List Paragraph"/>
    <w:basedOn w:val="Normal"/>
    <w:uiPriority w:val="34"/>
    <w:qFormat/>
    <w:rsid w:val="00B34501"/>
    <w:pPr>
      <w:ind w:left="720"/>
      <w:contextualSpacing/>
    </w:pPr>
  </w:style>
  <w:style w:type="table" w:styleId="TableGrid">
    <w:name w:val="Table Grid"/>
    <w:basedOn w:val="TableNormal"/>
    <w:uiPriority w:val="39"/>
    <w:rsid w:val="00F3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bankcorp.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acy.zheng@solarban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CBC5E5FABB64D94D620BA1C8ED6F6" ma:contentTypeVersion="17" ma:contentTypeDescription="Create a new document." ma:contentTypeScope="" ma:versionID="a7af3d06943a9201f864143ed6e810ec">
  <xsd:schema xmlns:xsd="http://www.w3.org/2001/XMLSchema" xmlns:xs="http://www.w3.org/2001/XMLSchema" xmlns:p="http://schemas.microsoft.com/office/2006/metadata/properties" xmlns:ns2="90380f12-1be4-4878-a245-0804895ce2d2" xmlns:ns3="882bb18d-79f2-4c79-8b6a-9979224218d9" targetNamespace="http://schemas.microsoft.com/office/2006/metadata/properties" ma:root="true" ma:fieldsID="2fb63ce417702159897e384b4005d875" ns2:_="" ns3:_="">
    <xsd:import namespace="90380f12-1be4-4878-a245-0804895ce2d2"/>
    <xsd:import namespace="882bb18d-79f2-4c79-8b6a-997922421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0f12-1be4-4878-a245-0804895ce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693af9-f138-49a5-85a8-89739891c0b1"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amp; Time" ma:default="[today]"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2bb18d-79f2-4c79-8b6a-997922421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59e1e7-a2f7-4d77-b092-4285d32136f3}" ma:internalName="TaxCatchAll" ma:showField="CatchAllData" ma:web="882bb18d-79f2-4c79-8b6a-997922421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EC8E0-EA74-43A7-9BBB-3C71BE6F9E0F}">
  <ds:schemaRefs>
    <ds:schemaRef ds:uri="http://schemas.microsoft.com/sharepoint/v3/contenttype/forms"/>
  </ds:schemaRefs>
</ds:datastoreItem>
</file>

<file path=customXml/itemProps2.xml><?xml version="1.0" encoding="utf-8"?>
<ds:datastoreItem xmlns:ds="http://schemas.openxmlformats.org/officeDocument/2006/customXml" ds:itemID="{F04D8CBD-985F-4079-A2A7-37C41A909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0f12-1be4-4878-a245-0804895ce2d2"/>
    <ds:schemaRef ds:uri="882bb18d-79f2-4c79-8b6a-99792242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Klips</dc:creator>
  <cp:keywords/>
  <dc:description/>
  <cp:lastModifiedBy>olen</cp:lastModifiedBy>
  <cp:revision>7</cp:revision>
  <dcterms:created xsi:type="dcterms:W3CDTF">2023-05-25T18:38:00Z</dcterms:created>
  <dcterms:modified xsi:type="dcterms:W3CDTF">2023-05-29T21:17:00Z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528fcd8d4c901af86ee58eaca4e1166956a1641047a5a19602453caada332261</vt:lpwstr>
  </property>
</Properties>
</file>