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C" w14:textId="7957F0EF" w:rsidR="001F1529" w:rsidRDefault="001F1529"/>
    <w:p w14:paraId="7DD602D3" w14:textId="30B5B007" w:rsidR="001F1529" w:rsidRDefault="00AB6B04" w:rsidP="00AB6B04">
      <w:pPr>
        <w:jc w:val="center"/>
      </w:pPr>
      <w:r>
        <w:rPr>
          <w:noProof/>
        </w:rPr>
        <w:drawing>
          <wp:inline distT="0" distB="0" distL="0" distR="0" wp14:anchorId="40FC9F9E" wp14:editId="793FAE9D">
            <wp:extent cx="1672590" cy="155341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07" cy="1559749"/>
                    </a:xfrm>
                    <a:prstGeom prst="rect">
                      <a:avLst/>
                    </a:prstGeom>
                    <a:noFill/>
                    <a:ln>
                      <a:noFill/>
                    </a:ln>
                  </pic:spPr>
                </pic:pic>
              </a:graphicData>
            </a:graphic>
          </wp:inline>
        </w:drawing>
      </w:r>
    </w:p>
    <w:p w14:paraId="014DFE76" w14:textId="5050D081" w:rsidR="00753121" w:rsidRPr="00753121" w:rsidRDefault="006C1BD9" w:rsidP="00A42841">
      <w:pPr>
        <w:tabs>
          <w:tab w:val="right" w:pos="8640"/>
        </w:tabs>
        <w:spacing w:line="264" w:lineRule="auto"/>
        <w:jc w:val="center"/>
        <w:rPr>
          <w:rFonts w:ascii="Calibri" w:eastAsia="Calibri" w:hAnsi="Calibri" w:cs="Calibri"/>
          <w:b/>
          <w:sz w:val="28"/>
          <w:szCs w:val="32"/>
        </w:rPr>
      </w:pPr>
      <w:r w:rsidRPr="006C1BD9">
        <w:rPr>
          <w:rFonts w:ascii="Calibri" w:eastAsia="Calibri" w:hAnsi="Calibri" w:cs="Calibri"/>
          <w:b/>
          <w:sz w:val="28"/>
          <w:szCs w:val="32"/>
        </w:rPr>
        <w:t xml:space="preserve">Sprouts Farmers Market </w:t>
      </w:r>
      <w:r w:rsidR="0016668B">
        <w:rPr>
          <w:rFonts w:ascii="Calibri" w:eastAsia="Calibri" w:hAnsi="Calibri" w:cs="Calibri"/>
          <w:b/>
          <w:sz w:val="28"/>
          <w:szCs w:val="32"/>
        </w:rPr>
        <w:t>Includes</w:t>
      </w:r>
      <w:r w:rsidRPr="006C1BD9">
        <w:rPr>
          <w:rFonts w:ascii="Calibri" w:eastAsia="Calibri" w:hAnsi="Calibri" w:cs="Calibri"/>
          <w:b/>
          <w:sz w:val="28"/>
          <w:szCs w:val="32"/>
        </w:rPr>
        <w:t xml:space="preserve"> Good Flour Co. Products</w:t>
      </w:r>
      <w:r w:rsidR="00622AE9">
        <w:rPr>
          <w:rFonts w:ascii="Calibri" w:eastAsia="Calibri" w:hAnsi="Calibri" w:cs="Calibri"/>
          <w:b/>
          <w:sz w:val="28"/>
          <w:szCs w:val="32"/>
        </w:rPr>
        <w:t xml:space="preserve"> </w:t>
      </w:r>
      <w:r w:rsidR="00BF6322">
        <w:rPr>
          <w:rFonts w:ascii="Calibri" w:eastAsia="Calibri" w:hAnsi="Calibri" w:cs="Calibri"/>
          <w:b/>
          <w:sz w:val="28"/>
          <w:szCs w:val="32"/>
        </w:rPr>
        <w:br/>
        <w:t>as Part of Gluten-Free Awareness Campaign</w:t>
      </w:r>
      <w:r w:rsidR="003E4F88">
        <w:rPr>
          <w:rFonts w:ascii="Calibri" w:eastAsia="Calibri" w:hAnsi="Calibri" w:cs="Calibri"/>
          <w:b/>
          <w:sz w:val="28"/>
          <w:szCs w:val="32"/>
        </w:rPr>
        <w:br/>
      </w:r>
    </w:p>
    <w:p w14:paraId="3E8D1CE3" w14:textId="5AA51DAE" w:rsidR="00001795" w:rsidRDefault="00046322" w:rsidP="009D5B5D">
      <w:pPr>
        <w:pStyle w:val="Default"/>
        <w:jc w:val="both"/>
        <w:rPr>
          <w:rFonts w:ascii="Calibri" w:eastAsia="Calibri" w:hAnsi="Calibri" w:cs="Calibri"/>
          <w:bCs/>
        </w:rPr>
      </w:pPr>
      <w:r>
        <w:rPr>
          <w:rFonts w:ascii="Calibri" w:eastAsia="Calibri" w:hAnsi="Calibri" w:cs="Calibri"/>
          <w:b/>
        </w:rPr>
        <w:t xml:space="preserve">VANCOUVER, BRITISH COLUMBIA </w:t>
      </w:r>
      <w:r w:rsidR="00BF6322">
        <w:rPr>
          <w:rFonts w:ascii="Calibri" w:eastAsia="Calibri" w:hAnsi="Calibri" w:cs="Calibri"/>
          <w:b/>
        </w:rPr>
        <w:t>February 23,</w:t>
      </w:r>
      <w:r w:rsidR="00AE5099">
        <w:rPr>
          <w:rFonts w:ascii="Calibri" w:eastAsia="Calibri" w:hAnsi="Calibri" w:cs="Calibri"/>
          <w:b/>
        </w:rPr>
        <w:t xml:space="preserve"> </w:t>
      </w:r>
      <w:r>
        <w:rPr>
          <w:rFonts w:ascii="Calibri" w:eastAsia="Calibri" w:hAnsi="Calibri" w:cs="Calibri"/>
          <w:b/>
        </w:rPr>
        <w:t>202</w:t>
      </w:r>
      <w:r w:rsidR="00BF6322">
        <w:rPr>
          <w:rFonts w:ascii="Calibri" w:eastAsia="Calibri" w:hAnsi="Calibri" w:cs="Calibri"/>
          <w:b/>
        </w:rPr>
        <w:t>3</w:t>
      </w:r>
      <w:r>
        <w:rPr>
          <w:rFonts w:ascii="Calibri" w:eastAsia="Calibri" w:hAnsi="Calibri" w:cs="Calibri"/>
          <w:b/>
        </w:rPr>
        <w:t xml:space="preserve"> – </w:t>
      </w:r>
      <w:r w:rsidR="00AB6B04" w:rsidRPr="00EF5FC8">
        <w:rPr>
          <w:rFonts w:ascii="Calibri" w:eastAsia="Calibri" w:hAnsi="Calibri" w:cs="Calibri"/>
          <w:b/>
        </w:rPr>
        <w:t xml:space="preserve">The Good Flour Corp. </w:t>
      </w:r>
      <w:r w:rsidRPr="00EF5FC8">
        <w:rPr>
          <w:rFonts w:ascii="Calibri" w:eastAsia="Calibri" w:hAnsi="Calibri" w:cs="Calibri"/>
          <w:b/>
        </w:rPr>
        <w:t>(</w:t>
      </w:r>
      <w:r w:rsidR="006E7B3B" w:rsidRPr="00EF5FC8">
        <w:rPr>
          <w:rFonts w:ascii="Calibri" w:eastAsia="Calibri" w:hAnsi="Calibri" w:cs="Calibri"/>
          <w:b/>
        </w:rPr>
        <w:t>CSE</w:t>
      </w:r>
      <w:r w:rsidRPr="00EF5FC8">
        <w:rPr>
          <w:rFonts w:ascii="Calibri" w:eastAsia="Calibri" w:hAnsi="Calibri" w:cs="Calibri"/>
          <w:b/>
        </w:rPr>
        <w:t xml:space="preserve">: </w:t>
      </w:r>
      <w:r w:rsidR="006E7B3B" w:rsidRPr="00EF5FC8">
        <w:rPr>
          <w:rFonts w:ascii="Calibri" w:eastAsia="Calibri" w:hAnsi="Calibri" w:cs="Calibri"/>
          <w:b/>
        </w:rPr>
        <w:t>GFCO</w:t>
      </w:r>
      <w:r w:rsidRPr="00EF5FC8">
        <w:rPr>
          <w:rFonts w:ascii="Calibri" w:eastAsia="Calibri" w:hAnsi="Calibri" w:cs="Calibri"/>
          <w:b/>
        </w:rPr>
        <w:t>) (OTC</w:t>
      </w:r>
      <w:r w:rsidR="007E4B23">
        <w:rPr>
          <w:rFonts w:ascii="Calibri" w:eastAsia="Calibri" w:hAnsi="Calibri" w:cs="Calibri"/>
          <w:b/>
        </w:rPr>
        <w:t>QB</w:t>
      </w:r>
      <w:r w:rsidRPr="00EF5FC8">
        <w:rPr>
          <w:rFonts w:ascii="Calibri" w:eastAsia="Calibri" w:hAnsi="Calibri" w:cs="Calibri"/>
          <w:b/>
        </w:rPr>
        <w:t xml:space="preserve">: </w:t>
      </w:r>
      <w:r w:rsidR="00A42841">
        <w:rPr>
          <w:rFonts w:ascii="Calibri" w:eastAsia="Calibri" w:hAnsi="Calibri" w:cs="Calibri"/>
          <w:b/>
        </w:rPr>
        <w:t>GFCOF</w:t>
      </w:r>
      <w:r w:rsidRPr="00EF5FC8">
        <w:rPr>
          <w:rFonts w:ascii="Calibri" w:eastAsia="Calibri" w:hAnsi="Calibri" w:cs="Calibri"/>
          <w:b/>
        </w:rPr>
        <w:t xml:space="preserve">) </w:t>
      </w:r>
      <w:r w:rsidR="00753121">
        <w:rPr>
          <w:rFonts w:ascii="Calibri" w:eastAsia="Calibri" w:hAnsi="Calibri" w:cs="Calibri"/>
          <w:b/>
        </w:rPr>
        <w:t xml:space="preserve">(FSE: 3KZ) </w:t>
      </w:r>
      <w:r>
        <w:rPr>
          <w:rFonts w:ascii="Calibri" w:eastAsia="Calibri" w:hAnsi="Calibri" w:cs="Calibri"/>
          <w:bCs/>
        </w:rPr>
        <w:t>(“</w:t>
      </w:r>
      <w:r w:rsidR="00AB6B04">
        <w:rPr>
          <w:rFonts w:ascii="Calibri" w:eastAsia="Calibri" w:hAnsi="Calibri" w:cs="Calibri"/>
          <w:b/>
        </w:rPr>
        <w:t>GFCO</w:t>
      </w:r>
      <w:r>
        <w:rPr>
          <w:rFonts w:ascii="Calibri" w:eastAsia="Calibri" w:hAnsi="Calibri" w:cs="Calibri"/>
          <w:bCs/>
        </w:rPr>
        <w:t xml:space="preserve">”) </w:t>
      </w:r>
      <w:r w:rsidR="00ED708E" w:rsidRPr="00ED708E">
        <w:rPr>
          <w:rFonts w:ascii="Calibri" w:eastAsia="Calibri" w:hAnsi="Calibri" w:cs="Calibri"/>
          <w:bCs/>
        </w:rPr>
        <w:t>is pleased</w:t>
      </w:r>
      <w:r w:rsidR="009D5B5D" w:rsidRPr="009D5B5D">
        <w:rPr>
          <w:rFonts w:ascii="Calibri" w:eastAsia="Calibri" w:hAnsi="Calibri" w:cs="Calibri"/>
          <w:bCs/>
        </w:rPr>
        <w:t xml:space="preserve"> to announce that</w:t>
      </w:r>
      <w:r w:rsidR="009D5B5D">
        <w:rPr>
          <w:rFonts w:ascii="Calibri" w:eastAsia="Calibri" w:hAnsi="Calibri" w:cs="Calibri"/>
          <w:bCs/>
        </w:rPr>
        <w:t xml:space="preserve"> </w:t>
      </w:r>
      <w:r w:rsidR="00BF6322">
        <w:rPr>
          <w:rFonts w:ascii="Calibri" w:eastAsia="Calibri" w:hAnsi="Calibri" w:cs="Calibri"/>
          <w:bCs/>
        </w:rPr>
        <w:t>GFCO</w:t>
      </w:r>
      <w:r w:rsidR="0016668B">
        <w:rPr>
          <w:rFonts w:ascii="Calibri" w:eastAsia="Calibri" w:hAnsi="Calibri" w:cs="Calibri"/>
          <w:bCs/>
        </w:rPr>
        <w:t xml:space="preserve"> is</w:t>
      </w:r>
      <w:r w:rsidR="00BF6322">
        <w:rPr>
          <w:rFonts w:ascii="Calibri" w:eastAsia="Calibri" w:hAnsi="Calibri" w:cs="Calibri"/>
          <w:bCs/>
        </w:rPr>
        <w:t xml:space="preserve"> </w:t>
      </w:r>
      <w:r w:rsidR="0016668B">
        <w:rPr>
          <w:rFonts w:ascii="Calibri" w:eastAsia="Calibri" w:hAnsi="Calibri" w:cs="Calibri"/>
          <w:bCs/>
        </w:rPr>
        <w:t xml:space="preserve">participating in </w:t>
      </w:r>
      <w:r w:rsidR="0016668B" w:rsidRPr="0016668B">
        <w:rPr>
          <w:rFonts w:ascii="Calibri" w:eastAsia="Calibri" w:hAnsi="Calibri" w:cs="Calibri"/>
          <w:bCs/>
        </w:rPr>
        <w:t>U.S. based Sprouts Farmers Market</w:t>
      </w:r>
      <w:r w:rsidR="0016668B">
        <w:rPr>
          <w:rFonts w:ascii="Calibri" w:eastAsia="Calibri" w:hAnsi="Calibri" w:cs="Calibri"/>
          <w:bCs/>
        </w:rPr>
        <w:t>’s</w:t>
      </w:r>
      <w:r w:rsidR="00BF6322">
        <w:rPr>
          <w:rFonts w:ascii="Calibri" w:eastAsia="Calibri" w:hAnsi="Calibri" w:cs="Calibri"/>
          <w:bCs/>
        </w:rPr>
        <w:t xml:space="preserve"> glute</w:t>
      </w:r>
      <w:r w:rsidR="00D05E50">
        <w:rPr>
          <w:rFonts w:ascii="Calibri" w:eastAsia="Calibri" w:hAnsi="Calibri" w:cs="Calibri"/>
          <w:bCs/>
        </w:rPr>
        <w:t>n</w:t>
      </w:r>
      <w:r w:rsidR="00BF6322">
        <w:rPr>
          <w:rFonts w:ascii="Calibri" w:eastAsia="Calibri" w:hAnsi="Calibri" w:cs="Calibri"/>
          <w:bCs/>
        </w:rPr>
        <w:t>-free awareness campaig</w:t>
      </w:r>
      <w:r w:rsidR="0016668B">
        <w:rPr>
          <w:rFonts w:ascii="Calibri" w:eastAsia="Calibri" w:hAnsi="Calibri" w:cs="Calibri"/>
          <w:bCs/>
        </w:rPr>
        <w:t>n</w:t>
      </w:r>
      <w:r w:rsidR="00BF6322">
        <w:rPr>
          <w:rFonts w:ascii="Calibri" w:eastAsia="Calibri" w:hAnsi="Calibri" w:cs="Calibri"/>
          <w:bCs/>
        </w:rPr>
        <w:t>.</w:t>
      </w:r>
      <w:r w:rsidR="00750237">
        <w:rPr>
          <w:rFonts w:ascii="Calibri" w:eastAsia="Calibri" w:hAnsi="Calibri" w:cs="Calibri"/>
          <w:bCs/>
        </w:rPr>
        <w:t xml:space="preserve"> The campaign provides </w:t>
      </w:r>
      <w:r w:rsidR="00001795">
        <w:rPr>
          <w:rFonts w:ascii="Calibri" w:eastAsia="Calibri" w:hAnsi="Calibri" w:cs="Calibri"/>
          <w:bCs/>
        </w:rPr>
        <w:t xml:space="preserve">general information about switching to gluten-free and tips for shopping gluten-free. In then highlights certain gluten-free products including </w:t>
      </w:r>
      <w:r w:rsidR="001053B9">
        <w:rPr>
          <w:rFonts w:ascii="Calibri" w:eastAsia="Calibri" w:hAnsi="Calibri" w:cs="Calibri"/>
          <w:bCs/>
        </w:rPr>
        <w:t xml:space="preserve">GFCO’s </w:t>
      </w:r>
      <w:r w:rsidR="001053B9" w:rsidRPr="001053B9">
        <w:rPr>
          <w:rFonts w:ascii="Calibri" w:eastAsia="Calibri" w:hAnsi="Calibri" w:cs="Calibri"/>
          <w:bCs/>
        </w:rPr>
        <w:t>Artisan Fried Chicken Mix and Artisan Fish Batter</w:t>
      </w:r>
      <w:r w:rsidR="001053B9">
        <w:rPr>
          <w:rFonts w:ascii="Calibri" w:eastAsia="Calibri" w:hAnsi="Calibri" w:cs="Calibri"/>
          <w:bCs/>
        </w:rPr>
        <w:t xml:space="preserve">. </w:t>
      </w:r>
      <w:r w:rsidR="007A6303">
        <w:rPr>
          <w:rFonts w:ascii="Calibri" w:eastAsia="Calibri" w:hAnsi="Calibri" w:cs="Calibri"/>
          <w:bCs/>
        </w:rPr>
        <w:t>The campaign</w:t>
      </w:r>
      <w:r w:rsidR="0091254B">
        <w:rPr>
          <w:rFonts w:ascii="Calibri" w:eastAsia="Calibri" w:hAnsi="Calibri" w:cs="Calibri"/>
          <w:bCs/>
        </w:rPr>
        <w:t xml:space="preserve"> can be found here:</w:t>
      </w:r>
      <w:r w:rsidR="007A6303">
        <w:rPr>
          <w:rFonts w:ascii="Calibri" w:eastAsia="Calibri" w:hAnsi="Calibri" w:cs="Calibri"/>
          <w:bCs/>
        </w:rPr>
        <w:t xml:space="preserve"> </w:t>
      </w:r>
      <w:hyperlink r:id="rId12" w:history="1">
        <w:r w:rsidR="0016668B" w:rsidRPr="00C75074">
          <w:rPr>
            <w:rStyle w:val="Hyperlink"/>
            <w:rFonts w:ascii="Calibri" w:eastAsia="Calibri" w:hAnsi="Calibri" w:cs="Calibri"/>
            <w:bCs/>
          </w:rPr>
          <w:t>https://www.sprouts.com/healthy-living/gluten-free-goodness/</w:t>
        </w:r>
      </w:hyperlink>
      <w:r w:rsidR="0016668B">
        <w:rPr>
          <w:rFonts w:ascii="Calibri" w:eastAsia="Calibri" w:hAnsi="Calibri" w:cs="Calibri"/>
          <w:bCs/>
        </w:rPr>
        <w:t xml:space="preserve">. </w:t>
      </w:r>
    </w:p>
    <w:p w14:paraId="75EE2355" w14:textId="77777777" w:rsidR="00B538D9" w:rsidRDefault="00B538D9" w:rsidP="009D5B5D">
      <w:pPr>
        <w:pStyle w:val="Default"/>
        <w:jc w:val="both"/>
        <w:rPr>
          <w:rFonts w:ascii="Calibri" w:eastAsia="Calibri" w:hAnsi="Calibri" w:cs="Calibri"/>
          <w:bCs/>
        </w:rPr>
      </w:pPr>
    </w:p>
    <w:p w14:paraId="101C2B77" w14:textId="08D965A0" w:rsidR="009D5B5D" w:rsidRDefault="004339CC" w:rsidP="009D5B5D">
      <w:pPr>
        <w:pStyle w:val="Default"/>
        <w:jc w:val="both"/>
        <w:rPr>
          <w:rFonts w:ascii="Calibri" w:eastAsia="Calibri" w:hAnsi="Calibri" w:cs="Calibri"/>
          <w:bCs/>
        </w:rPr>
      </w:pPr>
      <w:r>
        <w:rPr>
          <w:rFonts w:ascii="Calibri" w:eastAsia="Calibri" w:hAnsi="Calibri" w:cs="Calibri"/>
          <w:bCs/>
        </w:rPr>
        <w:t xml:space="preserve">GFCO initially launched its products at Sprouts on December 9, 2022. Sprouts is </w:t>
      </w:r>
      <w:r w:rsidRPr="00F31F4F">
        <w:rPr>
          <w:rFonts w:ascii="Calibri" w:eastAsia="Calibri" w:hAnsi="Calibri" w:cs="Calibri"/>
          <w:bCs/>
        </w:rPr>
        <w:t>one of the largest and fastest growing specialty retailers of fresh, natural and organic food in the United States</w:t>
      </w:r>
      <w:r>
        <w:rPr>
          <w:rFonts w:ascii="Calibri" w:eastAsia="Calibri" w:hAnsi="Calibri" w:cs="Calibri"/>
          <w:bCs/>
        </w:rPr>
        <w:t>, with nearly 380 stores in 23 states</w:t>
      </w:r>
      <w:r w:rsidRPr="009D5B5D">
        <w:rPr>
          <w:rFonts w:ascii="Calibri" w:eastAsia="Calibri" w:hAnsi="Calibri" w:cs="Calibri"/>
          <w:bCs/>
        </w:rPr>
        <w:t>.</w:t>
      </w:r>
    </w:p>
    <w:p w14:paraId="41A3710F" w14:textId="77777777" w:rsidR="009D5B5D" w:rsidRPr="009D5B5D" w:rsidRDefault="009D5B5D" w:rsidP="009D5B5D">
      <w:pPr>
        <w:pStyle w:val="Default"/>
        <w:jc w:val="both"/>
        <w:rPr>
          <w:rFonts w:ascii="Calibri" w:eastAsia="Calibri" w:hAnsi="Calibri" w:cs="Calibri"/>
          <w:bCs/>
        </w:rPr>
      </w:pPr>
    </w:p>
    <w:p w14:paraId="54F94AA4" w14:textId="2F2A1274" w:rsidR="001053B9" w:rsidRDefault="001053B9" w:rsidP="00F31F4F">
      <w:pPr>
        <w:pStyle w:val="Default"/>
        <w:jc w:val="both"/>
        <w:rPr>
          <w:rFonts w:ascii="Calibri" w:eastAsia="Calibri" w:hAnsi="Calibri" w:cs="Calibri"/>
          <w:bCs/>
        </w:rPr>
      </w:pPr>
      <w:r w:rsidRPr="001053B9">
        <w:rPr>
          <w:rFonts w:ascii="Calibri" w:eastAsia="Calibri" w:hAnsi="Calibri" w:cs="Calibri"/>
          <w:bCs/>
        </w:rPr>
        <w:t>“</w:t>
      </w:r>
      <w:r w:rsidR="00165BEB">
        <w:rPr>
          <w:rFonts w:ascii="Calibri" w:eastAsia="Calibri" w:hAnsi="Calibri" w:cs="Calibri"/>
          <w:bCs/>
        </w:rPr>
        <w:t xml:space="preserve">This is further good news that GFCO’s products are </w:t>
      </w:r>
      <w:r w:rsidR="0016668B">
        <w:rPr>
          <w:rFonts w:ascii="Calibri" w:eastAsia="Calibri" w:hAnsi="Calibri" w:cs="Calibri"/>
          <w:bCs/>
        </w:rPr>
        <w:t>a part of this campaign by</w:t>
      </w:r>
      <w:r w:rsidR="00165BEB">
        <w:rPr>
          <w:rFonts w:ascii="Calibri" w:eastAsia="Calibri" w:hAnsi="Calibri" w:cs="Calibri"/>
          <w:bCs/>
        </w:rPr>
        <w:t xml:space="preserve"> Sprouts. These super food blends</w:t>
      </w:r>
      <w:r w:rsidR="00076118">
        <w:rPr>
          <w:rFonts w:ascii="Calibri" w:eastAsia="Calibri" w:hAnsi="Calibri" w:cs="Calibri"/>
          <w:bCs/>
        </w:rPr>
        <w:t xml:space="preserve"> are perfect for those who want to eat gluten-free but are also a tasty alternative for those shoppers who just want less gluten in their diet. GFCO will continue to grow its brand recognition in the United States through promotions like these</w:t>
      </w:r>
      <w:r w:rsidR="00D05E50">
        <w:rPr>
          <w:rFonts w:ascii="Calibri" w:eastAsia="Calibri" w:hAnsi="Calibri" w:cs="Calibri"/>
          <w:bCs/>
        </w:rPr>
        <w:t>,</w:t>
      </w:r>
      <w:r w:rsidRPr="001053B9">
        <w:rPr>
          <w:rFonts w:ascii="Calibri" w:eastAsia="Calibri" w:hAnsi="Calibri" w:cs="Calibri"/>
          <w:bCs/>
        </w:rPr>
        <w:t xml:space="preserve">” states Matthew Clayton, CEO of </w:t>
      </w:r>
      <w:r>
        <w:rPr>
          <w:rFonts w:ascii="Calibri" w:eastAsia="Calibri" w:hAnsi="Calibri" w:cs="Calibri"/>
          <w:bCs/>
        </w:rPr>
        <w:t>GFCO</w:t>
      </w:r>
      <w:r w:rsidRPr="001053B9">
        <w:rPr>
          <w:rFonts w:ascii="Calibri" w:eastAsia="Calibri" w:hAnsi="Calibri" w:cs="Calibri"/>
          <w:bCs/>
        </w:rPr>
        <w:t>.</w:t>
      </w:r>
    </w:p>
    <w:p w14:paraId="0214ECF5" w14:textId="77777777" w:rsidR="001053B9" w:rsidRDefault="001053B9" w:rsidP="00F31F4F">
      <w:pPr>
        <w:pStyle w:val="Default"/>
        <w:jc w:val="both"/>
        <w:rPr>
          <w:rFonts w:ascii="Calibri" w:eastAsia="Calibri" w:hAnsi="Calibri" w:cs="Calibri"/>
          <w:bCs/>
        </w:rPr>
      </w:pPr>
    </w:p>
    <w:p w14:paraId="5868D22F" w14:textId="0C8A83A5" w:rsidR="00774BD7" w:rsidRPr="00774BD7" w:rsidRDefault="00774BD7" w:rsidP="00774BD7">
      <w:pPr>
        <w:tabs>
          <w:tab w:val="left" w:pos="2523"/>
        </w:tabs>
        <w:jc w:val="both"/>
        <w:rPr>
          <w:rFonts w:ascii="Calibri" w:eastAsia="Calibri" w:hAnsi="Calibri" w:cs="Calibri"/>
          <w:b/>
          <w:color w:val="000000"/>
          <w:sz w:val="24"/>
          <w:szCs w:val="24"/>
        </w:rPr>
      </w:pPr>
      <w:r w:rsidRPr="00774BD7">
        <w:rPr>
          <w:rFonts w:ascii="Calibri" w:eastAsia="Calibri" w:hAnsi="Calibri" w:cs="Calibri"/>
          <w:b/>
          <w:color w:val="000000"/>
          <w:sz w:val="24"/>
          <w:szCs w:val="24"/>
        </w:rPr>
        <w:t xml:space="preserve">About </w:t>
      </w:r>
      <w:r w:rsidR="009D5B5D">
        <w:rPr>
          <w:rFonts w:ascii="Calibri" w:eastAsia="Calibri" w:hAnsi="Calibri" w:cs="Calibri"/>
          <w:b/>
          <w:color w:val="000000"/>
          <w:sz w:val="24"/>
          <w:szCs w:val="24"/>
        </w:rPr>
        <w:t>Sprouts Farmers Market, Inc.</w:t>
      </w:r>
    </w:p>
    <w:p w14:paraId="1A27B8E2" w14:textId="22A0BE11" w:rsidR="00774BD7" w:rsidRDefault="009D5B5D" w:rsidP="009D5B5D">
      <w:pPr>
        <w:tabs>
          <w:tab w:val="left" w:pos="2523"/>
        </w:tabs>
        <w:jc w:val="both"/>
        <w:rPr>
          <w:rFonts w:ascii="Calibri" w:eastAsia="Calibri" w:hAnsi="Calibri" w:cs="Calibri"/>
          <w:bCs/>
          <w:color w:val="000000"/>
          <w:sz w:val="24"/>
          <w:szCs w:val="24"/>
        </w:rPr>
      </w:pPr>
      <w:r w:rsidRPr="009D5B5D">
        <w:rPr>
          <w:rFonts w:ascii="Calibri" w:eastAsia="Calibri" w:hAnsi="Calibri" w:cs="Calibri"/>
          <w:bCs/>
          <w:color w:val="000000"/>
          <w:sz w:val="24"/>
          <w:szCs w:val="24"/>
        </w:rPr>
        <w:t>Sprouts is the place where goodness grows. True to its farm-stand heritage, Sprouts offers a unique grocery experience featuring an open layout with fresh produce at the heart of the store. Sprouts inspires wellness naturally with a curated assortment of better-for-you products paired with purpose-driven people. The healthy grocer continues to bring the latest in wholesome, innovative products made with lifestyle-friendly ingredients such as organic, plant-based and gluten-free. Headquartered in Phoenix, and one of the largest and fastest growing specialty retailers of fresh, natural and organic food in the United States, Sprouts employs approximately 31,000 team members and operates approximately 380 stores in 23 states nationwide. This year Sprouts celebrates its 20th anniversary. To learn more about Sprouts, and the good it brings communities, visit about.sprouts.com.</w:t>
      </w:r>
      <w:r>
        <w:rPr>
          <w:rFonts w:ascii="Calibri" w:eastAsia="Calibri" w:hAnsi="Calibri" w:cs="Calibri"/>
          <w:bCs/>
          <w:color w:val="000000"/>
          <w:sz w:val="24"/>
          <w:szCs w:val="24"/>
        </w:rPr>
        <w:t xml:space="preserve"> </w:t>
      </w:r>
    </w:p>
    <w:p w14:paraId="213DAA67" w14:textId="5FB283A3" w:rsidR="00AD3858" w:rsidRDefault="00AD3858" w:rsidP="008E419A">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About The Good Flour Corp.</w:t>
      </w:r>
    </w:p>
    <w:p w14:paraId="12C3B7F3" w14:textId="051906C4" w:rsidR="00AA5BFD" w:rsidRDefault="00AA5BFD" w:rsidP="008E419A">
      <w:pPr>
        <w:pBdr>
          <w:top w:val="nil"/>
          <w:left w:val="nil"/>
          <w:bottom w:val="nil"/>
          <w:right w:val="nil"/>
          <w:between w:val="nil"/>
        </w:pBdr>
        <w:jc w:val="both"/>
        <w:rPr>
          <w:sz w:val="24"/>
          <w:szCs w:val="24"/>
        </w:rPr>
      </w:pPr>
      <w:r>
        <w:rPr>
          <w:sz w:val="24"/>
          <w:szCs w:val="24"/>
        </w:rPr>
        <w:t>GFCO’s</w:t>
      </w:r>
      <w:r w:rsidRPr="00AA5BFD">
        <w:rPr>
          <w:sz w:val="24"/>
          <w:szCs w:val="24"/>
        </w:rPr>
        <w:t xml:space="preserve"> mission is to provide a gluten-free, allergen free, hassle-free all-purpose baking flour </w:t>
      </w:r>
      <w:bookmarkStart w:id="0" w:name="_Hlk87089250"/>
      <w:r w:rsidRPr="00AA5BFD">
        <w:rPr>
          <w:sz w:val="24"/>
          <w:szCs w:val="24"/>
        </w:rPr>
        <w:t>blend that allow</w:t>
      </w:r>
      <w:r>
        <w:rPr>
          <w:sz w:val="24"/>
          <w:szCs w:val="24"/>
        </w:rPr>
        <w:t>s</w:t>
      </w:r>
      <w:r w:rsidRPr="00AA5BFD">
        <w:rPr>
          <w:sz w:val="24"/>
          <w:szCs w:val="24"/>
        </w:rPr>
        <w:t xml:space="preserve"> individuals with gluten and other food allergies to enjoy life without giving up their favorite foods or settling for </w:t>
      </w:r>
      <w:r w:rsidRPr="00AA5BFD">
        <w:rPr>
          <w:sz w:val="24"/>
          <w:szCs w:val="24"/>
        </w:rPr>
        <w:lastRenderedPageBreak/>
        <w:t xml:space="preserve">low-quality alternatives. </w:t>
      </w:r>
      <w:bookmarkEnd w:id="0"/>
      <w:r w:rsidR="00A40A66">
        <w:rPr>
          <w:sz w:val="24"/>
          <w:szCs w:val="24"/>
        </w:rPr>
        <w:t>GFCO</w:t>
      </w:r>
      <w:r w:rsidRPr="00AA5BFD">
        <w:rPr>
          <w:sz w:val="24"/>
          <w:szCs w:val="24"/>
        </w:rPr>
        <w:t xml:space="preserve"> also provides gluten and allergen free fried chicken batter, fish &amp; chip batter, pizza &amp; pasta mix, tempura batter, pancake and waffle blend, cake mix and pizza crusts.</w:t>
      </w:r>
    </w:p>
    <w:p w14:paraId="55BF015E" w14:textId="2E126544" w:rsidR="00AD3858" w:rsidRDefault="00AD3858" w:rsidP="008E419A">
      <w:pPr>
        <w:pBdr>
          <w:top w:val="nil"/>
          <w:left w:val="nil"/>
          <w:bottom w:val="nil"/>
          <w:right w:val="nil"/>
          <w:between w:val="nil"/>
        </w:pBdr>
        <w:jc w:val="both"/>
        <w:rPr>
          <w:rFonts w:ascii="Calibri" w:eastAsia="Calibri" w:hAnsi="Calibri" w:cs="Calibri"/>
          <w:color w:val="000000"/>
          <w:sz w:val="24"/>
          <w:szCs w:val="24"/>
        </w:rPr>
      </w:pPr>
      <w:r>
        <w:rPr>
          <w:sz w:val="24"/>
          <w:szCs w:val="24"/>
        </w:rPr>
        <w:t xml:space="preserve">For additional information on The Good Flour Corp. please refer to </w:t>
      </w:r>
      <w:hyperlink r:id="rId13" w:history="1">
        <w:r w:rsidRPr="00AA3576">
          <w:rPr>
            <w:rStyle w:val="Hyperlink"/>
            <w:rFonts w:ascii="Calibri" w:eastAsia="Calibri" w:hAnsi="Calibri" w:cs="Calibri"/>
            <w:sz w:val="24"/>
            <w:szCs w:val="24"/>
          </w:rPr>
          <w:t>www.goodflour.co</w:t>
        </w:r>
      </w:hyperlink>
      <w:r>
        <w:rPr>
          <w:rFonts w:ascii="Calibri" w:eastAsia="Calibri" w:hAnsi="Calibri" w:cs="Calibri"/>
          <w:color w:val="0000FF"/>
          <w:sz w:val="24"/>
          <w:szCs w:val="24"/>
        </w:rPr>
        <w:t>.</w:t>
      </w:r>
    </w:p>
    <w:p w14:paraId="1047C3A2" w14:textId="77777777" w:rsidR="001F1529" w:rsidRDefault="00046322" w:rsidP="004722A7">
      <w:pPr>
        <w:keepNext/>
        <w:keepLines/>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Company Contact</w:t>
      </w:r>
    </w:p>
    <w:p w14:paraId="2C28CC89" w14:textId="3654E552" w:rsidR="001F1529" w:rsidRDefault="00046322" w:rsidP="004722A7">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w:t>
      </w:r>
      <w:r w:rsidR="00D6234C">
        <w:rPr>
          <w:rFonts w:ascii="Calibri" w:eastAsia="Calibri" w:hAnsi="Calibri" w:cs="Calibri"/>
          <w:color w:val="000000"/>
          <w:sz w:val="24"/>
          <w:szCs w:val="24"/>
        </w:rPr>
        <w:t>vestors</w:t>
      </w:r>
      <w:r>
        <w:rPr>
          <w:rFonts w:ascii="Calibri" w:eastAsia="Calibri" w:hAnsi="Calibri" w:cs="Calibri"/>
          <w:color w:val="000000"/>
          <w:sz w:val="24"/>
          <w:szCs w:val="24"/>
        </w:rPr>
        <w:t>@</w:t>
      </w:r>
      <w:r w:rsidR="00CA78FB">
        <w:rPr>
          <w:rFonts w:ascii="Calibri" w:eastAsia="Calibri" w:hAnsi="Calibri" w:cs="Calibri"/>
          <w:color w:val="000000"/>
          <w:sz w:val="24"/>
          <w:szCs w:val="24"/>
        </w:rPr>
        <w:t>goodflour</w:t>
      </w:r>
      <w:r>
        <w:rPr>
          <w:rFonts w:ascii="Calibri" w:eastAsia="Calibri" w:hAnsi="Calibri" w:cs="Calibri"/>
          <w:color w:val="000000"/>
          <w:sz w:val="24"/>
          <w:szCs w:val="24"/>
        </w:rPr>
        <w:t>.co</w:t>
      </w:r>
      <w:r>
        <w:rPr>
          <w:rFonts w:ascii="Calibri" w:eastAsia="Calibri" w:hAnsi="Calibri" w:cs="Calibri"/>
          <w:color w:val="000000"/>
          <w:sz w:val="24"/>
          <w:szCs w:val="24"/>
        </w:rPr>
        <w:br/>
        <w:t>604-</w:t>
      </w:r>
      <w:r w:rsidR="00D6234C">
        <w:rPr>
          <w:rFonts w:ascii="Calibri" w:eastAsia="Calibri" w:hAnsi="Calibri" w:cs="Calibri"/>
          <w:color w:val="000000"/>
          <w:sz w:val="24"/>
          <w:szCs w:val="24"/>
        </w:rPr>
        <w:t>423-4400</w:t>
      </w:r>
    </w:p>
    <w:p w14:paraId="343B5D77" w14:textId="77777777" w:rsidR="001F1529" w:rsidRDefault="00046322">
      <w:pPr>
        <w:keepNext/>
        <w:keepLines/>
        <w:rPr>
          <w:rFonts w:ascii="Calibri" w:eastAsia="Calibri" w:hAnsi="Calibri" w:cs="Calibri"/>
          <w:color w:val="000000"/>
          <w:sz w:val="24"/>
          <w:szCs w:val="24"/>
        </w:rPr>
      </w:pPr>
      <w:r>
        <w:rPr>
          <w:rFonts w:ascii="Calibri" w:eastAsia="Calibri" w:hAnsi="Calibri" w:cs="Calibri"/>
          <w:b/>
          <w:color w:val="000000"/>
          <w:sz w:val="24"/>
          <w:szCs w:val="24"/>
        </w:rPr>
        <w:t xml:space="preserve">Cautionary Note Regarding Forward-Looking Information  </w:t>
      </w:r>
    </w:p>
    <w:p w14:paraId="647D72D3" w14:textId="108D7B2E" w:rsidR="001F1529" w:rsidRDefault="00046322" w:rsidP="005B627C">
      <w:pPr>
        <w:keepNext/>
        <w:keepLines/>
        <w:jc w:val="both"/>
        <w:rPr>
          <w:rFonts w:ascii="Calibri" w:eastAsia="Calibri" w:hAnsi="Calibri" w:cs="Calibri"/>
          <w:color w:val="000000"/>
          <w:sz w:val="24"/>
          <w:szCs w:val="24"/>
        </w:rPr>
      </w:pPr>
      <w:r>
        <w:rPr>
          <w:rFonts w:ascii="Calibri" w:eastAsia="Calibri" w:hAnsi="Calibri" w:cs="Calibri"/>
          <w:color w:val="000000"/>
          <w:sz w:val="24"/>
          <w:szCs w:val="24"/>
        </w:rPr>
        <w:t xml:space="preserve">This news release contains "forward-looking information" concerning anticipated developments and events related to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w:t>
      </w:r>
      <w:r>
        <w:rPr>
          <w:rFonts w:ascii="Calibri" w:eastAsia="Calibri" w:hAnsi="Calibri" w:cs="Calibri"/>
          <w:sz w:val="24"/>
          <w:szCs w:val="24"/>
        </w:rPr>
        <w:t>that may occur in the future</w:t>
      </w:r>
      <w:r>
        <w:rPr>
          <w:rFonts w:ascii="Calibri" w:eastAsia="Calibri" w:hAnsi="Calibri" w:cs="Calibri"/>
          <w:color w:val="000000"/>
          <w:sz w:val="24"/>
          <w:szCs w:val="24"/>
        </w:rPr>
        <w:t>. Forward looking information contained in this news release includes, but is not limited to, statements with respect to</w:t>
      </w:r>
      <w:r w:rsidR="009C380D">
        <w:rPr>
          <w:rFonts w:ascii="Calibri" w:eastAsia="Calibri" w:hAnsi="Calibri" w:cs="Calibri"/>
          <w:color w:val="000000"/>
          <w:sz w:val="24"/>
          <w:szCs w:val="24"/>
        </w:rPr>
        <w:t xml:space="preserve"> d</w:t>
      </w:r>
      <w:r w:rsidR="005B627C" w:rsidRPr="005B627C">
        <w:rPr>
          <w:rFonts w:ascii="Calibri" w:eastAsia="Calibri" w:hAnsi="Calibri" w:cs="Calibri"/>
          <w:color w:val="000000"/>
          <w:sz w:val="24"/>
          <w:szCs w:val="24"/>
        </w:rPr>
        <w:t>emand for GFCO’s products</w:t>
      </w:r>
      <w:r w:rsidR="005B627C">
        <w:rPr>
          <w:rFonts w:ascii="Calibri" w:eastAsia="Calibri" w:hAnsi="Calibri" w:cs="Calibri"/>
          <w:color w:val="000000"/>
          <w:sz w:val="24"/>
          <w:szCs w:val="24"/>
        </w:rPr>
        <w:t>,</w:t>
      </w:r>
      <w:r w:rsidR="009C380D">
        <w:rPr>
          <w:rFonts w:ascii="Calibri" w:eastAsia="Calibri" w:hAnsi="Calibri" w:cs="Calibri"/>
          <w:color w:val="000000"/>
          <w:sz w:val="24"/>
          <w:szCs w:val="24"/>
        </w:rPr>
        <w:t xml:space="preserve"> </w:t>
      </w:r>
      <w:r w:rsidR="00695C76">
        <w:rPr>
          <w:rFonts w:ascii="Calibri" w:eastAsia="Calibri" w:hAnsi="Calibri" w:cs="Calibri"/>
          <w:color w:val="000000"/>
          <w:sz w:val="24"/>
          <w:szCs w:val="24"/>
        </w:rPr>
        <w:t xml:space="preserve">benefits of the </w:t>
      </w:r>
      <w:r w:rsidR="00226AA5">
        <w:rPr>
          <w:rFonts w:ascii="Calibri" w:eastAsia="Calibri" w:hAnsi="Calibri" w:cs="Calibri"/>
          <w:color w:val="000000"/>
          <w:sz w:val="24"/>
          <w:szCs w:val="24"/>
        </w:rPr>
        <w:t>retail</w:t>
      </w:r>
      <w:r w:rsidR="00695C76">
        <w:rPr>
          <w:rFonts w:ascii="Calibri" w:eastAsia="Calibri" w:hAnsi="Calibri" w:cs="Calibri"/>
          <w:color w:val="000000"/>
          <w:sz w:val="24"/>
          <w:szCs w:val="24"/>
        </w:rPr>
        <w:t xml:space="preserve"> arrangement with </w:t>
      </w:r>
      <w:r w:rsidR="00226AA5">
        <w:rPr>
          <w:rFonts w:ascii="Calibri" w:eastAsia="Calibri" w:hAnsi="Calibri" w:cs="Calibri"/>
          <w:color w:val="000000"/>
          <w:sz w:val="24"/>
          <w:szCs w:val="24"/>
        </w:rPr>
        <w:t>Sprouts,</w:t>
      </w:r>
      <w:r w:rsidR="001053B9">
        <w:rPr>
          <w:rFonts w:ascii="Calibri" w:eastAsia="Calibri" w:hAnsi="Calibri" w:cs="Calibri"/>
          <w:color w:val="000000"/>
          <w:sz w:val="24"/>
          <w:szCs w:val="24"/>
        </w:rPr>
        <w:t xml:space="preserve"> the addition of further products to Sprouts stores</w:t>
      </w:r>
      <w:r w:rsidR="00226AA5">
        <w:rPr>
          <w:rFonts w:ascii="Calibri" w:eastAsia="Calibri" w:hAnsi="Calibri" w:cs="Calibri"/>
          <w:color w:val="000000"/>
          <w:sz w:val="24"/>
          <w:szCs w:val="24"/>
        </w:rPr>
        <w:t xml:space="preserve"> </w:t>
      </w:r>
      <w:r w:rsidR="00695C76">
        <w:rPr>
          <w:rFonts w:ascii="Calibri" w:eastAsia="Calibri" w:hAnsi="Calibri" w:cs="Calibri"/>
          <w:color w:val="000000"/>
          <w:sz w:val="24"/>
          <w:szCs w:val="24"/>
        </w:rPr>
        <w:t>and</w:t>
      </w:r>
      <w:r>
        <w:rPr>
          <w:rFonts w:ascii="Calibri" w:eastAsia="Calibri" w:hAnsi="Calibri" w:cs="Calibri"/>
          <w:color w:val="000000"/>
          <w:sz w:val="24"/>
          <w:szCs w:val="24"/>
        </w:rPr>
        <w:t xml:space="preserve"> </w:t>
      </w:r>
      <w:r w:rsidR="00A40A66">
        <w:rPr>
          <w:rFonts w:ascii="Calibri" w:eastAsia="Calibri" w:hAnsi="Calibri" w:cs="Calibri"/>
          <w:color w:val="000000"/>
          <w:sz w:val="24"/>
          <w:szCs w:val="24"/>
        </w:rPr>
        <w:t>GFCO</w:t>
      </w:r>
      <w:r>
        <w:rPr>
          <w:rFonts w:ascii="Calibri" w:eastAsia="Calibri" w:hAnsi="Calibri" w:cs="Calibri"/>
          <w:color w:val="000000"/>
          <w:sz w:val="24"/>
          <w:szCs w:val="24"/>
        </w:rPr>
        <w:t>’s future</w:t>
      </w:r>
      <w:r w:rsidR="009E2DEF">
        <w:rPr>
          <w:rFonts w:ascii="Calibri" w:eastAsia="Calibri" w:hAnsi="Calibri" w:cs="Calibri"/>
          <w:color w:val="000000"/>
          <w:sz w:val="24"/>
          <w:szCs w:val="24"/>
        </w:rPr>
        <w:t xml:space="preserve"> sales and</w:t>
      </w:r>
      <w:r>
        <w:rPr>
          <w:rFonts w:ascii="Calibri" w:eastAsia="Calibri" w:hAnsi="Calibri" w:cs="Calibri"/>
          <w:color w:val="000000"/>
          <w:sz w:val="24"/>
          <w:szCs w:val="24"/>
        </w:rPr>
        <w:t xml:space="preserve"> business objectives</w:t>
      </w:r>
      <w:r w:rsidR="00A40A66">
        <w:rPr>
          <w:rFonts w:ascii="Calibri" w:eastAsia="Calibri" w:hAnsi="Calibri" w:cs="Calibri"/>
          <w:color w:val="000000"/>
          <w:sz w:val="24"/>
          <w:szCs w:val="24"/>
        </w:rPr>
        <w:t>.</w:t>
      </w:r>
    </w:p>
    <w:p w14:paraId="3BAAE544" w14:textId="45657256"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1" w:name="_1fob9te" w:colFirst="0" w:colLast="0"/>
      <w:bookmarkEnd w:id="1"/>
      <w:r>
        <w:rPr>
          <w:rFonts w:ascii="Calibri" w:eastAsia="Calibri" w:hAnsi="Calibri" w:cs="Calibri"/>
          <w:color w:val="000000"/>
          <w:sz w:val="24"/>
          <w:szCs w:val="24"/>
        </w:rPr>
        <w:t xml:space="preserve">In certain cases, forward-looking information can be identified by the use of words such as "expects", "intends", "anticipates" or variations of such words and phrases or state that certain actions, events or results "may", "would", or "might" suggesting future outcomes, or other expectations, assumptions, intentions or statements about future events or performance. Forward-looking information contained in this news release is based on certain assumptions regarding, among other things, </w:t>
      </w:r>
      <w:r>
        <w:rPr>
          <w:rFonts w:ascii="Calibri" w:eastAsia="Calibri" w:hAnsi="Calibri" w:cs="Calibri"/>
          <w:sz w:val="24"/>
          <w:szCs w:val="24"/>
        </w:rPr>
        <w:t>the timely receipt of regulatory approvals</w:t>
      </w:r>
      <w:r w:rsidR="00E813EF">
        <w:rPr>
          <w:rFonts w:ascii="Calibri" w:eastAsia="Calibri" w:hAnsi="Calibri" w:cs="Calibri"/>
          <w:sz w:val="24"/>
          <w:szCs w:val="24"/>
        </w:rPr>
        <w:t xml:space="preserve">; the ability to source ingredients; the ability to attract qualified management and staff; </w:t>
      </w:r>
      <w:r w:rsidR="00E813EF" w:rsidRPr="00E813EF">
        <w:rPr>
          <w:rFonts w:ascii="Calibri" w:eastAsia="Calibri" w:hAnsi="Calibri" w:cs="Calibri"/>
          <w:color w:val="000000"/>
          <w:sz w:val="24"/>
          <w:szCs w:val="24"/>
        </w:rPr>
        <w:t>the ability to effectively expand manufacturing and production capacity</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success of market initiatives and the ability to grow brand awareness</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ability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the ability to attract, maintain and expand relationships with key strategic restaurant and food service partners</w:t>
      </w:r>
      <w:r w:rsidR="00E813EF">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sidR="00E813EF">
        <w:rPr>
          <w:rFonts w:ascii="Calibri" w:eastAsia="Calibri" w:hAnsi="Calibri" w:cs="Calibri"/>
          <w:color w:val="000000"/>
          <w:sz w:val="24"/>
          <w:szCs w:val="24"/>
        </w:rPr>
        <w:t xml:space="preserve"> will continue to have access to financing until it achieves profitability</w:t>
      </w:r>
      <w:r>
        <w:rPr>
          <w:rFonts w:ascii="Calibri" w:eastAsia="Calibri" w:hAnsi="Calibri" w:cs="Calibri"/>
          <w:sz w:val="24"/>
          <w:szCs w:val="24"/>
        </w:rPr>
        <w:t xml:space="preserve">. While </w:t>
      </w:r>
      <w:r w:rsidR="00A40A66">
        <w:rPr>
          <w:rFonts w:ascii="Calibri" w:eastAsia="Calibri" w:hAnsi="Calibri" w:cs="Calibri"/>
          <w:sz w:val="24"/>
          <w:szCs w:val="24"/>
        </w:rPr>
        <w:t>GFCO</w:t>
      </w:r>
      <w:r>
        <w:rPr>
          <w:rFonts w:ascii="Calibri" w:eastAsia="Calibri" w:hAnsi="Calibri" w:cs="Calibri"/>
          <w:sz w:val="24"/>
          <w:szCs w:val="24"/>
        </w:rPr>
        <w:t xml:space="preserve"> considers these assumptions to be reasonable, they may be incorrect.</w:t>
      </w:r>
    </w:p>
    <w:p w14:paraId="262A28AA" w14:textId="0779F031"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Forward looking information involves known and unknown risks, uncertainties and other factors which may cause the actual results to be materially different from any future results expressed by the forward-looking information. Such factors include risks related to </w:t>
      </w:r>
      <w:r w:rsidR="00E813EF" w:rsidRPr="00E813EF">
        <w:rPr>
          <w:rFonts w:ascii="Calibri" w:eastAsia="Calibri" w:hAnsi="Calibri" w:cs="Calibri"/>
          <w:color w:val="000000"/>
          <w:sz w:val="24"/>
          <w:szCs w:val="24"/>
        </w:rPr>
        <w:t xml:space="preserve">general business, economic and social uncertainties; </w:t>
      </w:r>
      <w:r w:rsidR="0089559C">
        <w:rPr>
          <w:rFonts w:ascii="Calibri" w:eastAsia="Calibri" w:hAnsi="Calibri" w:cs="Calibri"/>
          <w:color w:val="000000"/>
          <w:sz w:val="24"/>
          <w:szCs w:val="24"/>
        </w:rPr>
        <w:t>risks associated with supply chain for machinery and equipment;</w:t>
      </w:r>
      <w:r w:rsidR="00E813EF" w:rsidRPr="00E813EF">
        <w:rPr>
          <w:rFonts w:ascii="Calibri" w:eastAsia="Calibri" w:hAnsi="Calibri" w:cs="Calibri"/>
          <w:color w:val="000000"/>
          <w:sz w:val="24"/>
          <w:szCs w:val="24"/>
        </w:rPr>
        <w:t xml:space="preserve"> litigation, availability of key product ingredients</w:t>
      </w:r>
      <w:r w:rsidR="00E813EF">
        <w:rPr>
          <w:rFonts w:ascii="Calibri" w:eastAsia="Calibri" w:hAnsi="Calibri" w:cs="Calibri"/>
          <w:color w:val="000000"/>
          <w:sz w:val="24"/>
          <w:szCs w:val="24"/>
        </w:rPr>
        <w:t>;</w:t>
      </w:r>
      <w:r w:rsidR="00E813EF" w:rsidRPr="00E813EF">
        <w:rPr>
          <w:rFonts w:ascii="Calibri" w:eastAsia="Calibri" w:hAnsi="Calibri" w:cs="Calibri"/>
          <w:color w:val="000000"/>
          <w:sz w:val="24"/>
          <w:szCs w:val="24"/>
        </w:rPr>
        <w:t xml:space="preserve"> legislative, environmental and other judicial, regulatory, political and competitive developments;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effectively expand production capacity; the ability to obtain retail partners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attract, maintain and expand relationships with key restaurant and food service partners; </w:t>
      </w:r>
      <w:r w:rsidR="00E813EF">
        <w:rPr>
          <w:rFonts w:ascii="Calibri" w:eastAsia="Calibri" w:hAnsi="Calibri" w:cs="Calibri"/>
          <w:color w:val="000000"/>
          <w:sz w:val="24"/>
          <w:szCs w:val="24"/>
        </w:rPr>
        <w:t>changing</w:t>
      </w:r>
      <w:r w:rsidR="00E813EF" w:rsidRPr="00E813EF">
        <w:rPr>
          <w:rFonts w:ascii="Calibri" w:eastAsia="Calibri" w:hAnsi="Calibri" w:cs="Calibri"/>
          <w:color w:val="000000"/>
          <w:sz w:val="24"/>
          <w:szCs w:val="24"/>
        </w:rPr>
        <w:t xml:space="preserve"> consumer taste preferences; delay or failure to receive regulatory approvals; the sufficiency of our cash to meet liquidity needs</w:t>
      </w:r>
      <w:r w:rsidR="00E813EF">
        <w:rPr>
          <w:rFonts w:ascii="Calibri" w:eastAsia="Calibri" w:hAnsi="Calibri" w:cs="Calibri"/>
          <w:color w:val="000000"/>
          <w:sz w:val="24"/>
          <w:szCs w:val="24"/>
        </w:rPr>
        <w:t>; failure</w:t>
      </w:r>
      <w:r>
        <w:rPr>
          <w:rFonts w:ascii="Calibri" w:eastAsia="Calibri" w:hAnsi="Calibri" w:cs="Calibri"/>
          <w:color w:val="000000"/>
          <w:sz w:val="24"/>
          <w:szCs w:val="24"/>
        </w:rPr>
        <w:t xml:space="preserve"> to attract qualified management and staff, </w:t>
      </w:r>
      <w:proofErr w:type="spellStart"/>
      <w:r>
        <w:rPr>
          <w:rFonts w:ascii="Calibri" w:eastAsia="Calibri" w:hAnsi="Calibri" w:cs="Calibri"/>
          <w:color w:val="000000"/>
          <w:sz w:val="24"/>
          <w:szCs w:val="24"/>
        </w:rPr>
        <w:t>labour</w:t>
      </w:r>
      <w:proofErr w:type="spellEnd"/>
      <w:r>
        <w:rPr>
          <w:rFonts w:ascii="Calibri" w:eastAsia="Calibri" w:hAnsi="Calibri" w:cs="Calibri"/>
          <w:color w:val="000000"/>
          <w:sz w:val="24"/>
          <w:szCs w:val="24"/>
        </w:rPr>
        <w:t xml:space="preserve"> disputes</w:t>
      </w:r>
      <w:r w:rsidR="00E813E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the additional risks identified in the "Risk Factors" section of </w:t>
      </w:r>
      <w:r w:rsidR="00A40A66">
        <w:rPr>
          <w:rFonts w:ascii="Calibri" w:eastAsia="Calibri" w:hAnsi="Calibri" w:cs="Calibri"/>
          <w:color w:val="000000"/>
          <w:sz w:val="24"/>
          <w:szCs w:val="24"/>
        </w:rPr>
        <w:t>GFCO</w:t>
      </w:r>
      <w:r w:rsidR="00EB5C88">
        <w:rPr>
          <w:rFonts w:ascii="Calibri" w:eastAsia="Calibri" w:hAnsi="Calibri" w:cs="Calibri"/>
          <w:color w:val="000000"/>
          <w:sz w:val="24"/>
          <w:szCs w:val="24"/>
        </w:rPr>
        <w:t>’s</w:t>
      </w:r>
      <w:r>
        <w:rPr>
          <w:rFonts w:ascii="Calibri" w:eastAsia="Calibri" w:hAnsi="Calibri" w:cs="Calibri"/>
          <w:color w:val="000000"/>
          <w:sz w:val="24"/>
          <w:szCs w:val="24"/>
        </w:rPr>
        <w:t xml:space="preserve"> filings with applicable Canadian securities regulators.</w:t>
      </w:r>
    </w:p>
    <w:p w14:paraId="3A66B5C2" w14:textId="4D5C23B9"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Although </w:t>
      </w:r>
      <w:r w:rsidR="00A40A66">
        <w:rPr>
          <w:rFonts w:ascii="Calibri" w:eastAsia="Calibri" w:hAnsi="Calibri" w:cs="Calibri"/>
          <w:color w:val="000000"/>
          <w:sz w:val="24"/>
          <w:szCs w:val="24"/>
        </w:rPr>
        <w:t>GFCO</w:t>
      </w:r>
      <w:r w:rsidR="00D9361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attempted to identify factors that could cause actual results to differ materially from those described in forward-looking information, there may be other factors that cause results not to be as anticipated. Readers should not place undue reliance on forward-looking information. The forward-looking information is made as of the date of this news release. Except as required by applicable securities laws,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does not undertake any obligation to publicly update forward-looking information.</w:t>
      </w:r>
    </w:p>
    <w:p w14:paraId="6BF70A37" w14:textId="77777777" w:rsidR="001F1529" w:rsidRDefault="001F1529">
      <w:pPr>
        <w:tabs>
          <w:tab w:val="left" w:pos="2051"/>
        </w:tabs>
        <w:rPr>
          <w:sz w:val="24"/>
          <w:szCs w:val="24"/>
        </w:rPr>
      </w:pPr>
    </w:p>
    <w:sectPr w:rsidR="001F152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769A" w14:textId="77777777" w:rsidR="00BD306E" w:rsidRDefault="00BD306E">
      <w:pPr>
        <w:spacing w:after="0" w:line="240" w:lineRule="auto"/>
      </w:pPr>
      <w:r>
        <w:separator/>
      </w:r>
    </w:p>
  </w:endnote>
  <w:endnote w:type="continuationSeparator" w:id="0">
    <w:p w14:paraId="388F03CC" w14:textId="77777777" w:rsidR="00BD306E" w:rsidRDefault="00BD306E">
      <w:pPr>
        <w:spacing w:after="0" w:line="240" w:lineRule="auto"/>
      </w:pPr>
      <w:r>
        <w:continuationSeparator/>
      </w:r>
    </w:p>
  </w:endnote>
  <w:endnote w:type="continuationNotice" w:id="1">
    <w:p w14:paraId="24512D5C" w14:textId="77777777" w:rsidR="00BD306E" w:rsidRDefault="00BD3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AAA" w14:textId="77777777" w:rsidR="001F1529" w:rsidRDefault="001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29" w14:textId="77777777" w:rsidR="001F1529" w:rsidRDefault="001F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FAC" w14:textId="77777777" w:rsidR="001F1529" w:rsidRDefault="001F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A716" w14:textId="77777777" w:rsidR="00BD306E" w:rsidRDefault="00BD306E">
      <w:pPr>
        <w:spacing w:after="0" w:line="240" w:lineRule="auto"/>
      </w:pPr>
      <w:r>
        <w:separator/>
      </w:r>
    </w:p>
  </w:footnote>
  <w:footnote w:type="continuationSeparator" w:id="0">
    <w:p w14:paraId="2037A0F8" w14:textId="77777777" w:rsidR="00BD306E" w:rsidRDefault="00BD306E">
      <w:pPr>
        <w:spacing w:after="0" w:line="240" w:lineRule="auto"/>
      </w:pPr>
      <w:r>
        <w:continuationSeparator/>
      </w:r>
    </w:p>
  </w:footnote>
  <w:footnote w:type="continuationNotice" w:id="1">
    <w:p w14:paraId="22E87889" w14:textId="77777777" w:rsidR="00BD306E" w:rsidRDefault="00BD3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A6" w14:textId="77777777" w:rsidR="001F1529" w:rsidRDefault="001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F0" w14:textId="77777777" w:rsidR="001F1529" w:rsidRDefault="001F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EDA" w14:textId="77777777" w:rsidR="001F1529" w:rsidRDefault="001F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66"/>
    <w:multiLevelType w:val="hybridMultilevel"/>
    <w:tmpl w:val="14CC2DE0"/>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293F1CE3"/>
    <w:multiLevelType w:val="hybridMultilevel"/>
    <w:tmpl w:val="ED42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A85E01"/>
    <w:multiLevelType w:val="hybridMultilevel"/>
    <w:tmpl w:val="3C86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A517D"/>
    <w:multiLevelType w:val="hybridMultilevel"/>
    <w:tmpl w:val="D99CB89A"/>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52BBB"/>
    <w:multiLevelType w:val="hybridMultilevel"/>
    <w:tmpl w:val="BF049800"/>
    <w:lvl w:ilvl="0" w:tplc="DC20686A">
      <w:start w:val="1"/>
      <w:numFmt w:val="bullet"/>
      <w:lvlText w:val=""/>
      <w:lvlJc w:val="left"/>
      <w:pPr>
        <w:ind w:left="720" w:hanging="360"/>
      </w:pPr>
      <w:rPr>
        <w:rFonts w:ascii="Symbol" w:hAnsi="Symbol" w:hint="default"/>
      </w:rPr>
    </w:lvl>
    <w:lvl w:ilvl="1" w:tplc="494080A4" w:tentative="1">
      <w:start w:val="1"/>
      <w:numFmt w:val="bullet"/>
      <w:lvlText w:val="o"/>
      <w:lvlJc w:val="left"/>
      <w:pPr>
        <w:ind w:left="1440" w:hanging="360"/>
      </w:pPr>
      <w:rPr>
        <w:rFonts w:ascii="Courier New" w:hAnsi="Courier New" w:cs="Courier New" w:hint="default"/>
      </w:rPr>
    </w:lvl>
    <w:lvl w:ilvl="2" w:tplc="9D50A284" w:tentative="1">
      <w:start w:val="1"/>
      <w:numFmt w:val="bullet"/>
      <w:lvlText w:val=""/>
      <w:lvlJc w:val="left"/>
      <w:pPr>
        <w:ind w:left="2160" w:hanging="360"/>
      </w:pPr>
      <w:rPr>
        <w:rFonts w:ascii="Wingdings" w:hAnsi="Wingdings" w:hint="default"/>
      </w:rPr>
    </w:lvl>
    <w:lvl w:ilvl="3" w:tplc="13EE0ACA" w:tentative="1">
      <w:start w:val="1"/>
      <w:numFmt w:val="bullet"/>
      <w:lvlText w:val=""/>
      <w:lvlJc w:val="left"/>
      <w:pPr>
        <w:ind w:left="2880" w:hanging="360"/>
      </w:pPr>
      <w:rPr>
        <w:rFonts w:ascii="Symbol" w:hAnsi="Symbol" w:hint="default"/>
      </w:rPr>
    </w:lvl>
    <w:lvl w:ilvl="4" w:tplc="230AB38C" w:tentative="1">
      <w:start w:val="1"/>
      <w:numFmt w:val="bullet"/>
      <w:lvlText w:val="o"/>
      <w:lvlJc w:val="left"/>
      <w:pPr>
        <w:ind w:left="3600" w:hanging="360"/>
      </w:pPr>
      <w:rPr>
        <w:rFonts w:ascii="Courier New" w:hAnsi="Courier New" w:cs="Courier New" w:hint="default"/>
      </w:rPr>
    </w:lvl>
    <w:lvl w:ilvl="5" w:tplc="B1B85568" w:tentative="1">
      <w:start w:val="1"/>
      <w:numFmt w:val="bullet"/>
      <w:lvlText w:val=""/>
      <w:lvlJc w:val="left"/>
      <w:pPr>
        <w:ind w:left="4320" w:hanging="360"/>
      </w:pPr>
      <w:rPr>
        <w:rFonts w:ascii="Wingdings" w:hAnsi="Wingdings" w:hint="default"/>
      </w:rPr>
    </w:lvl>
    <w:lvl w:ilvl="6" w:tplc="FD4AB606" w:tentative="1">
      <w:start w:val="1"/>
      <w:numFmt w:val="bullet"/>
      <w:lvlText w:val=""/>
      <w:lvlJc w:val="left"/>
      <w:pPr>
        <w:ind w:left="5040" w:hanging="360"/>
      </w:pPr>
      <w:rPr>
        <w:rFonts w:ascii="Symbol" w:hAnsi="Symbol" w:hint="default"/>
      </w:rPr>
    </w:lvl>
    <w:lvl w:ilvl="7" w:tplc="89F640A8" w:tentative="1">
      <w:start w:val="1"/>
      <w:numFmt w:val="bullet"/>
      <w:lvlText w:val="o"/>
      <w:lvlJc w:val="left"/>
      <w:pPr>
        <w:ind w:left="5760" w:hanging="360"/>
      </w:pPr>
      <w:rPr>
        <w:rFonts w:ascii="Courier New" w:hAnsi="Courier New" w:cs="Courier New" w:hint="default"/>
      </w:rPr>
    </w:lvl>
    <w:lvl w:ilvl="8" w:tplc="E3CA3848" w:tentative="1">
      <w:start w:val="1"/>
      <w:numFmt w:val="bullet"/>
      <w:lvlText w:val=""/>
      <w:lvlJc w:val="left"/>
      <w:pPr>
        <w:ind w:left="6480" w:hanging="360"/>
      </w:pPr>
      <w:rPr>
        <w:rFonts w:ascii="Wingdings" w:hAnsi="Wingdings" w:hint="default"/>
      </w:rPr>
    </w:lvl>
  </w:abstractNum>
  <w:abstractNum w:abstractNumId="5" w15:restartNumberingAfterBreak="0">
    <w:nsid w:val="7F4F4ACA"/>
    <w:multiLevelType w:val="hybridMultilevel"/>
    <w:tmpl w:val="EFE0F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741042">
    <w:abstractNumId w:val="4"/>
  </w:num>
  <w:num w:numId="2" w16cid:durableId="1217815566">
    <w:abstractNumId w:val="5"/>
  </w:num>
  <w:num w:numId="3" w16cid:durableId="385491847">
    <w:abstractNumId w:val="2"/>
  </w:num>
  <w:num w:numId="4" w16cid:durableId="1406800015">
    <w:abstractNumId w:val="1"/>
  </w:num>
  <w:num w:numId="5" w16cid:durableId="641234271">
    <w:abstractNumId w:val="0"/>
  </w:num>
  <w:num w:numId="6" w16cid:durableId="69542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9"/>
    <w:rsid w:val="00001795"/>
    <w:rsid w:val="00002ECE"/>
    <w:rsid w:val="00015835"/>
    <w:rsid w:val="000167ED"/>
    <w:rsid w:val="00046322"/>
    <w:rsid w:val="0005206C"/>
    <w:rsid w:val="0006094C"/>
    <w:rsid w:val="00063B4B"/>
    <w:rsid w:val="00076118"/>
    <w:rsid w:val="000B1C0B"/>
    <w:rsid w:val="000B592B"/>
    <w:rsid w:val="000C53F4"/>
    <w:rsid w:val="00101832"/>
    <w:rsid w:val="001053B9"/>
    <w:rsid w:val="00120C07"/>
    <w:rsid w:val="001223AA"/>
    <w:rsid w:val="00130DED"/>
    <w:rsid w:val="001540D9"/>
    <w:rsid w:val="0015588C"/>
    <w:rsid w:val="00165BEB"/>
    <w:rsid w:val="0016668B"/>
    <w:rsid w:val="001679D2"/>
    <w:rsid w:val="001C426B"/>
    <w:rsid w:val="001E4EB9"/>
    <w:rsid w:val="001F1529"/>
    <w:rsid w:val="00222D08"/>
    <w:rsid w:val="00226AA5"/>
    <w:rsid w:val="00233F31"/>
    <w:rsid w:val="00254225"/>
    <w:rsid w:val="00266AC0"/>
    <w:rsid w:val="00273151"/>
    <w:rsid w:val="002822F5"/>
    <w:rsid w:val="002A4304"/>
    <w:rsid w:val="002C2027"/>
    <w:rsid w:val="002C4920"/>
    <w:rsid w:val="002C5E83"/>
    <w:rsid w:val="002F788E"/>
    <w:rsid w:val="002F7C9E"/>
    <w:rsid w:val="0030129E"/>
    <w:rsid w:val="00302138"/>
    <w:rsid w:val="00374FFB"/>
    <w:rsid w:val="00381998"/>
    <w:rsid w:val="00395832"/>
    <w:rsid w:val="003B306E"/>
    <w:rsid w:val="003C565E"/>
    <w:rsid w:val="003D56BE"/>
    <w:rsid w:val="003D74F3"/>
    <w:rsid w:val="003E4F88"/>
    <w:rsid w:val="003E5895"/>
    <w:rsid w:val="003E7193"/>
    <w:rsid w:val="003F6943"/>
    <w:rsid w:val="004101E5"/>
    <w:rsid w:val="0042132A"/>
    <w:rsid w:val="004339CC"/>
    <w:rsid w:val="0045119C"/>
    <w:rsid w:val="00463B33"/>
    <w:rsid w:val="00470FD7"/>
    <w:rsid w:val="004722A7"/>
    <w:rsid w:val="00476BDB"/>
    <w:rsid w:val="00494431"/>
    <w:rsid w:val="004970C2"/>
    <w:rsid w:val="004C028E"/>
    <w:rsid w:val="004C4696"/>
    <w:rsid w:val="004C7E14"/>
    <w:rsid w:val="005370DF"/>
    <w:rsid w:val="00541FED"/>
    <w:rsid w:val="005461C9"/>
    <w:rsid w:val="005470F5"/>
    <w:rsid w:val="00571086"/>
    <w:rsid w:val="0057690C"/>
    <w:rsid w:val="005872D0"/>
    <w:rsid w:val="005A1924"/>
    <w:rsid w:val="005B5B53"/>
    <w:rsid w:val="005B627C"/>
    <w:rsid w:val="005C1A53"/>
    <w:rsid w:val="005D2D1E"/>
    <w:rsid w:val="005D6B19"/>
    <w:rsid w:val="005E5A61"/>
    <w:rsid w:val="00611517"/>
    <w:rsid w:val="00614295"/>
    <w:rsid w:val="00622AE9"/>
    <w:rsid w:val="0063736C"/>
    <w:rsid w:val="006411FB"/>
    <w:rsid w:val="00641EC1"/>
    <w:rsid w:val="00664B8A"/>
    <w:rsid w:val="00690056"/>
    <w:rsid w:val="00695C76"/>
    <w:rsid w:val="006A40F6"/>
    <w:rsid w:val="006B1A04"/>
    <w:rsid w:val="006C1BD9"/>
    <w:rsid w:val="006E63F0"/>
    <w:rsid w:val="006E7B3B"/>
    <w:rsid w:val="006F7327"/>
    <w:rsid w:val="007053F5"/>
    <w:rsid w:val="0073734D"/>
    <w:rsid w:val="00741288"/>
    <w:rsid w:val="007464BB"/>
    <w:rsid w:val="00750237"/>
    <w:rsid w:val="00753121"/>
    <w:rsid w:val="00754765"/>
    <w:rsid w:val="00757260"/>
    <w:rsid w:val="00774BD7"/>
    <w:rsid w:val="00776190"/>
    <w:rsid w:val="007830BA"/>
    <w:rsid w:val="00786D43"/>
    <w:rsid w:val="00790220"/>
    <w:rsid w:val="007A6303"/>
    <w:rsid w:val="007E41E3"/>
    <w:rsid w:val="007E4B23"/>
    <w:rsid w:val="007F72AE"/>
    <w:rsid w:val="008109FA"/>
    <w:rsid w:val="008117FD"/>
    <w:rsid w:val="00822502"/>
    <w:rsid w:val="00826542"/>
    <w:rsid w:val="00841CB9"/>
    <w:rsid w:val="00844887"/>
    <w:rsid w:val="00873005"/>
    <w:rsid w:val="00875A96"/>
    <w:rsid w:val="008766ED"/>
    <w:rsid w:val="00883D7F"/>
    <w:rsid w:val="00885CF7"/>
    <w:rsid w:val="00887CFB"/>
    <w:rsid w:val="0089559C"/>
    <w:rsid w:val="008C2565"/>
    <w:rsid w:val="008D567F"/>
    <w:rsid w:val="008E419A"/>
    <w:rsid w:val="008F35B2"/>
    <w:rsid w:val="0091254B"/>
    <w:rsid w:val="0093453A"/>
    <w:rsid w:val="009354DB"/>
    <w:rsid w:val="00954324"/>
    <w:rsid w:val="00954C83"/>
    <w:rsid w:val="0096078F"/>
    <w:rsid w:val="009627C4"/>
    <w:rsid w:val="009A2235"/>
    <w:rsid w:val="009C0DDB"/>
    <w:rsid w:val="009C380D"/>
    <w:rsid w:val="009C5ADA"/>
    <w:rsid w:val="009D417E"/>
    <w:rsid w:val="009D5B5D"/>
    <w:rsid w:val="009D69C4"/>
    <w:rsid w:val="009D757A"/>
    <w:rsid w:val="009E02C6"/>
    <w:rsid w:val="009E2DEF"/>
    <w:rsid w:val="009F329D"/>
    <w:rsid w:val="009F3E14"/>
    <w:rsid w:val="00A02BEF"/>
    <w:rsid w:val="00A111CE"/>
    <w:rsid w:val="00A13EDF"/>
    <w:rsid w:val="00A33FB2"/>
    <w:rsid w:val="00A40A66"/>
    <w:rsid w:val="00A42841"/>
    <w:rsid w:val="00A65CBE"/>
    <w:rsid w:val="00A667BB"/>
    <w:rsid w:val="00A80562"/>
    <w:rsid w:val="00A9480A"/>
    <w:rsid w:val="00AA5BFD"/>
    <w:rsid w:val="00AB0C7E"/>
    <w:rsid w:val="00AB2076"/>
    <w:rsid w:val="00AB6B04"/>
    <w:rsid w:val="00AD3858"/>
    <w:rsid w:val="00AD4755"/>
    <w:rsid w:val="00AE04DA"/>
    <w:rsid w:val="00AE2B54"/>
    <w:rsid w:val="00AE5099"/>
    <w:rsid w:val="00AF1603"/>
    <w:rsid w:val="00B00766"/>
    <w:rsid w:val="00B23C37"/>
    <w:rsid w:val="00B40B53"/>
    <w:rsid w:val="00B538D9"/>
    <w:rsid w:val="00B71860"/>
    <w:rsid w:val="00B80B37"/>
    <w:rsid w:val="00B85C16"/>
    <w:rsid w:val="00B87234"/>
    <w:rsid w:val="00BA369E"/>
    <w:rsid w:val="00BB5317"/>
    <w:rsid w:val="00BB5664"/>
    <w:rsid w:val="00BC20B5"/>
    <w:rsid w:val="00BC2571"/>
    <w:rsid w:val="00BD2853"/>
    <w:rsid w:val="00BD306E"/>
    <w:rsid w:val="00BE71A8"/>
    <w:rsid w:val="00BF6322"/>
    <w:rsid w:val="00BF710E"/>
    <w:rsid w:val="00C30E1D"/>
    <w:rsid w:val="00C31127"/>
    <w:rsid w:val="00C62719"/>
    <w:rsid w:val="00C77159"/>
    <w:rsid w:val="00C85380"/>
    <w:rsid w:val="00C878B6"/>
    <w:rsid w:val="00C901C3"/>
    <w:rsid w:val="00CA156A"/>
    <w:rsid w:val="00CA78FB"/>
    <w:rsid w:val="00CB1053"/>
    <w:rsid w:val="00CE198C"/>
    <w:rsid w:val="00CE59E7"/>
    <w:rsid w:val="00D04A9F"/>
    <w:rsid w:val="00D05CF1"/>
    <w:rsid w:val="00D05E50"/>
    <w:rsid w:val="00D07757"/>
    <w:rsid w:val="00D32886"/>
    <w:rsid w:val="00D37905"/>
    <w:rsid w:val="00D4625E"/>
    <w:rsid w:val="00D5258E"/>
    <w:rsid w:val="00D6234C"/>
    <w:rsid w:val="00D67B4D"/>
    <w:rsid w:val="00D861AD"/>
    <w:rsid w:val="00D92EEE"/>
    <w:rsid w:val="00D9361F"/>
    <w:rsid w:val="00DA1AAF"/>
    <w:rsid w:val="00E05291"/>
    <w:rsid w:val="00E17284"/>
    <w:rsid w:val="00E20368"/>
    <w:rsid w:val="00E23DDD"/>
    <w:rsid w:val="00E813EF"/>
    <w:rsid w:val="00EB5C88"/>
    <w:rsid w:val="00ED708E"/>
    <w:rsid w:val="00EE32CD"/>
    <w:rsid w:val="00EF5565"/>
    <w:rsid w:val="00EF5FC8"/>
    <w:rsid w:val="00F052CA"/>
    <w:rsid w:val="00F25ACB"/>
    <w:rsid w:val="00F31F4F"/>
    <w:rsid w:val="00F62CA8"/>
    <w:rsid w:val="00FA08D7"/>
    <w:rsid w:val="00FB624A"/>
    <w:rsid w:val="00FF2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F329D"/>
    <w:rPr>
      <w:color w:val="605E5C"/>
      <w:shd w:val="clear" w:color="auto" w:fill="E1DFDD"/>
    </w:rPr>
  </w:style>
  <w:style w:type="paragraph" w:styleId="Revision">
    <w:name w:val="Revision"/>
    <w:hidden/>
    <w:uiPriority w:val="99"/>
    <w:semiHidden/>
    <w:rsid w:val="00611517"/>
    <w:pPr>
      <w:spacing w:after="0" w:line="240" w:lineRule="auto"/>
    </w:pPr>
  </w:style>
  <w:style w:type="character" w:styleId="CommentReference">
    <w:name w:val="annotation reference"/>
    <w:basedOn w:val="DefaultParagraphFont"/>
    <w:uiPriority w:val="99"/>
    <w:semiHidden/>
    <w:unhideWhenUsed/>
    <w:rsid w:val="00254225"/>
    <w:rPr>
      <w:sz w:val="16"/>
      <w:szCs w:val="16"/>
    </w:rPr>
  </w:style>
  <w:style w:type="paragraph" w:styleId="CommentText">
    <w:name w:val="annotation text"/>
    <w:basedOn w:val="Normal"/>
    <w:link w:val="CommentTextChar"/>
    <w:uiPriority w:val="99"/>
    <w:unhideWhenUsed/>
    <w:rsid w:val="00254225"/>
    <w:pPr>
      <w:spacing w:line="240" w:lineRule="auto"/>
    </w:pPr>
    <w:rPr>
      <w:sz w:val="20"/>
      <w:szCs w:val="20"/>
    </w:rPr>
  </w:style>
  <w:style w:type="character" w:customStyle="1" w:styleId="CommentTextChar">
    <w:name w:val="Comment Text Char"/>
    <w:basedOn w:val="DefaultParagraphFont"/>
    <w:link w:val="CommentText"/>
    <w:uiPriority w:val="99"/>
    <w:rsid w:val="00254225"/>
    <w:rPr>
      <w:sz w:val="20"/>
      <w:szCs w:val="20"/>
    </w:rPr>
  </w:style>
  <w:style w:type="paragraph" w:styleId="CommentSubject">
    <w:name w:val="annotation subject"/>
    <w:basedOn w:val="CommentText"/>
    <w:next w:val="CommentText"/>
    <w:link w:val="CommentSubjectChar"/>
    <w:uiPriority w:val="99"/>
    <w:semiHidden/>
    <w:unhideWhenUsed/>
    <w:rsid w:val="00254225"/>
    <w:rPr>
      <w:b/>
      <w:bCs/>
    </w:rPr>
  </w:style>
  <w:style w:type="character" w:customStyle="1" w:styleId="CommentSubjectChar">
    <w:name w:val="Comment Subject Char"/>
    <w:basedOn w:val="CommentTextChar"/>
    <w:link w:val="CommentSubject"/>
    <w:uiPriority w:val="99"/>
    <w:semiHidden/>
    <w:rsid w:val="00254225"/>
    <w:rPr>
      <w:b/>
      <w:bCs/>
      <w:sz w:val="20"/>
      <w:szCs w:val="20"/>
    </w:rPr>
  </w:style>
  <w:style w:type="character" w:styleId="Emphasis">
    <w:name w:val="Emphasis"/>
    <w:basedOn w:val="DefaultParagraphFont"/>
    <w:uiPriority w:val="20"/>
    <w:qFormat/>
    <w:rsid w:val="004722A7"/>
    <w:rPr>
      <w:i/>
      <w:iCs/>
    </w:rPr>
  </w:style>
  <w:style w:type="paragraph" w:customStyle="1" w:styleId="Default">
    <w:name w:val="Default"/>
    <w:rsid w:val="00B85C16"/>
    <w:pPr>
      <w:autoSpaceDE w:val="0"/>
      <w:autoSpaceDN w:val="0"/>
      <w:adjustRightInd w:val="0"/>
      <w:spacing w:after="0" w:line="240" w:lineRule="auto"/>
    </w:pPr>
    <w:rPr>
      <w:rFonts w:ascii="Brother 1816" w:hAnsi="Brother 1816" w:cs="Brother 1816"/>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672">
      <w:bodyDiv w:val="1"/>
      <w:marLeft w:val="0"/>
      <w:marRight w:val="0"/>
      <w:marTop w:val="0"/>
      <w:marBottom w:val="0"/>
      <w:divBdr>
        <w:top w:val="none" w:sz="0" w:space="0" w:color="auto"/>
        <w:left w:val="none" w:sz="0" w:space="0" w:color="auto"/>
        <w:bottom w:val="none" w:sz="0" w:space="0" w:color="auto"/>
        <w:right w:val="none" w:sz="0" w:space="0" w:color="auto"/>
      </w:divBdr>
    </w:div>
    <w:div w:id="524102955">
      <w:bodyDiv w:val="1"/>
      <w:marLeft w:val="0"/>
      <w:marRight w:val="0"/>
      <w:marTop w:val="0"/>
      <w:marBottom w:val="0"/>
      <w:divBdr>
        <w:top w:val="none" w:sz="0" w:space="0" w:color="auto"/>
        <w:left w:val="none" w:sz="0" w:space="0" w:color="auto"/>
        <w:bottom w:val="none" w:sz="0" w:space="0" w:color="auto"/>
        <w:right w:val="none" w:sz="0" w:space="0" w:color="auto"/>
      </w:divBdr>
    </w:div>
    <w:div w:id="1292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flour.c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prouts.com/healthy-living/gluten-free-goodn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F0455E6678E546988FFE819493C859" ma:contentTypeVersion="16" ma:contentTypeDescription="Create a new document." ma:contentTypeScope="" ma:versionID="86f1d84e33779b83e2249e0d6ca9254b">
  <xsd:schema xmlns:xsd="http://www.w3.org/2001/XMLSchema" xmlns:xs="http://www.w3.org/2001/XMLSchema" xmlns:p="http://schemas.microsoft.com/office/2006/metadata/properties" xmlns:ns2="d9ede2f8-8520-407a-87f7-fa626073af79" xmlns:ns3="b7e14331-aaff-49a2-bc5d-c0c4e69976ff" targetNamespace="http://schemas.microsoft.com/office/2006/metadata/properties" ma:root="true" ma:fieldsID="3bc9898b141d5e474216c3a818febee7" ns2:_="" ns3:_="">
    <xsd:import namespace="d9ede2f8-8520-407a-87f7-fa626073af79"/>
    <xsd:import namespace="b7e14331-aaff-49a2-bc5d-c0c4e699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e2f8-8520-407a-87f7-fa626073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14331-aaff-49a2-bc5d-c0c4e69976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0ef20f-79ea-4406-99ef-4ad195fe3de3}" ma:internalName="TaxCatchAll" ma:showField="CatchAllData" ma:web="b7e14331-aaff-49a2-bc5d-c0c4e699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ede2f8-8520-407a-87f7-fa626073af79">
      <Terms xmlns="http://schemas.microsoft.com/office/infopath/2007/PartnerControls"/>
    </lcf76f155ced4ddcb4097134ff3c332f>
    <TaxCatchAll xmlns="b7e14331-aaff-49a2-bc5d-c0c4e69976ff" xsi:nil="true"/>
  </documentManagement>
</p:properties>
</file>

<file path=customXml/itemProps1.xml><?xml version="1.0" encoding="utf-8"?>
<ds:datastoreItem xmlns:ds="http://schemas.openxmlformats.org/officeDocument/2006/customXml" ds:itemID="{8380BAE4-FD1F-491B-BCE4-AC7EB0FE8ED2}">
  <ds:schemaRefs>
    <ds:schemaRef ds:uri="http://schemas.microsoft.com/sharepoint/v3/contenttype/forms"/>
  </ds:schemaRefs>
</ds:datastoreItem>
</file>

<file path=customXml/itemProps2.xml><?xml version="1.0" encoding="utf-8"?>
<ds:datastoreItem xmlns:ds="http://schemas.openxmlformats.org/officeDocument/2006/customXml" ds:itemID="{B0DF4E8B-74C2-45C9-A8E1-F82EA96B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e2f8-8520-407a-87f7-fa626073af79"/>
    <ds:schemaRef ds:uri="b7e14331-aaff-49a2-bc5d-c0c4e699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6C92A-72D9-4CC3-9B4F-8AFC6773B0ED}">
  <ds:schemaRefs>
    <ds:schemaRef ds:uri="http://schemas.openxmlformats.org/officeDocument/2006/bibliography"/>
  </ds:schemaRefs>
</ds:datastoreItem>
</file>

<file path=customXml/itemProps4.xml><?xml version="1.0" encoding="utf-8"?>
<ds:datastoreItem xmlns:ds="http://schemas.openxmlformats.org/officeDocument/2006/customXml" ds:itemID="{E3D91D03-1B09-4ECB-A48A-5BCF2F31A0BD}">
  <ds:schemaRefs>
    <ds:schemaRef ds:uri="http://schemas.microsoft.com/office/2006/metadata/properties"/>
    <ds:schemaRef ds:uri="http://schemas.microsoft.com/office/infopath/2007/PartnerControls"/>
    <ds:schemaRef ds:uri="d9ede2f8-8520-407a-87f7-fa626073af79"/>
    <ds:schemaRef ds:uri="b7e14331-aaff-49a2-bc5d-c0c4e69976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2022-11-08T16:24:00Z</dcterms:created>
  <dcterms:modified xsi:type="dcterms:W3CDTF">2023-02-22T22:00:00Z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0x010100CEF0455E6678E546988FFE819493C859</vt:lpwstr>
  </property>
  <property fmtid="{D5CDD505-2E9C-101B-9397-08002B2CF9AE}" pid="3" name="MediaServiceImageTags">
    <vt:lpwstr/>
  </property>
</Properties>
</file>