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0CFC" w14:textId="7957F0EF" w:rsidR="001F1529" w:rsidRDefault="001F1529"/>
    <w:p w14:paraId="7DD602D3" w14:textId="30B5B007" w:rsidR="001F1529" w:rsidRDefault="00AB6B04" w:rsidP="00AB6B04">
      <w:pPr>
        <w:jc w:val="center"/>
      </w:pPr>
      <w:r>
        <w:rPr>
          <w:noProof/>
        </w:rPr>
        <w:drawing>
          <wp:inline distT="0" distB="0" distL="0" distR="0" wp14:anchorId="40FC9F9E" wp14:editId="793FAE9D">
            <wp:extent cx="1672590" cy="155341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407" cy="1559749"/>
                    </a:xfrm>
                    <a:prstGeom prst="rect">
                      <a:avLst/>
                    </a:prstGeom>
                    <a:noFill/>
                    <a:ln>
                      <a:noFill/>
                    </a:ln>
                  </pic:spPr>
                </pic:pic>
              </a:graphicData>
            </a:graphic>
          </wp:inline>
        </w:drawing>
      </w:r>
    </w:p>
    <w:p w14:paraId="014DFE76" w14:textId="6247B302" w:rsidR="00753121" w:rsidRPr="00753121" w:rsidRDefault="007F5DC5" w:rsidP="00A42841">
      <w:pPr>
        <w:tabs>
          <w:tab w:val="right" w:pos="8640"/>
        </w:tabs>
        <w:spacing w:line="264" w:lineRule="auto"/>
        <w:jc w:val="center"/>
        <w:rPr>
          <w:rFonts w:ascii="Calibri" w:eastAsia="Calibri" w:hAnsi="Calibri" w:cs="Calibri"/>
          <w:b/>
          <w:sz w:val="28"/>
          <w:szCs w:val="32"/>
        </w:rPr>
      </w:pPr>
      <w:r w:rsidRPr="007F5DC5">
        <w:rPr>
          <w:rFonts w:ascii="Calibri" w:eastAsia="Calibri" w:hAnsi="Calibri" w:cs="Calibri"/>
          <w:b/>
          <w:sz w:val="28"/>
          <w:szCs w:val="32"/>
        </w:rPr>
        <w:t>The Good Flour Corp. Announces New Supply Agreement with North American Meat Processor; GFCO Gluten-Free Fried Chicken Mix Expands Presence in Booming Markets</w:t>
      </w:r>
      <w:r w:rsidR="003E4F88">
        <w:rPr>
          <w:rFonts w:ascii="Calibri" w:eastAsia="Calibri" w:hAnsi="Calibri" w:cs="Calibri"/>
          <w:b/>
          <w:sz w:val="28"/>
          <w:szCs w:val="32"/>
        </w:rPr>
        <w:br/>
      </w:r>
    </w:p>
    <w:p w14:paraId="28CAED72" w14:textId="5775AA9A" w:rsidR="00151AAE" w:rsidRPr="00BA0267" w:rsidRDefault="00046322" w:rsidP="00BA0267">
      <w:pPr>
        <w:jc w:val="both"/>
        <w:rPr>
          <w:rFonts w:ascii="Calibri" w:eastAsia="Times New Roman" w:hAnsi="Calibri" w:cs="Calibri"/>
          <w:color w:val="000000"/>
          <w:sz w:val="24"/>
          <w:szCs w:val="24"/>
        </w:rPr>
      </w:pPr>
      <w:r w:rsidRPr="00BA0267">
        <w:rPr>
          <w:rFonts w:ascii="Calibri" w:eastAsia="Calibri" w:hAnsi="Calibri" w:cs="Calibri"/>
          <w:b/>
          <w:sz w:val="24"/>
          <w:szCs w:val="24"/>
        </w:rPr>
        <w:t xml:space="preserve">VANCOUVER, BRITISH COLUMBIA </w:t>
      </w:r>
      <w:r w:rsidR="007D5EF7" w:rsidRPr="00BA0267">
        <w:rPr>
          <w:rFonts w:ascii="Calibri" w:eastAsia="Calibri" w:hAnsi="Calibri" w:cs="Calibri"/>
          <w:b/>
          <w:sz w:val="24"/>
          <w:szCs w:val="24"/>
        </w:rPr>
        <w:t>February</w:t>
      </w:r>
      <w:r w:rsidR="00804DAE" w:rsidRPr="00BA0267">
        <w:rPr>
          <w:rFonts w:ascii="Calibri" w:eastAsia="Calibri" w:hAnsi="Calibri" w:cs="Calibri"/>
          <w:b/>
          <w:sz w:val="24"/>
          <w:szCs w:val="24"/>
        </w:rPr>
        <w:t xml:space="preserve"> </w:t>
      </w:r>
      <w:r w:rsidR="003C7933">
        <w:rPr>
          <w:rFonts w:ascii="Calibri" w:eastAsia="Calibri" w:hAnsi="Calibri" w:cs="Calibri"/>
          <w:b/>
          <w:sz w:val="24"/>
          <w:szCs w:val="24"/>
        </w:rPr>
        <w:t>7</w:t>
      </w:r>
      <w:r w:rsidR="00804DAE" w:rsidRPr="00BA0267">
        <w:rPr>
          <w:rFonts w:ascii="Calibri" w:eastAsia="Calibri" w:hAnsi="Calibri" w:cs="Calibri"/>
          <w:b/>
          <w:sz w:val="24"/>
          <w:szCs w:val="24"/>
        </w:rPr>
        <w:t>, 2023</w:t>
      </w:r>
      <w:r w:rsidRPr="00BA0267">
        <w:rPr>
          <w:rFonts w:ascii="Calibri" w:eastAsia="Calibri" w:hAnsi="Calibri" w:cs="Calibri"/>
          <w:b/>
          <w:sz w:val="24"/>
          <w:szCs w:val="24"/>
        </w:rPr>
        <w:t xml:space="preserve"> – </w:t>
      </w:r>
      <w:r w:rsidR="00AB6B04" w:rsidRPr="00BA0267">
        <w:rPr>
          <w:rFonts w:ascii="Calibri" w:eastAsia="Calibri" w:hAnsi="Calibri" w:cs="Calibri"/>
          <w:b/>
          <w:sz w:val="24"/>
          <w:szCs w:val="24"/>
        </w:rPr>
        <w:t xml:space="preserve">The Good Flour Corp. </w:t>
      </w:r>
      <w:r w:rsidRPr="00BA0267">
        <w:rPr>
          <w:rFonts w:ascii="Calibri" w:eastAsia="Calibri" w:hAnsi="Calibri" w:cs="Calibri"/>
          <w:b/>
          <w:sz w:val="24"/>
          <w:szCs w:val="24"/>
        </w:rPr>
        <w:t>(</w:t>
      </w:r>
      <w:r w:rsidR="006E7B3B" w:rsidRPr="00BA0267">
        <w:rPr>
          <w:rFonts w:ascii="Calibri" w:eastAsia="Calibri" w:hAnsi="Calibri" w:cs="Calibri"/>
          <w:b/>
          <w:sz w:val="24"/>
          <w:szCs w:val="24"/>
        </w:rPr>
        <w:t>CSE</w:t>
      </w:r>
      <w:r w:rsidRPr="00BA0267">
        <w:rPr>
          <w:rFonts w:ascii="Calibri" w:eastAsia="Calibri" w:hAnsi="Calibri" w:cs="Calibri"/>
          <w:b/>
          <w:sz w:val="24"/>
          <w:szCs w:val="24"/>
        </w:rPr>
        <w:t xml:space="preserve">: </w:t>
      </w:r>
      <w:r w:rsidR="006E7B3B" w:rsidRPr="00BA0267">
        <w:rPr>
          <w:rFonts w:ascii="Calibri" w:eastAsia="Calibri" w:hAnsi="Calibri" w:cs="Calibri"/>
          <w:b/>
          <w:sz w:val="24"/>
          <w:szCs w:val="24"/>
        </w:rPr>
        <w:t>GFCO</w:t>
      </w:r>
      <w:r w:rsidRPr="00BA0267">
        <w:rPr>
          <w:rFonts w:ascii="Calibri" w:eastAsia="Calibri" w:hAnsi="Calibri" w:cs="Calibri"/>
          <w:b/>
          <w:sz w:val="24"/>
          <w:szCs w:val="24"/>
        </w:rPr>
        <w:t>) (OTC</w:t>
      </w:r>
      <w:r w:rsidR="007E4B23" w:rsidRPr="00BA0267">
        <w:rPr>
          <w:rFonts w:ascii="Calibri" w:eastAsia="Calibri" w:hAnsi="Calibri" w:cs="Calibri"/>
          <w:b/>
          <w:sz w:val="24"/>
          <w:szCs w:val="24"/>
        </w:rPr>
        <w:t>QB</w:t>
      </w:r>
      <w:r w:rsidRPr="00BA0267">
        <w:rPr>
          <w:rFonts w:ascii="Calibri" w:eastAsia="Calibri" w:hAnsi="Calibri" w:cs="Calibri"/>
          <w:b/>
          <w:sz w:val="24"/>
          <w:szCs w:val="24"/>
        </w:rPr>
        <w:t xml:space="preserve">: </w:t>
      </w:r>
      <w:r w:rsidR="00A42841" w:rsidRPr="00BA0267">
        <w:rPr>
          <w:rFonts w:ascii="Calibri" w:eastAsia="Calibri" w:hAnsi="Calibri" w:cs="Calibri"/>
          <w:b/>
          <w:sz w:val="24"/>
          <w:szCs w:val="24"/>
        </w:rPr>
        <w:t>GFCOF</w:t>
      </w:r>
      <w:r w:rsidRPr="00BA0267">
        <w:rPr>
          <w:rFonts w:ascii="Calibri" w:eastAsia="Calibri" w:hAnsi="Calibri" w:cs="Calibri"/>
          <w:b/>
          <w:sz w:val="24"/>
          <w:szCs w:val="24"/>
        </w:rPr>
        <w:t xml:space="preserve">) </w:t>
      </w:r>
      <w:r w:rsidR="00753121" w:rsidRPr="00BA0267">
        <w:rPr>
          <w:rFonts w:ascii="Calibri" w:eastAsia="Calibri" w:hAnsi="Calibri" w:cs="Calibri"/>
          <w:b/>
          <w:sz w:val="24"/>
          <w:szCs w:val="24"/>
        </w:rPr>
        <w:t xml:space="preserve">(FSE: 3KZ) </w:t>
      </w:r>
      <w:r w:rsidRPr="00BA0267">
        <w:rPr>
          <w:rFonts w:ascii="Calibri" w:eastAsia="Calibri" w:hAnsi="Calibri" w:cs="Calibri"/>
          <w:bCs/>
          <w:sz w:val="24"/>
          <w:szCs w:val="24"/>
        </w:rPr>
        <w:t>(“</w:t>
      </w:r>
      <w:r w:rsidR="00AB6B04" w:rsidRPr="00BA0267">
        <w:rPr>
          <w:rFonts w:ascii="Calibri" w:eastAsia="Calibri" w:hAnsi="Calibri" w:cs="Calibri"/>
          <w:b/>
          <w:sz w:val="24"/>
          <w:szCs w:val="24"/>
        </w:rPr>
        <w:t>GFCO</w:t>
      </w:r>
      <w:r w:rsidRPr="00BA0267">
        <w:rPr>
          <w:rFonts w:ascii="Calibri" w:eastAsia="Calibri" w:hAnsi="Calibri" w:cs="Calibri"/>
          <w:bCs/>
          <w:sz w:val="24"/>
          <w:szCs w:val="24"/>
        </w:rPr>
        <w:t xml:space="preserve">”) </w:t>
      </w:r>
      <w:r w:rsidR="00151AAE" w:rsidRPr="00BA0267">
        <w:rPr>
          <w:rFonts w:ascii="Calibri" w:eastAsia="Times New Roman" w:hAnsi="Calibri" w:cs="Calibri"/>
          <w:color w:val="000000"/>
          <w:sz w:val="24"/>
          <w:szCs w:val="24"/>
        </w:rPr>
        <w:t>today announced that GFCO has begun supplying a British Columbia-based meat processing plant (the “New Client”) with its GF (Gluten-Free) Chicken Coating Mix/Blend. The New Client is using the GFCO chicken mix for foods such as GF chicken wings, GF chicken tenders, and GF popcorn chicken.</w:t>
      </w:r>
    </w:p>
    <w:p w14:paraId="0C59B55D" w14:textId="0A851045" w:rsidR="00151AAE" w:rsidRPr="00BA0267" w:rsidRDefault="00151AAE" w:rsidP="00BA0267">
      <w:pPr>
        <w:jc w:val="both"/>
        <w:rPr>
          <w:rFonts w:ascii="Calibri" w:eastAsia="Times New Roman" w:hAnsi="Calibri" w:cs="Calibri"/>
          <w:color w:val="000000"/>
          <w:sz w:val="24"/>
          <w:szCs w:val="24"/>
        </w:rPr>
      </w:pPr>
      <w:r w:rsidRPr="00BA0267">
        <w:rPr>
          <w:rFonts w:ascii="Calibri" w:eastAsia="Times New Roman" w:hAnsi="Calibri" w:cs="Calibri"/>
          <w:color w:val="000000"/>
          <w:sz w:val="24"/>
          <w:szCs w:val="24"/>
        </w:rPr>
        <w:t xml:space="preserve">The New Client </w:t>
      </w:r>
      <w:r w:rsidR="003C7933">
        <w:rPr>
          <w:rFonts w:ascii="Calibri" w:eastAsia="Times New Roman" w:hAnsi="Calibri" w:cs="Calibri"/>
          <w:color w:val="000000"/>
          <w:sz w:val="24"/>
          <w:szCs w:val="24"/>
        </w:rPr>
        <w:t xml:space="preserve">has </w:t>
      </w:r>
      <w:r w:rsidRPr="00BA0267">
        <w:rPr>
          <w:rFonts w:ascii="Calibri" w:eastAsia="Times New Roman" w:hAnsi="Calibri" w:cs="Calibri"/>
          <w:color w:val="000000"/>
          <w:sz w:val="24"/>
          <w:szCs w:val="24"/>
        </w:rPr>
        <w:t>a federally inspected Canadian facility, a key designation as it permits cross-border commerce to the U.S.</w:t>
      </w:r>
      <w:r w:rsidR="00090B52">
        <w:rPr>
          <w:rFonts w:ascii="Calibri" w:eastAsia="Times New Roman" w:hAnsi="Calibri" w:cs="Calibri"/>
          <w:color w:val="000000"/>
          <w:sz w:val="24"/>
          <w:szCs w:val="24"/>
        </w:rPr>
        <w:t>,</w:t>
      </w:r>
      <w:r w:rsidRPr="00BA0267">
        <w:rPr>
          <w:rFonts w:ascii="Calibri" w:eastAsia="Times New Roman" w:hAnsi="Calibri" w:cs="Calibri"/>
          <w:color w:val="000000"/>
          <w:sz w:val="24"/>
          <w:szCs w:val="24"/>
        </w:rPr>
        <w:t xml:space="preserve"> in addition to sales throughout Canada. The new supply agreement exemplifies GFCO’s sales channel diversity and further deepens GFCO’s foothold in the robust gluten- and allergen-free food space and thriving chicken market.</w:t>
      </w:r>
    </w:p>
    <w:p w14:paraId="6330CB8A" w14:textId="77777777" w:rsidR="00151AAE" w:rsidRPr="00BA0267" w:rsidRDefault="00151AAE" w:rsidP="00BA0267">
      <w:pPr>
        <w:jc w:val="both"/>
        <w:rPr>
          <w:rFonts w:ascii="Calibri" w:eastAsia="Times New Roman" w:hAnsi="Calibri" w:cs="Calibri"/>
          <w:color w:val="000000"/>
          <w:sz w:val="24"/>
          <w:szCs w:val="24"/>
        </w:rPr>
      </w:pPr>
      <w:r w:rsidRPr="00BA0267">
        <w:rPr>
          <w:rFonts w:ascii="Calibri" w:eastAsia="Times New Roman" w:hAnsi="Calibri" w:cs="Calibri"/>
          <w:color w:val="000000"/>
          <w:sz w:val="24"/>
          <w:szCs w:val="24"/>
        </w:rPr>
        <w:t xml:space="preserve">According to </w:t>
      </w:r>
      <w:hyperlink r:id="rId12" w:history="1">
        <w:r w:rsidRPr="00BA0267">
          <w:rPr>
            <w:rStyle w:val="Hyperlink"/>
            <w:rFonts w:ascii="Calibri" w:eastAsia="Times New Roman" w:hAnsi="Calibri" w:cs="Calibri"/>
            <w:sz w:val="24"/>
            <w:szCs w:val="24"/>
          </w:rPr>
          <w:t>Grandview Research</w:t>
        </w:r>
      </w:hyperlink>
      <w:r w:rsidRPr="00BA0267">
        <w:rPr>
          <w:rFonts w:ascii="Calibri" w:eastAsia="Times New Roman" w:hAnsi="Calibri" w:cs="Calibri"/>
          <w:color w:val="000000"/>
          <w:sz w:val="24"/>
          <w:szCs w:val="24"/>
        </w:rPr>
        <w:t xml:space="preserve">, the global gluten-free products market size is expected to grow at a compound annual growth rate (CAGR) of 9.8% from 2022 to reach $13.7 billion by 2030. Despite chicken prices soaring in the first half of 2022, American’s hunger for chicken remained strong, with </w:t>
      </w:r>
      <w:hyperlink r:id="rId13" w:history="1">
        <w:r w:rsidRPr="00BA0267">
          <w:rPr>
            <w:rStyle w:val="Hyperlink"/>
            <w:rFonts w:ascii="Calibri" w:eastAsia="Times New Roman" w:hAnsi="Calibri" w:cs="Calibri"/>
            <w:sz w:val="24"/>
            <w:szCs w:val="24"/>
          </w:rPr>
          <w:t>$2.4 billion</w:t>
        </w:r>
      </w:hyperlink>
      <w:r w:rsidRPr="00BA0267">
        <w:rPr>
          <w:rFonts w:ascii="Calibri" w:eastAsia="Times New Roman" w:hAnsi="Calibri" w:cs="Calibri"/>
          <w:color w:val="000000"/>
          <w:sz w:val="24"/>
          <w:szCs w:val="24"/>
        </w:rPr>
        <w:t xml:space="preserve"> spent in the second quarter to buy 678 million breaded chicken sandwiches, up 3 percent from the first quarter of the year. In that industry segment, analysts at </w:t>
      </w:r>
      <w:hyperlink r:id="rId14" w:history="1">
        <w:r w:rsidRPr="00BA0267">
          <w:rPr>
            <w:rStyle w:val="Hyperlink"/>
            <w:rFonts w:ascii="Calibri" w:eastAsia="Times New Roman" w:hAnsi="Calibri" w:cs="Calibri"/>
            <w:sz w:val="24"/>
            <w:szCs w:val="24"/>
          </w:rPr>
          <w:t>Technavio</w:t>
        </w:r>
      </w:hyperlink>
      <w:r w:rsidRPr="00BA0267">
        <w:rPr>
          <w:rFonts w:ascii="Calibri" w:eastAsia="Times New Roman" w:hAnsi="Calibri" w:cs="Calibri"/>
          <w:color w:val="000000"/>
          <w:sz w:val="24"/>
          <w:szCs w:val="24"/>
        </w:rPr>
        <w:t xml:space="preserve"> forecast the global take-out fried chicken market to experience a 5.32% CAGR to add $1.92 billion in market value from 2021 to 2026.</w:t>
      </w:r>
    </w:p>
    <w:p w14:paraId="5097E217" w14:textId="77777777" w:rsidR="00151AAE" w:rsidRPr="00BA0267" w:rsidRDefault="00151AAE" w:rsidP="00BA0267">
      <w:pPr>
        <w:jc w:val="both"/>
        <w:rPr>
          <w:rFonts w:ascii="Calibri" w:eastAsia="Times New Roman" w:hAnsi="Calibri" w:cs="Calibri"/>
          <w:color w:val="000000"/>
          <w:sz w:val="24"/>
          <w:szCs w:val="24"/>
        </w:rPr>
      </w:pPr>
      <w:r w:rsidRPr="00BA0267">
        <w:rPr>
          <w:rFonts w:ascii="Calibri" w:eastAsia="Times New Roman" w:hAnsi="Calibri" w:cs="Calibri"/>
          <w:color w:val="000000"/>
          <w:sz w:val="24"/>
          <w:szCs w:val="24"/>
        </w:rPr>
        <w:t xml:space="preserve">The New Client joins a growing portfolio of partners already purveying GFCO products, including distributors like Gordon Food Services and popular restaurants such as </w:t>
      </w:r>
      <w:hyperlink r:id="rId15" w:history="1">
        <w:r w:rsidRPr="00BA0267">
          <w:rPr>
            <w:rStyle w:val="Hyperlink"/>
            <w:rFonts w:ascii="Calibri" w:eastAsia="Times New Roman" w:hAnsi="Calibri" w:cs="Calibri"/>
            <w:sz w:val="24"/>
            <w:szCs w:val="24"/>
          </w:rPr>
          <w:t>Earls Kitchen &amp; Bar</w:t>
        </w:r>
      </w:hyperlink>
      <w:r w:rsidRPr="00BA0267">
        <w:rPr>
          <w:rFonts w:ascii="Calibri" w:eastAsia="Times New Roman" w:hAnsi="Calibri" w:cs="Calibri"/>
          <w:color w:val="000000"/>
          <w:sz w:val="24"/>
          <w:szCs w:val="24"/>
        </w:rPr>
        <w:t xml:space="preserve">. GFCO chicken mix was recently featured in an article in </w:t>
      </w:r>
      <w:hyperlink r:id="rId16" w:history="1">
        <w:r w:rsidRPr="00BA0267">
          <w:rPr>
            <w:rStyle w:val="Hyperlink"/>
            <w:rFonts w:ascii="Calibri" w:eastAsia="Times New Roman" w:hAnsi="Calibri" w:cs="Calibri"/>
            <w:sz w:val="24"/>
            <w:szCs w:val="24"/>
          </w:rPr>
          <w:t>Vancouver Magazine</w:t>
        </w:r>
      </w:hyperlink>
      <w:r w:rsidRPr="00BA0267">
        <w:rPr>
          <w:rFonts w:ascii="Calibri" w:eastAsia="Times New Roman" w:hAnsi="Calibri" w:cs="Calibri"/>
          <w:color w:val="000000"/>
          <w:sz w:val="24"/>
          <w:szCs w:val="24"/>
        </w:rPr>
        <w:t xml:space="preserve"> titled, “Best Thing I Ate All Week: (Gluten-Free!) Fried Chicken from Maxine’s Cafe and Bar,” during which the author raved about the gluten-free fried chicken served at Maxine’s on Burrard Street in Vancouver made from the GFCO product.</w:t>
      </w:r>
    </w:p>
    <w:p w14:paraId="60ECAEA6" w14:textId="2DCDE961" w:rsidR="00151AAE" w:rsidRPr="00BA0267" w:rsidRDefault="00151AAE" w:rsidP="00BA0267">
      <w:pPr>
        <w:jc w:val="both"/>
        <w:rPr>
          <w:rFonts w:ascii="Calibri" w:eastAsia="Times New Roman" w:hAnsi="Calibri" w:cs="Calibri"/>
          <w:color w:val="000000"/>
          <w:sz w:val="24"/>
          <w:szCs w:val="24"/>
        </w:rPr>
      </w:pPr>
      <w:r w:rsidRPr="00BA0267">
        <w:rPr>
          <w:rFonts w:ascii="Calibri" w:eastAsia="Times New Roman" w:hAnsi="Calibri" w:cs="Calibri"/>
          <w:color w:val="000000"/>
          <w:sz w:val="24"/>
          <w:szCs w:val="24"/>
        </w:rPr>
        <w:t xml:space="preserve">“This is a fantastic growth opportunity for GFCO and further reinforces that our investment in a new, scalable production plant and automation equipment to efficiently formulate and manufacture certified GF and allergen-free mixes was a prescient business strategy last year,” said Matthew Clayton, Chief Executive Officer of GFCO. “In collaboration with </w:t>
      </w:r>
      <w:r w:rsidR="001D75E9" w:rsidRPr="00BA0267">
        <w:rPr>
          <w:rFonts w:ascii="Calibri" w:eastAsia="Times New Roman" w:hAnsi="Calibri" w:cs="Calibri"/>
          <w:color w:val="000000"/>
          <w:sz w:val="24"/>
          <w:szCs w:val="24"/>
        </w:rPr>
        <w:t>ou</w:t>
      </w:r>
      <w:r w:rsidR="001D75E9">
        <w:rPr>
          <w:rFonts w:ascii="Calibri" w:eastAsia="Times New Roman" w:hAnsi="Calibri" w:cs="Calibri"/>
          <w:color w:val="000000"/>
          <w:sz w:val="24"/>
          <w:szCs w:val="24"/>
        </w:rPr>
        <w:t>r</w:t>
      </w:r>
      <w:r w:rsidR="001D75E9" w:rsidRPr="00BA0267">
        <w:rPr>
          <w:rFonts w:ascii="Calibri" w:eastAsia="Times New Roman" w:hAnsi="Calibri" w:cs="Calibri"/>
          <w:color w:val="000000"/>
          <w:sz w:val="24"/>
          <w:szCs w:val="24"/>
        </w:rPr>
        <w:t xml:space="preserve"> </w:t>
      </w:r>
      <w:r w:rsidRPr="00BA0267">
        <w:rPr>
          <w:rFonts w:ascii="Calibri" w:eastAsia="Times New Roman" w:hAnsi="Calibri" w:cs="Calibri"/>
          <w:color w:val="000000"/>
          <w:sz w:val="24"/>
          <w:szCs w:val="24"/>
        </w:rPr>
        <w:t>consultants and advisors, we remain extremely active in pursuing similar coating opportunities across North America for not only chicken, but also other meats, fish, and plant-based products. While we are thrilled with the new supply agreement, we are confident that we are only scratching the surface of the potential market share we can capture in the food processing space.”</w:t>
      </w:r>
    </w:p>
    <w:p w14:paraId="4CD4BC2C" w14:textId="77777777" w:rsidR="00BA0267" w:rsidRDefault="00BA0267" w:rsidP="008E419A">
      <w:pPr>
        <w:pBdr>
          <w:top w:val="nil"/>
          <w:left w:val="nil"/>
          <w:bottom w:val="nil"/>
          <w:right w:val="nil"/>
          <w:between w:val="nil"/>
        </w:pBdr>
        <w:rPr>
          <w:rFonts w:ascii="Calibri" w:eastAsia="Calibri" w:hAnsi="Calibri" w:cs="Calibri"/>
          <w:b/>
          <w:color w:val="000000"/>
          <w:sz w:val="24"/>
          <w:szCs w:val="24"/>
        </w:rPr>
      </w:pPr>
    </w:p>
    <w:p w14:paraId="213DAA67" w14:textId="18F6BD9C" w:rsidR="00AD3858" w:rsidRDefault="00AD3858" w:rsidP="008E419A">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lastRenderedPageBreak/>
        <w:t>About The Good Flour Corp.</w:t>
      </w:r>
    </w:p>
    <w:p w14:paraId="12C3B7F3" w14:textId="051906C4" w:rsidR="00AA5BFD" w:rsidRDefault="00AA5BFD" w:rsidP="008E419A">
      <w:pPr>
        <w:pBdr>
          <w:top w:val="nil"/>
          <w:left w:val="nil"/>
          <w:bottom w:val="nil"/>
          <w:right w:val="nil"/>
          <w:between w:val="nil"/>
        </w:pBdr>
        <w:jc w:val="both"/>
        <w:rPr>
          <w:sz w:val="24"/>
          <w:szCs w:val="24"/>
        </w:rPr>
      </w:pPr>
      <w:r>
        <w:rPr>
          <w:sz w:val="24"/>
          <w:szCs w:val="24"/>
        </w:rPr>
        <w:t>GFCO’s</w:t>
      </w:r>
      <w:r w:rsidRPr="00AA5BFD">
        <w:rPr>
          <w:sz w:val="24"/>
          <w:szCs w:val="24"/>
        </w:rPr>
        <w:t xml:space="preserve"> mission is to provide a gluten-free, allergen free, hassle-free all-purpose baking flour </w:t>
      </w:r>
      <w:bookmarkStart w:id="0" w:name="_Hlk87089250"/>
      <w:r w:rsidRPr="00AA5BFD">
        <w:rPr>
          <w:sz w:val="24"/>
          <w:szCs w:val="24"/>
        </w:rPr>
        <w:t>blend that allow</w:t>
      </w:r>
      <w:r>
        <w:rPr>
          <w:sz w:val="24"/>
          <w:szCs w:val="24"/>
        </w:rPr>
        <w:t>s</w:t>
      </w:r>
      <w:r w:rsidRPr="00AA5BFD">
        <w:rPr>
          <w:sz w:val="24"/>
          <w:szCs w:val="24"/>
        </w:rPr>
        <w:t xml:space="preserve"> individuals with gluten and other food allergies to enjoy life without giving up their favorite foods or settling for low-quality alternatives. </w:t>
      </w:r>
      <w:bookmarkEnd w:id="0"/>
      <w:r w:rsidR="00A40A66">
        <w:rPr>
          <w:sz w:val="24"/>
          <w:szCs w:val="24"/>
        </w:rPr>
        <w:t>GFCO</w:t>
      </w:r>
      <w:r w:rsidRPr="00AA5BFD">
        <w:rPr>
          <w:sz w:val="24"/>
          <w:szCs w:val="24"/>
        </w:rPr>
        <w:t xml:space="preserve"> also provides gluten and allergen free fried chicken batter, fish &amp; chip batter, pizza &amp; pasta mix, tempura batter, pancake and waffle blend, cake mix and pizza crusts.</w:t>
      </w:r>
    </w:p>
    <w:p w14:paraId="55BF015E" w14:textId="2E126544" w:rsidR="00AD3858" w:rsidRDefault="00AD3858" w:rsidP="008E419A">
      <w:pPr>
        <w:pBdr>
          <w:top w:val="nil"/>
          <w:left w:val="nil"/>
          <w:bottom w:val="nil"/>
          <w:right w:val="nil"/>
          <w:between w:val="nil"/>
        </w:pBdr>
        <w:jc w:val="both"/>
        <w:rPr>
          <w:rFonts w:ascii="Calibri" w:eastAsia="Calibri" w:hAnsi="Calibri" w:cs="Calibri"/>
          <w:color w:val="000000"/>
          <w:sz w:val="24"/>
          <w:szCs w:val="24"/>
        </w:rPr>
      </w:pPr>
      <w:r>
        <w:rPr>
          <w:sz w:val="24"/>
          <w:szCs w:val="24"/>
        </w:rPr>
        <w:t xml:space="preserve">For additional information on The Good Flour Corp. please refer to </w:t>
      </w:r>
      <w:hyperlink r:id="rId17" w:history="1">
        <w:r w:rsidRPr="00AA3576">
          <w:rPr>
            <w:rStyle w:val="Hyperlink"/>
            <w:rFonts w:ascii="Calibri" w:eastAsia="Calibri" w:hAnsi="Calibri" w:cs="Calibri"/>
            <w:sz w:val="24"/>
            <w:szCs w:val="24"/>
          </w:rPr>
          <w:t>www.goodflour.co</w:t>
        </w:r>
      </w:hyperlink>
      <w:r>
        <w:rPr>
          <w:rFonts w:ascii="Calibri" w:eastAsia="Calibri" w:hAnsi="Calibri" w:cs="Calibri"/>
          <w:color w:val="0000FF"/>
          <w:sz w:val="24"/>
          <w:szCs w:val="24"/>
        </w:rPr>
        <w:t>.</w:t>
      </w:r>
    </w:p>
    <w:p w14:paraId="1047C3A2" w14:textId="77777777" w:rsidR="001F1529" w:rsidRDefault="00046322" w:rsidP="004722A7">
      <w:pPr>
        <w:keepNext/>
        <w:keepLines/>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Company Contact</w:t>
      </w:r>
    </w:p>
    <w:p w14:paraId="2C28CC89" w14:textId="3654E552" w:rsidR="001F1529" w:rsidRDefault="00046322" w:rsidP="004722A7">
      <w:pPr>
        <w:keepNext/>
        <w:keepLines/>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w:t>
      </w:r>
      <w:r w:rsidR="00D6234C">
        <w:rPr>
          <w:rFonts w:ascii="Calibri" w:eastAsia="Calibri" w:hAnsi="Calibri" w:cs="Calibri"/>
          <w:color w:val="000000"/>
          <w:sz w:val="24"/>
          <w:szCs w:val="24"/>
        </w:rPr>
        <w:t>vestors</w:t>
      </w:r>
      <w:r>
        <w:rPr>
          <w:rFonts w:ascii="Calibri" w:eastAsia="Calibri" w:hAnsi="Calibri" w:cs="Calibri"/>
          <w:color w:val="000000"/>
          <w:sz w:val="24"/>
          <w:szCs w:val="24"/>
        </w:rPr>
        <w:t>@</w:t>
      </w:r>
      <w:r w:rsidR="00CA78FB">
        <w:rPr>
          <w:rFonts w:ascii="Calibri" w:eastAsia="Calibri" w:hAnsi="Calibri" w:cs="Calibri"/>
          <w:color w:val="000000"/>
          <w:sz w:val="24"/>
          <w:szCs w:val="24"/>
        </w:rPr>
        <w:t>goodflour</w:t>
      </w:r>
      <w:r>
        <w:rPr>
          <w:rFonts w:ascii="Calibri" w:eastAsia="Calibri" w:hAnsi="Calibri" w:cs="Calibri"/>
          <w:color w:val="000000"/>
          <w:sz w:val="24"/>
          <w:szCs w:val="24"/>
        </w:rPr>
        <w:t>.co</w:t>
      </w:r>
      <w:r>
        <w:rPr>
          <w:rFonts w:ascii="Calibri" w:eastAsia="Calibri" w:hAnsi="Calibri" w:cs="Calibri"/>
          <w:color w:val="000000"/>
          <w:sz w:val="24"/>
          <w:szCs w:val="24"/>
        </w:rPr>
        <w:br/>
        <w:t>604-</w:t>
      </w:r>
      <w:r w:rsidR="00D6234C">
        <w:rPr>
          <w:rFonts w:ascii="Calibri" w:eastAsia="Calibri" w:hAnsi="Calibri" w:cs="Calibri"/>
          <w:color w:val="000000"/>
          <w:sz w:val="24"/>
          <w:szCs w:val="24"/>
        </w:rPr>
        <w:t>423-4400</w:t>
      </w:r>
    </w:p>
    <w:p w14:paraId="343B5D77" w14:textId="77777777" w:rsidR="001F1529" w:rsidRDefault="00046322">
      <w:pPr>
        <w:keepNext/>
        <w:keepLines/>
        <w:rPr>
          <w:rFonts w:ascii="Calibri" w:eastAsia="Calibri" w:hAnsi="Calibri" w:cs="Calibri"/>
          <w:color w:val="000000"/>
          <w:sz w:val="24"/>
          <w:szCs w:val="24"/>
        </w:rPr>
      </w:pPr>
      <w:r>
        <w:rPr>
          <w:rFonts w:ascii="Calibri" w:eastAsia="Calibri" w:hAnsi="Calibri" w:cs="Calibri"/>
          <w:b/>
          <w:color w:val="000000"/>
          <w:sz w:val="24"/>
          <w:szCs w:val="24"/>
        </w:rPr>
        <w:t xml:space="preserve">Cautionary Note Regarding Forward-Looking Information  </w:t>
      </w:r>
    </w:p>
    <w:p w14:paraId="647D72D3" w14:textId="3F862077" w:rsidR="001F1529" w:rsidRDefault="00046322" w:rsidP="005B627C">
      <w:pPr>
        <w:keepNext/>
        <w:keepLines/>
        <w:jc w:val="both"/>
        <w:rPr>
          <w:rFonts w:ascii="Calibri" w:eastAsia="Calibri" w:hAnsi="Calibri" w:cs="Calibri"/>
          <w:color w:val="000000"/>
          <w:sz w:val="24"/>
          <w:szCs w:val="24"/>
        </w:rPr>
      </w:pPr>
      <w:r>
        <w:rPr>
          <w:rFonts w:ascii="Calibri" w:eastAsia="Calibri" w:hAnsi="Calibri" w:cs="Calibri"/>
          <w:color w:val="000000"/>
          <w:sz w:val="24"/>
          <w:szCs w:val="24"/>
        </w:rPr>
        <w:t xml:space="preserve">This news release contains "forward-looking information" concerning anticipated developments and events related to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w:t>
      </w:r>
      <w:r>
        <w:rPr>
          <w:rFonts w:ascii="Calibri" w:eastAsia="Calibri" w:hAnsi="Calibri" w:cs="Calibri"/>
          <w:sz w:val="24"/>
          <w:szCs w:val="24"/>
        </w:rPr>
        <w:t>that may occur in the future</w:t>
      </w:r>
      <w:r>
        <w:rPr>
          <w:rFonts w:ascii="Calibri" w:eastAsia="Calibri" w:hAnsi="Calibri" w:cs="Calibri"/>
          <w:color w:val="000000"/>
          <w:sz w:val="24"/>
          <w:szCs w:val="24"/>
        </w:rPr>
        <w:t>. Forward looking information contained in this news release includes, but is not limited to, statements with respect to</w:t>
      </w:r>
      <w:r w:rsidR="009C380D">
        <w:rPr>
          <w:rFonts w:ascii="Calibri" w:eastAsia="Calibri" w:hAnsi="Calibri" w:cs="Calibri"/>
          <w:color w:val="000000"/>
          <w:sz w:val="24"/>
          <w:szCs w:val="24"/>
        </w:rPr>
        <w:t xml:space="preserve"> d</w:t>
      </w:r>
      <w:r w:rsidR="005B627C" w:rsidRPr="005B627C">
        <w:rPr>
          <w:rFonts w:ascii="Calibri" w:eastAsia="Calibri" w:hAnsi="Calibri" w:cs="Calibri"/>
          <w:color w:val="000000"/>
          <w:sz w:val="24"/>
          <w:szCs w:val="24"/>
        </w:rPr>
        <w:t>emand for GFCO’s products</w:t>
      </w:r>
      <w:r w:rsidR="005B627C">
        <w:rPr>
          <w:rFonts w:ascii="Calibri" w:eastAsia="Calibri" w:hAnsi="Calibri" w:cs="Calibri"/>
          <w:color w:val="000000"/>
          <w:sz w:val="24"/>
          <w:szCs w:val="24"/>
        </w:rPr>
        <w:t>,</w:t>
      </w:r>
      <w:r w:rsidR="009C380D">
        <w:rPr>
          <w:rFonts w:ascii="Calibri" w:eastAsia="Calibri" w:hAnsi="Calibri" w:cs="Calibri"/>
          <w:color w:val="000000"/>
          <w:sz w:val="24"/>
          <w:szCs w:val="24"/>
        </w:rPr>
        <w:t xml:space="preserve"> </w:t>
      </w:r>
      <w:r w:rsidR="00695C76">
        <w:rPr>
          <w:rFonts w:ascii="Calibri" w:eastAsia="Calibri" w:hAnsi="Calibri" w:cs="Calibri"/>
          <w:color w:val="000000"/>
          <w:sz w:val="24"/>
          <w:szCs w:val="24"/>
        </w:rPr>
        <w:t xml:space="preserve">benefits of the </w:t>
      </w:r>
      <w:r w:rsidR="001D75E9">
        <w:rPr>
          <w:rFonts w:ascii="Calibri" w:eastAsia="Calibri" w:hAnsi="Calibri" w:cs="Calibri"/>
          <w:color w:val="000000"/>
          <w:sz w:val="24"/>
          <w:szCs w:val="24"/>
        </w:rPr>
        <w:t xml:space="preserve">arrangement with the New Client, future coating opportunities </w:t>
      </w:r>
      <w:r w:rsidR="00695C76">
        <w:rPr>
          <w:rFonts w:ascii="Calibri" w:eastAsia="Calibri" w:hAnsi="Calibri" w:cs="Calibri"/>
          <w:color w:val="000000"/>
          <w:sz w:val="24"/>
          <w:szCs w:val="24"/>
        </w:rPr>
        <w:t>and</w:t>
      </w:r>
      <w:r>
        <w:rPr>
          <w:rFonts w:ascii="Calibri" w:eastAsia="Calibri" w:hAnsi="Calibri" w:cs="Calibri"/>
          <w:color w:val="000000"/>
          <w:sz w:val="24"/>
          <w:szCs w:val="24"/>
        </w:rPr>
        <w:t xml:space="preserve"> </w:t>
      </w:r>
      <w:r w:rsidR="00A40A66">
        <w:rPr>
          <w:rFonts w:ascii="Calibri" w:eastAsia="Calibri" w:hAnsi="Calibri" w:cs="Calibri"/>
          <w:color w:val="000000"/>
          <w:sz w:val="24"/>
          <w:szCs w:val="24"/>
        </w:rPr>
        <w:t>GFCO</w:t>
      </w:r>
      <w:r>
        <w:rPr>
          <w:rFonts w:ascii="Calibri" w:eastAsia="Calibri" w:hAnsi="Calibri" w:cs="Calibri"/>
          <w:color w:val="000000"/>
          <w:sz w:val="24"/>
          <w:szCs w:val="24"/>
        </w:rPr>
        <w:t>’s future</w:t>
      </w:r>
      <w:r w:rsidR="009E2DEF">
        <w:rPr>
          <w:rFonts w:ascii="Calibri" w:eastAsia="Calibri" w:hAnsi="Calibri" w:cs="Calibri"/>
          <w:color w:val="000000"/>
          <w:sz w:val="24"/>
          <w:szCs w:val="24"/>
        </w:rPr>
        <w:t xml:space="preserve"> sales and</w:t>
      </w:r>
      <w:r>
        <w:rPr>
          <w:rFonts w:ascii="Calibri" w:eastAsia="Calibri" w:hAnsi="Calibri" w:cs="Calibri"/>
          <w:color w:val="000000"/>
          <w:sz w:val="24"/>
          <w:szCs w:val="24"/>
        </w:rPr>
        <w:t xml:space="preserve"> business objectives</w:t>
      </w:r>
      <w:r w:rsidR="00A40A66">
        <w:rPr>
          <w:rFonts w:ascii="Calibri" w:eastAsia="Calibri" w:hAnsi="Calibri" w:cs="Calibri"/>
          <w:color w:val="000000"/>
          <w:sz w:val="24"/>
          <w:szCs w:val="24"/>
        </w:rPr>
        <w:t>.</w:t>
      </w:r>
    </w:p>
    <w:p w14:paraId="3BAAE544" w14:textId="1372B393"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bookmarkStart w:id="1" w:name="_1fob9te" w:colFirst="0" w:colLast="0"/>
      <w:bookmarkEnd w:id="1"/>
      <w:r>
        <w:rPr>
          <w:rFonts w:ascii="Calibri" w:eastAsia="Calibri" w:hAnsi="Calibri" w:cs="Calibri"/>
          <w:color w:val="000000"/>
          <w:sz w:val="24"/>
          <w:szCs w:val="24"/>
        </w:rPr>
        <w:t xml:space="preserve">In certain cases, forward-looking information can be identified by the use of words such as "expects", "intends", "anticipates" or variations of such words and phrases or state that certain actions, events or results "may", "would", or "might" suggesting future outcomes, or other expectations, assumptions, intentions or statements about future events or performance. Forward-looking information contained in this news release is based on certain factors and assumptions regarding, among other things, </w:t>
      </w:r>
      <w:r>
        <w:rPr>
          <w:rFonts w:ascii="Calibri" w:eastAsia="Calibri" w:hAnsi="Calibri" w:cs="Calibri"/>
          <w:sz w:val="24"/>
          <w:szCs w:val="24"/>
        </w:rPr>
        <w:t>the timely receipt of regulatory approvals</w:t>
      </w:r>
      <w:r w:rsidR="00E813EF">
        <w:rPr>
          <w:rFonts w:ascii="Calibri" w:eastAsia="Calibri" w:hAnsi="Calibri" w:cs="Calibri"/>
          <w:sz w:val="24"/>
          <w:szCs w:val="24"/>
        </w:rPr>
        <w:t xml:space="preserve">; the ability to source ingredients; the ability to attract qualified management and staff; </w:t>
      </w:r>
      <w:r w:rsidR="00E813EF" w:rsidRPr="00E813EF">
        <w:rPr>
          <w:rFonts w:ascii="Calibri" w:eastAsia="Calibri" w:hAnsi="Calibri" w:cs="Calibri"/>
          <w:color w:val="000000"/>
          <w:sz w:val="24"/>
          <w:szCs w:val="24"/>
        </w:rPr>
        <w:t>the ability to effectively expand manufacturing and production capacity</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success of market initiatives and the ability to grow brand awareness</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ability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the ability to attract, maintain and expand relationships with key strategic restaurant and food service partners</w:t>
      </w:r>
      <w:r w:rsidR="00E813EF">
        <w:rPr>
          <w:rFonts w:ascii="Calibri" w:eastAsia="Calibri" w:hAnsi="Calibri" w:cs="Calibri"/>
          <w:color w:val="000000"/>
          <w:sz w:val="24"/>
          <w:szCs w:val="24"/>
        </w:rPr>
        <w:t xml:space="preserve"> and </w:t>
      </w:r>
      <w:r w:rsidR="00A40A66">
        <w:rPr>
          <w:rFonts w:ascii="Calibri" w:eastAsia="Calibri" w:hAnsi="Calibri" w:cs="Calibri"/>
          <w:color w:val="000000"/>
          <w:sz w:val="24"/>
          <w:szCs w:val="24"/>
        </w:rPr>
        <w:t>GFCO</w:t>
      </w:r>
      <w:r w:rsidR="00E813EF">
        <w:rPr>
          <w:rFonts w:ascii="Calibri" w:eastAsia="Calibri" w:hAnsi="Calibri" w:cs="Calibri"/>
          <w:color w:val="000000"/>
          <w:sz w:val="24"/>
          <w:szCs w:val="24"/>
        </w:rPr>
        <w:t xml:space="preserve"> will continue to have access to financing until it achieves profitability</w:t>
      </w:r>
      <w:r>
        <w:rPr>
          <w:rFonts w:ascii="Calibri" w:eastAsia="Calibri" w:hAnsi="Calibri" w:cs="Calibri"/>
          <w:sz w:val="24"/>
          <w:szCs w:val="24"/>
        </w:rPr>
        <w:t xml:space="preserve">. While </w:t>
      </w:r>
      <w:r w:rsidR="00A40A66">
        <w:rPr>
          <w:rFonts w:ascii="Calibri" w:eastAsia="Calibri" w:hAnsi="Calibri" w:cs="Calibri"/>
          <w:sz w:val="24"/>
          <w:szCs w:val="24"/>
        </w:rPr>
        <w:t>GFCO</w:t>
      </w:r>
      <w:r>
        <w:rPr>
          <w:rFonts w:ascii="Calibri" w:eastAsia="Calibri" w:hAnsi="Calibri" w:cs="Calibri"/>
          <w:sz w:val="24"/>
          <w:szCs w:val="24"/>
        </w:rPr>
        <w:t xml:space="preserve"> considers these assumptions to be reasonable, they may be incorrect.</w:t>
      </w:r>
    </w:p>
    <w:p w14:paraId="262A28AA" w14:textId="22101EB6"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Forward looking information involves known and unknown risks, uncertainties and other factors which may cause the actual results to be materially different from any future results expressed by the forward-looking information. Such factors include risks related to </w:t>
      </w:r>
      <w:r w:rsidR="00E813EF" w:rsidRPr="00E813EF">
        <w:rPr>
          <w:rFonts w:ascii="Calibri" w:eastAsia="Calibri" w:hAnsi="Calibri" w:cs="Calibri"/>
          <w:color w:val="000000"/>
          <w:sz w:val="24"/>
          <w:szCs w:val="24"/>
        </w:rPr>
        <w:t>general business, economic and social uncertainties; local and global market and economic uncertainties arising in respect of the COVID-19 pandemic;</w:t>
      </w:r>
      <w:r w:rsidR="0089559C">
        <w:rPr>
          <w:rFonts w:ascii="Calibri" w:eastAsia="Calibri" w:hAnsi="Calibri" w:cs="Calibri"/>
          <w:color w:val="000000"/>
          <w:sz w:val="24"/>
          <w:szCs w:val="24"/>
        </w:rPr>
        <w:t xml:space="preserve"> risks associated with supply chain for machinery and equipment;</w:t>
      </w:r>
      <w:r w:rsidR="00E813EF" w:rsidRPr="00E813EF">
        <w:rPr>
          <w:rFonts w:ascii="Calibri" w:eastAsia="Calibri" w:hAnsi="Calibri" w:cs="Calibri"/>
          <w:color w:val="000000"/>
          <w:sz w:val="24"/>
          <w:szCs w:val="24"/>
        </w:rPr>
        <w:t xml:space="preserve"> litigation, availability of key product ingredients</w:t>
      </w:r>
      <w:r w:rsidR="00E813EF">
        <w:rPr>
          <w:rFonts w:ascii="Calibri" w:eastAsia="Calibri" w:hAnsi="Calibri" w:cs="Calibri"/>
          <w:color w:val="000000"/>
          <w:sz w:val="24"/>
          <w:szCs w:val="24"/>
        </w:rPr>
        <w:t>;</w:t>
      </w:r>
      <w:r w:rsidR="00E813EF" w:rsidRPr="00E813EF">
        <w:rPr>
          <w:rFonts w:ascii="Calibri" w:eastAsia="Calibri" w:hAnsi="Calibri" w:cs="Calibri"/>
          <w:color w:val="000000"/>
          <w:sz w:val="24"/>
          <w:szCs w:val="24"/>
        </w:rPr>
        <w:t xml:space="preserve"> legislative, environmental and other judicial, regulatory, political and competitive developments;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effectively expand production capacity; the ability to obtain retail partners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attract, maintain and expand relationships with key restaurant and food service partners; </w:t>
      </w:r>
      <w:r w:rsidR="00E813EF">
        <w:rPr>
          <w:rFonts w:ascii="Calibri" w:eastAsia="Calibri" w:hAnsi="Calibri" w:cs="Calibri"/>
          <w:color w:val="000000"/>
          <w:sz w:val="24"/>
          <w:szCs w:val="24"/>
        </w:rPr>
        <w:t>changing</w:t>
      </w:r>
      <w:r w:rsidR="00E813EF" w:rsidRPr="00E813EF">
        <w:rPr>
          <w:rFonts w:ascii="Calibri" w:eastAsia="Calibri" w:hAnsi="Calibri" w:cs="Calibri"/>
          <w:color w:val="000000"/>
          <w:sz w:val="24"/>
          <w:szCs w:val="24"/>
        </w:rPr>
        <w:t xml:space="preserve"> consumer taste preferences; delay or failure to receive regulatory approvals; the sufficiency of our cash to meet liquidity needs</w:t>
      </w:r>
      <w:r w:rsidR="00E813EF">
        <w:rPr>
          <w:rFonts w:ascii="Calibri" w:eastAsia="Calibri" w:hAnsi="Calibri" w:cs="Calibri"/>
          <w:color w:val="000000"/>
          <w:sz w:val="24"/>
          <w:szCs w:val="24"/>
        </w:rPr>
        <w:t>; failure</w:t>
      </w:r>
      <w:r>
        <w:rPr>
          <w:rFonts w:ascii="Calibri" w:eastAsia="Calibri" w:hAnsi="Calibri" w:cs="Calibri"/>
          <w:color w:val="000000"/>
          <w:sz w:val="24"/>
          <w:szCs w:val="24"/>
        </w:rPr>
        <w:t xml:space="preserve"> to attract qualified management and staff, labour disputes</w:t>
      </w:r>
      <w:r w:rsidR="00E813E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and the additional risks identified in the "Risk Factors" section of </w:t>
      </w:r>
      <w:r w:rsidR="00A40A66">
        <w:rPr>
          <w:rFonts w:ascii="Calibri" w:eastAsia="Calibri" w:hAnsi="Calibri" w:cs="Calibri"/>
          <w:color w:val="000000"/>
          <w:sz w:val="24"/>
          <w:szCs w:val="24"/>
        </w:rPr>
        <w:t>GFCO</w:t>
      </w:r>
      <w:r w:rsidR="00EB5C88">
        <w:rPr>
          <w:rFonts w:ascii="Calibri" w:eastAsia="Calibri" w:hAnsi="Calibri" w:cs="Calibri"/>
          <w:color w:val="000000"/>
          <w:sz w:val="24"/>
          <w:szCs w:val="24"/>
        </w:rPr>
        <w:t>’s</w:t>
      </w:r>
      <w:r>
        <w:rPr>
          <w:rFonts w:ascii="Calibri" w:eastAsia="Calibri" w:hAnsi="Calibri" w:cs="Calibri"/>
          <w:color w:val="000000"/>
          <w:sz w:val="24"/>
          <w:szCs w:val="24"/>
        </w:rPr>
        <w:t xml:space="preserve"> filings with applicable Canadian securities regulators.</w:t>
      </w:r>
    </w:p>
    <w:p w14:paraId="3A66B5C2" w14:textId="4D5C23B9"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Although </w:t>
      </w:r>
      <w:r w:rsidR="00A40A66">
        <w:rPr>
          <w:rFonts w:ascii="Calibri" w:eastAsia="Calibri" w:hAnsi="Calibri" w:cs="Calibri"/>
          <w:color w:val="000000"/>
          <w:sz w:val="24"/>
          <w:szCs w:val="24"/>
        </w:rPr>
        <w:t>GFCO</w:t>
      </w:r>
      <w:r w:rsidR="00D9361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has attempted to identify factors that could cause actual results to differ materially from those described in forward-looking information, there may be other factors that cause results not to be as anticipated. Readers should not place undue reliance on forward-looking information. The forward-looking information is </w:t>
      </w:r>
      <w:r>
        <w:rPr>
          <w:rFonts w:ascii="Calibri" w:eastAsia="Calibri" w:hAnsi="Calibri" w:cs="Calibri"/>
          <w:color w:val="000000"/>
          <w:sz w:val="24"/>
          <w:szCs w:val="24"/>
        </w:rPr>
        <w:lastRenderedPageBreak/>
        <w:t xml:space="preserve">made as of the date of this news release. Except as required by applicable securities laws,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does not undertake any obligation to publicly update forward-looking information.</w:t>
      </w:r>
    </w:p>
    <w:p w14:paraId="6BF70A37" w14:textId="77777777" w:rsidR="001F1529" w:rsidRDefault="001F1529">
      <w:pPr>
        <w:tabs>
          <w:tab w:val="left" w:pos="2051"/>
        </w:tabs>
        <w:rPr>
          <w:sz w:val="24"/>
          <w:szCs w:val="24"/>
        </w:rPr>
      </w:pPr>
    </w:p>
    <w:sectPr w:rsidR="001F152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D173" w14:textId="77777777" w:rsidR="00860668" w:rsidRDefault="00860668">
      <w:pPr>
        <w:spacing w:after="0" w:line="240" w:lineRule="auto"/>
      </w:pPr>
      <w:r>
        <w:separator/>
      </w:r>
    </w:p>
  </w:endnote>
  <w:endnote w:type="continuationSeparator" w:id="0">
    <w:p w14:paraId="6FC47A6D" w14:textId="77777777" w:rsidR="00860668" w:rsidRDefault="00860668">
      <w:pPr>
        <w:spacing w:after="0" w:line="240" w:lineRule="auto"/>
      </w:pPr>
      <w:r>
        <w:continuationSeparator/>
      </w:r>
    </w:p>
  </w:endnote>
  <w:endnote w:type="continuationNotice" w:id="1">
    <w:p w14:paraId="220CB493" w14:textId="77777777" w:rsidR="00860668" w:rsidRDefault="00860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ther 1816">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4AAA" w14:textId="77777777" w:rsidR="001F1529" w:rsidRDefault="001F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C829" w14:textId="77777777" w:rsidR="001F1529" w:rsidRDefault="001F1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9FAC" w14:textId="77777777" w:rsidR="001F1529" w:rsidRDefault="001F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88A1" w14:textId="77777777" w:rsidR="00860668" w:rsidRDefault="00860668">
      <w:pPr>
        <w:spacing w:after="0" w:line="240" w:lineRule="auto"/>
      </w:pPr>
      <w:r>
        <w:separator/>
      </w:r>
    </w:p>
  </w:footnote>
  <w:footnote w:type="continuationSeparator" w:id="0">
    <w:p w14:paraId="2A9CE14A" w14:textId="77777777" w:rsidR="00860668" w:rsidRDefault="00860668">
      <w:pPr>
        <w:spacing w:after="0" w:line="240" w:lineRule="auto"/>
      </w:pPr>
      <w:r>
        <w:continuationSeparator/>
      </w:r>
    </w:p>
  </w:footnote>
  <w:footnote w:type="continuationNotice" w:id="1">
    <w:p w14:paraId="22D93104" w14:textId="77777777" w:rsidR="00860668" w:rsidRDefault="008606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D4A6" w14:textId="77777777" w:rsidR="001F1529" w:rsidRDefault="001F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E6F0" w14:textId="77777777" w:rsidR="001F1529" w:rsidRDefault="001F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EDA" w14:textId="77777777" w:rsidR="001F1529" w:rsidRDefault="001F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3766"/>
    <w:multiLevelType w:val="hybridMultilevel"/>
    <w:tmpl w:val="14CC2DE0"/>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293F1CE3"/>
    <w:multiLevelType w:val="hybridMultilevel"/>
    <w:tmpl w:val="ED42A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A85E01"/>
    <w:multiLevelType w:val="hybridMultilevel"/>
    <w:tmpl w:val="3C86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CA517D"/>
    <w:multiLevelType w:val="hybridMultilevel"/>
    <w:tmpl w:val="D99CB89A"/>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E52BBB"/>
    <w:multiLevelType w:val="hybridMultilevel"/>
    <w:tmpl w:val="BF049800"/>
    <w:lvl w:ilvl="0" w:tplc="DC20686A">
      <w:start w:val="1"/>
      <w:numFmt w:val="bullet"/>
      <w:lvlText w:val=""/>
      <w:lvlJc w:val="left"/>
      <w:pPr>
        <w:ind w:left="720" w:hanging="360"/>
      </w:pPr>
      <w:rPr>
        <w:rFonts w:ascii="Symbol" w:hAnsi="Symbol" w:hint="default"/>
      </w:rPr>
    </w:lvl>
    <w:lvl w:ilvl="1" w:tplc="494080A4" w:tentative="1">
      <w:start w:val="1"/>
      <w:numFmt w:val="bullet"/>
      <w:lvlText w:val="o"/>
      <w:lvlJc w:val="left"/>
      <w:pPr>
        <w:ind w:left="1440" w:hanging="360"/>
      </w:pPr>
      <w:rPr>
        <w:rFonts w:ascii="Courier New" w:hAnsi="Courier New" w:cs="Courier New" w:hint="default"/>
      </w:rPr>
    </w:lvl>
    <w:lvl w:ilvl="2" w:tplc="9D50A284" w:tentative="1">
      <w:start w:val="1"/>
      <w:numFmt w:val="bullet"/>
      <w:lvlText w:val=""/>
      <w:lvlJc w:val="left"/>
      <w:pPr>
        <w:ind w:left="2160" w:hanging="360"/>
      </w:pPr>
      <w:rPr>
        <w:rFonts w:ascii="Wingdings" w:hAnsi="Wingdings" w:hint="default"/>
      </w:rPr>
    </w:lvl>
    <w:lvl w:ilvl="3" w:tplc="13EE0ACA" w:tentative="1">
      <w:start w:val="1"/>
      <w:numFmt w:val="bullet"/>
      <w:lvlText w:val=""/>
      <w:lvlJc w:val="left"/>
      <w:pPr>
        <w:ind w:left="2880" w:hanging="360"/>
      </w:pPr>
      <w:rPr>
        <w:rFonts w:ascii="Symbol" w:hAnsi="Symbol" w:hint="default"/>
      </w:rPr>
    </w:lvl>
    <w:lvl w:ilvl="4" w:tplc="230AB38C" w:tentative="1">
      <w:start w:val="1"/>
      <w:numFmt w:val="bullet"/>
      <w:lvlText w:val="o"/>
      <w:lvlJc w:val="left"/>
      <w:pPr>
        <w:ind w:left="3600" w:hanging="360"/>
      </w:pPr>
      <w:rPr>
        <w:rFonts w:ascii="Courier New" w:hAnsi="Courier New" w:cs="Courier New" w:hint="default"/>
      </w:rPr>
    </w:lvl>
    <w:lvl w:ilvl="5" w:tplc="B1B85568" w:tentative="1">
      <w:start w:val="1"/>
      <w:numFmt w:val="bullet"/>
      <w:lvlText w:val=""/>
      <w:lvlJc w:val="left"/>
      <w:pPr>
        <w:ind w:left="4320" w:hanging="360"/>
      </w:pPr>
      <w:rPr>
        <w:rFonts w:ascii="Wingdings" w:hAnsi="Wingdings" w:hint="default"/>
      </w:rPr>
    </w:lvl>
    <w:lvl w:ilvl="6" w:tplc="FD4AB606" w:tentative="1">
      <w:start w:val="1"/>
      <w:numFmt w:val="bullet"/>
      <w:lvlText w:val=""/>
      <w:lvlJc w:val="left"/>
      <w:pPr>
        <w:ind w:left="5040" w:hanging="360"/>
      </w:pPr>
      <w:rPr>
        <w:rFonts w:ascii="Symbol" w:hAnsi="Symbol" w:hint="default"/>
      </w:rPr>
    </w:lvl>
    <w:lvl w:ilvl="7" w:tplc="89F640A8" w:tentative="1">
      <w:start w:val="1"/>
      <w:numFmt w:val="bullet"/>
      <w:lvlText w:val="o"/>
      <w:lvlJc w:val="left"/>
      <w:pPr>
        <w:ind w:left="5760" w:hanging="360"/>
      </w:pPr>
      <w:rPr>
        <w:rFonts w:ascii="Courier New" w:hAnsi="Courier New" w:cs="Courier New" w:hint="default"/>
      </w:rPr>
    </w:lvl>
    <w:lvl w:ilvl="8" w:tplc="E3CA3848" w:tentative="1">
      <w:start w:val="1"/>
      <w:numFmt w:val="bullet"/>
      <w:lvlText w:val=""/>
      <w:lvlJc w:val="left"/>
      <w:pPr>
        <w:ind w:left="6480" w:hanging="360"/>
      </w:pPr>
      <w:rPr>
        <w:rFonts w:ascii="Wingdings" w:hAnsi="Wingdings" w:hint="default"/>
      </w:rPr>
    </w:lvl>
  </w:abstractNum>
  <w:abstractNum w:abstractNumId="5" w15:restartNumberingAfterBreak="0">
    <w:nsid w:val="7F4F4ACA"/>
    <w:multiLevelType w:val="hybridMultilevel"/>
    <w:tmpl w:val="EFE0F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4741042">
    <w:abstractNumId w:val="4"/>
  </w:num>
  <w:num w:numId="2" w16cid:durableId="1217815566">
    <w:abstractNumId w:val="5"/>
  </w:num>
  <w:num w:numId="3" w16cid:durableId="385491847">
    <w:abstractNumId w:val="2"/>
  </w:num>
  <w:num w:numId="4" w16cid:durableId="1406800015">
    <w:abstractNumId w:val="1"/>
  </w:num>
  <w:num w:numId="5" w16cid:durableId="641234271">
    <w:abstractNumId w:val="0"/>
  </w:num>
  <w:num w:numId="6" w16cid:durableId="695424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29"/>
    <w:rsid w:val="00015835"/>
    <w:rsid w:val="000167ED"/>
    <w:rsid w:val="00046322"/>
    <w:rsid w:val="0005206C"/>
    <w:rsid w:val="0006094C"/>
    <w:rsid w:val="00063B4B"/>
    <w:rsid w:val="00090B52"/>
    <w:rsid w:val="000B1C0B"/>
    <w:rsid w:val="000B592B"/>
    <w:rsid w:val="000C53F4"/>
    <w:rsid w:val="000E71B7"/>
    <w:rsid w:val="00101832"/>
    <w:rsid w:val="001053B9"/>
    <w:rsid w:val="00120C07"/>
    <w:rsid w:val="001223AA"/>
    <w:rsid w:val="00130DED"/>
    <w:rsid w:val="00151AAE"/>
    <w:rsid w:val="001540D9"/>
    <w:rsid w:val="0015588C"/>
    <w:rsid w:val="001679D2"/>
    <w:rsid w:val="00182D9C"/>
    <w:rsid w:val="001C426B"/>
    <w:rsid w:val="001D75E9"/>
    <w:rsid w:val="001E4EB9"/>
    <w:rsid w:val="001F1529"/>
    <w:rsid w:val="00222D08"/>
    <w:rsid w:val="00226AA5"/>
    <w:rsid w:val="00233F31"/>
    <w:rsid w:val="00254225"/>
    <w:rsid w:val="00266AC0"/>
    <w:rsid w:val="00273151"/>
    <w:rsid w:val="002822F5"/>
    <w:rsid w:val="002A4304"/>
    <w:rsid w:val="002C2027"/>
    <w:rsid w:val="002C4920"/>
    <w:rsid w:val="002C5E83"/>
    <w:rsid w:val="002F788E"/>
    <w:rsid w:val="002F7C9E"/>
    <w:rsid w:val="0030129E"/>
    <w:rsid w:val="00302138"/>
    <w:rsid w:val="00374FFB"/>
    <w:rsid w:val="00381998"/>
    <w:rsid w:val="00395832"/>
    <w:rsid w:val="003B306E"/>
    <w:rsid w:val="003C565E"/>
    <w:rsid w:val="003C7933"/>
    <w:rsid w:val="003D56BE"/>
    <w:rsid w:val="003D74F3"/>
    <w:rsid w:val="003E4F88"/>
    <w:rsid w:val="003E5895"/>
    <w:rsid w:val="003E7193"/>
    <w:rsid w:val="003F6943"/>
    <w:rsid w:val="004101E5"/>
    <w:rsid w:val="0042132A"/>
    <w:rsid w:val="0045119C"/>
    <w:rsid w:val="00463B33"/>
    <w:rsid w:val="00470FD7"/>
    <w:rsid w:val="004722A7"/>
    <w:rsid w:val="00476BDB"/>
    <w:rsid w:val="00494431"/>
    <w:rsid w:val="004970C2"/>
    <w:rsid w:val="004A6E6E"/>
    <w:rsid w:val="004C028E"/>
    <w:rsid w:val="004C4696"/>
    <w:rsid w:val="004C7E14"/>
    <w:rsid w:val="005370DF"/>
    <w:rsid w:val="00541FED"/>
    <w:rsid w:val="005461C9"/>
    <w:rsid w:val="005470F5"/>
    <w:rsid w:val="0057690C"/>
    <w:rsid w:val="005872D0"/>
    <w:rsid w:val="005A1924"/>
    <w:rsid w:val="005B5B53"/>
    <w:rsid w:val="005B627C"/>
    <w:rsid w:val="005C1A53"/>
    <w:rsid w:val="005D2D1E"/>
    <w:rsid w:val="005D6B19"/>
    <w:rsid w:val="005E5A61"/>
    <w:rsid w:val="00611517"/>
    <w:rsid w:val="00612BED"/>
    <w:rsid w:val="00614295"/>
    <w:rsid w:val="00622AE9"/>
    <w:rsid w:val="0063736C"/>
    <w:rsid w:val="006411FB"/>
    <w:rsid w:val="00641EC1"/>
    <w:rsid w:val="00664B8A"/>
    <w:rsid w:val="00690056"/>
    <w:rsid w:val="00695C76"/>
    <w:rsid w:val="006A40F6"/>
    <w:rsid w:val="006B1A04"/>
    <w:rsid w:val="006C1BD9"/>
    <w:rsid w:val="006E63F0"/>
    <w:rsid w:val="006E7B3B"/>
    <w:rsid w:val="006F7327"/>
    <w:rsid w:val="007053F5"/>
    <w:rsid w:val="0073734D"/>
    <w:rsid w:val="00741288"/>
    <w:rsid w:val="007464BB"/>
    <w:rsid w:val="00753121"/>
    <w:rsid w:val="00754765"/>
    <w:rsid w:val="00757260"/>
    <w:rsid w:val="00770957"/>
    <w:rsid w:val="00774BD7"/>
    <w:rsid w:val="00776190"/>
    <w:rsid w:val="007830BA"/>
    <w:rsid w:val="00786D43"/>
    <w:rsid w:val="00790220"/>
    <w:rsid w:val="007D5EF7"/>
    <w:rsid w:val="007E41E3"/>
    <w:rsid w:val="007E4B23"/>
    <w:rsid w:val="007F5DC5"/>
    <w:rsid w:val="007F72AE"/>
    <w:rsid w:val="00804DAE"/>
    <w:rsid w:val="008109FA"/>
    <w:rsid w:val="008117FD"/>
    <w:rsid w:val="00822502"/>
    <w:rsid w:val="00826542"/>
    <w:rsid w:val="00841CB9"/>
    <w:rsid w:val="00844887"/>
    <w:rsid w:val="00860668"/>
    <w:rsid w:val="00873005"/>
    <w:rsid w:val="00875A96"/>
    <w:rsid w:val="008766ED"/>
    <w:rsid w:val="00883D7F"/>
    <w:rsid w:val="00885CF7"/>
    <w:rsid w:val="00887CFB"/>
    <w:rsid w:val="0089559C"/>
    <w:rsid w:val="008C2565"/>
    <w:rsid w:val="008D567F"/>
    <w:rsid w:val="008E419A"/>
    <w:rsid w:val="008F35B2"/>
    <w:rsid w:val="009226F5"/>
    <w:rsid w:val="0093453A"/>
    <w:rsid w:val="009354DB"/>
    <w:rsid w:val="00954324"/>
    <w:rsid w:val="00954C83"/>
    <w:rsid w:val="009577C0"/>
    <w:rsid w:val="0096078F"/>
    <w:rsid w:val="009627C4"/>
    <w:rsid w:val="009A2235"/>
    <w:rsid w:val="009C0DDB"/>
    <w:rsid w:val="009C380D"/>
    <w:rsid w:val="009C5ADA"/>
    <w:rsid w:val="009D417E"/>
    <w:rsid w:val="009D5B5D"/>
    <w:rsid w:val="009D69C4"/>
    <w:rsid w:val="009D757A"/>
    <w:rsid w:val="009E02C6"/>
    <w:rsid w:val="009E2DEF"/>
    <w:rsid w:val="009F329D"/>
    <w:rsid w:val="009F3E14"/>
    <w:rsid w:val="00A02BEF"/>
    <w:rsid w:val="00A111CE"/>
    <w:rsid w:val="00A13EDF"/>
    <w:rsid w:val="00A33FB2"/>
    <w:rsid w:val="00A40A66"/>
    <w:rsid w:val="00A42841"/>
    <w:rsid w:val="00A65CBE"/>
    <w:rsid w:val="00A667BB"/>
    <w:rsid w:val="00A80562"/>
    <w:rsid w:val="00A9480A"/>
    <w:rsid w:val="00AA5BFD"/>
    <w:rsid w:val="00AB0C7E"/>
    <w:rsid w:val="00AB2076"/>
    <w:rsid w:val="00AB6B04"/>
    <w:rsid w:val="00AD3858"/>
    <w:rsid w:val="00AD4755"/>
    <w:rsid w:val="00AE04DA"/>
    <w:rsid w:val="00AE5099"/>
    <w:rsid w:val="00AF1603"/>
    <w:rsid w:val="00B00766"/>
    <w:rsid w:val="00B23C37"/>
    <w:rsid w:val="00B40B53"/>
    <w:rsid w:val="00B538D9"/>
    <w:rsid w:val="00B71860"/>
    <w:rsid w:val="00B80B37"/>
    <w:rsid w:val="00B85C16"/>
    <w:rsid w:val="00B87234"/>
    <w:rsid w:val="00BA0267"/>
    <w:rsid w:val="00BA369E"/>
    <w:rsid w:val="00BB5317"/>
    <w:rsid w:val="00BB5664"/>
    <w:rsid w:val="00BC20B5"/>
    <w:rsid w:val="00BC2571"/>
    <w:rsid w:val="00BD2853"/>
    <w:rsid w:val="00BE71A8"/>
    <w:rsid w:val="00BF710E"/>
    <w:rsid w:val="00C30E1D"/>
    <w:rsid w:val="00C31127"/>
    <w:rsid w:val="00C62719"/>
    <w:rsid w:val="00C77159"/>
    <w:rsid w:val="00C85380"/>
    <w:rsid w:val="00C878B6"/>
    <w:rsid w:val="00C901C3"/>
    <w:rsid w:val="00CA156A"/>
    <w:rsid w:val="00CA78FB"/>
    <w:rsid w:val="00CB1053"/>
    <w:rsid w:val="00CE198C"/>
    <w:rsid w:val="00CE59E7"/>
    <w:rsid w:val="00D04A9F"/>
    <w:rsid w:val="00D05CF1"/>
    <w:rsid w:val="00D07757"/>
    <w:rsid w:val="00D11BC5"/>
    <w:rsid w:val="00D32886"/>
    <w:rsid w:val="00D37905"/>
    <w:rsid w:val="00D4625E"/>
    <w:rsid w:val="00D5258E"/>
    <w:rsid w:val="00D6234C"/>
    <w:rsid w:val="00D67B4D"/>
    <w:rsid w:val="00D861AD"/>
    <w:rsid w:val="00D92EEE"/>
    <w:rsid w:val="00D9361F"/>
    <w:rsid w:val="00DA1AAF"/>
    <w:rsid w:val="00E05291"/>
    <w:rsid w:val="00E17284"/>
    <w:rsid w:val="00E20368"/>
    <w:rsid w:val="00E23DDD"/>
    <w:rsid w:val="00E760FF"/>
    <w:rsid w:val="00E813EF"/>
    <w:rsid w:val="00EB5C88"/>
    <w:rsid w:val="00ED708E"/>
    <w:rsid w:val="00EE32CD"/>
    <w:rsid w:val="00EF5565"/>
    <w:rsid w:val="00EF5FC8"/>
    <w:rsid w:val="00F052CA"/>
    <w:rsid w:val="00F25ACB"/>
    <w:rsid w:val="00F31F4F"/>
    <w:rsid w:val="00F62CA8"/>
    <w:rsid w:val="00FA08D7"/>
    <w:rsid w:val="00FB624A"/>
    <w:rsid w:val="00FF2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0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9F329D"/>
    <w:rPr>
      <w:color w:val="605E5C"/>
      <w:shd w:val="clear" w:color="auto" w:fill="E1DFDD"/>
    </w:rPr>
  </w:style>
  <w:style w:type="paragraph" w:styleId="Revision">
    <w:name w:val="Revision"/>
    <w:hidden/>
    <w:uiPriority w:val="99"/>
    <w:semiHidden/>
    <w:rsid w:val="00611517"/>
    <w:pPr>
      <w:spacing w:after="0" w:line="240" w:lineRule="auto"/>
    </w:pPr>
  </w:style>
  <w:style w:type="character" w:styleId="CommentReference">
    <w:name w:val="annotation reference"/>
    <w:basedOn w:val="DefaultParagraphFont"/>
    <w:uiPriority w:val="99"/>
    <w:semiHidden/>
    <w:unhideWhenUsed/>
    <w:rsid w:val="00254225"/>
    <w:rPr>
      <w:sz w:val="16"/>
      <w:szCs w:val="16"/>
    </w:rPr>
  </w:style>
  <w:style w:type="paragraph" w:styleId="CommentText">
    <w:name w:val="annotation text"/>
    <w:basedOn w:val="Normal"/>
    <w:link w:val="CommentTextChar"/>
    <w:uiPriority w:val="99"/>
    <w:unhideWhenUsed/>
    <w:rsid w:val="00254225"/>
    <w:pPr>
      <w:spacing w:line="240" w:lineRule="auto"/>
    </w:pPr>
    <w:rPr>
      <w:sz w:val="20"/>
      <w:szCs w:val="20"/>
    </w:rPr>
  </w:style>
  <w:style w:type="character" w:customStyle="1" w:styleId="CommentTextChar">
    <w:name w:val="Comment Text Char"/>
    <w:basedOn w:val="DefaultParagraphFont"/>
    <w:link w:val="CommentText"/>
    <w:uiPriority w:val="99"/>
    <w:rsid w:val="00254225"/>
    <w:rPr>
      <w:sz w:val="20"/>
      <w:szCs w:val="20"/>
    </w:rPr>
  </w:style>
  <w:style w:type="paragraph" w:styleId="CommentSubject">
    <w:name w:val="annotation subject"/>
    <w:basedOn w:val="CommentText"/>
    <w:next w:val="CommentText"/>
    <w:link w:val="CommentSubjectChar"/>
    <w:uiPriority w:val="99"/>
    <w:semiHidden/>
    <w:unhideWhenUsed/>
    <w:rsid w:val="00254225"/>
    <w:rPr>
      <w:b/>
      <w:bCs/>
    </w:rPr>
  </w:style>
  <w:style w:type="character" w:customStyle="1" w:styleId="CommentSubjectChar">
    <w:name w:val="Comment Subject Char"/>
    <w:basedOn w:val="CommentTextChar"/>
    <w:link w:val="CommentSubject"/>
    <w:uiPriority w:val="99"/>
    <w:semiHidden/>
    <w:rsid w:val="00254225"/>
    <w:rPr>
      <w:b/>
      <w:bCs/>
      <w:sz w:val="20"/>
      <w:szCs w:val="20"/>
    </w:rPr>
  </w:style>
  <w:style w:type="character" w:styleId="Emphasis">
    <w:name w:val="Emphasis"/>
    <w:basedOn w:val="DefaultParagraphFont"/>
    <w:uiPriority w:val="20"/>
    <w:qFormat/>
    <w:rsid w:val="004722A7"/>
    <w:rPr>
      <w:i/>
      <w:iCs/>
    </w:rPr>
  </w:style>
  <w:style w:type="paragraph" w:customStyle="1" w:styleId="Default">
    <w:name w:val="Default"/>
    <w:rsid w:val="00B85C16"/>
    <w:pPr>
      <w:autoSpaceDE w:val="0"/>
      <w:autoSpaceDN w:val="0"/>
      <w:adjustRightInd w:val="0"/>
      <w:spacing w:after="0" w:line="240" w:lineRule="auto"/>
    </w:pPr>
    <w:rPr>
      <w:rFonts w:ascii="Brother 1816" w:hAnsi="Brother 1816" w:cs="Brother 1816"/>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672">
      <w:bodyDiv w:val="1"/>
      <w:marLeft w:val="0"/>
      <w:marRight w:val="0"/>
      <w:marTop w:val="0"/>
      <w:marBottom w:val="0"/>
      <w:divBdr>
        <w:top w:val="none" w:sz="0" w:space="0" w:color="auto"/>
        <w:left w:val="none" w:sz="0" w:space="0" w:color="auto"/>
        <w:bottom w:val="none" w:sz="0" w:space="0" w:color="auto"/>
        <w:right w:val="none" w:sz="0" w:space="0" w:color="auto"/>
      </w:divBdr>
    </w:div>
    <w:div w:id="12921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hustle.co/0802022-chickenfl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bloomberg.com/press-releases/2022-04-18/gluten-free-products-market-size-worth-13-7-billion-by-2030-grand-view-research-inc" TargetMode="External"/><Relationship Id="rId17" Type="http://schemas.openxmlformats.org/officeDocument/2006/relationships/hyperlink" Target="http://www.goodflour.c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anmag.com/taste/restaurants/best-thing-i-ate-all-week-gluten-free-fried-chicken-from-maxines-cafe-and-b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arls.c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newswire.com/news-releases/take-out-fried-chicken-market---39-of-growth-to-originate-from-apac--evolving-opportunities-with-mcdonald-corp--raising-canes-restaurants-llc--technavio-301536919.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ede2f8-8520-407a-87f7-fa626073af79">
      <Terms xmlns="http://schemas.microsoft.com/office/infopath/2007/PartnerControls"/>
    </lcf76f155ced4ddcb4097134ff3c332f>
    <TaxCatchAll xmlns="b7e14331-aaff-49a2-bc5d-c0c4e69976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F0455E6678E546988FFE819493C859" ma:contentTypeVersion="16" ma:contentTypeDescription="Create a new document." ma:contentTypeScope="" ma:versionID="86f1d84e33779b83e2249e0d6ca9254b">
  <xsd:schema xmlns:xsd="http://www.w3.org/2001/XMLSchema" xmlns:xs="http://www.w3.org/2001/XMLSchema" xmlns:p="http://schemas.microsoft.com/office/2006/metadata/properties" xmlns:ns2="d9ede2f8-8520-407a-87f7-fa626073af79" xmlns:ns3="b7e14331-aaff-49a2-bc5d-c0c4e69976ff" targetNamespace="http://schemas.microsoft.com/office/2006/metadata/properties" ma:root="true" ma:fieldsID="3bc9898b141d5e474216c3a818febee7" ns2:_="" ns3:_="">
    <xsd:import namespace="d9ede2f8-8520-407a-87f7-fa626073af79"/>
    <xsd:import namespace="b7e14331-aaff-49a2-bc5d-c0c4e6997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de2f8-8520-407a-87f7-fa626073a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b21795-7431-4bf7-a848-8493f03c82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14331-aaff-49a2-bc5d-c0c4e69976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0ef20f-79ea-4406-99ef-4ad195fe3de3}" ma:internalName="TaxCatchAll" ma:showField="CatchAllData" ma:web="b7e14331-aaff-49a2-bc5d-c0c4e6997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1D03-1B09-4ECB-A48A-5BCF2F31A0BD}">
  <ds:schemaRefs>
    <ds:schemaRef ds:uri="http://schemas.microsoft.com/office/2006/metadata/properties"/>
    <ds:schemaRef ds:uri="http://schemas.microsoft.com/office/infopath/2007/PartnerControls"/>
    <ds:schemaRef ds:uri="d9ede2f8-8520-407a-87f7-fa626073af79"/>
    <ds:schemaRef ds:uri="b7e14331-aaff-49a2-bc5d-c0c4e69976ff"/>
  </ds:schemaRefs>
</ds:datastoreItem>
</file>

<file path=customXml/itemProps2.xml><?xml version="1.0" encoding="utf-8"?>
<ds:datastoreItem xmlns:ds="http://schemas.openxmlformats.org/officeDocument/2006/customXml" ds:itemID="{8380BAE4-FD1F-491B-BCE4-AC7EB0FE8ED2}">
  <ds:schemaRefs>
    <ds:schemaRef ds:uri="http://schemas.microsoft.com/sharepoint/v3/contenttype/forms"/>
  </ds:schemaRefs>
</ds:datastoreItem>
</file>

<file path=customXml/itemProps3.xml><?xml version="1.0" encoding="utf-8"?>
<ds:datastoreItem xmlns:ds="http://schemas.openxmlformats.org/officeDocument/2006/customXml" ds:itemID="{B0DF4E8B-74C2-45C9-A8E1-F82EA96B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de2f8-8520-407a-87f7-fa626073af79"/>
    <ds:schemaRef ds:uri="b7e14331-aaff-49a2-bc5d-c0c4e6997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6C92A-72D9-4CC3-9B4F-8AFC6773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2022-11-08T16:24:00Z</dcterms:created>
  <dcterms:modified xsi:type="dcterms:W3CDTF">2023-02-06T22:29:00Z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0x010100CEF0455E6678E546988FFE819493C859</vt:lpwstr>
  </property>
  <property fmtid="{D5CDD505-2E9C-101B-9397-08002B2CF9AE}" pid="3" name="MediaServiceImageTags">
    <vt:lpwstr/>
  </property>
</Properties>
</file>