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125FE148"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952B98">
        <w:rPr>
          <w:rFonts w:ascii="Arial" w:hAnsi="Arial"/>
          <w:u w:val="single"/>
          <w:lang w:val="en-CA"/>
        </w:rPr>
        <w:t xml:space="preserve">March </w:t>
      </w:r>
      <w:r w:rsidR="00126631">
        <w:rPr>
          <w:rFonts w:ascii="Arial" w:hAnsi="Arial"/>
          <w:u w:val="single"/>
          <w:lang w:val="en-CA"/>
        </w:rPr>
        <w:t>8</w:t>
      </w:r>
      <w:r w:rsidR="00764DB7">
        <w:rPr>
          <w:rFonts w:ascii="Arial" w:hAnsi="Arial"/>
          <w:u w:val="single"/>
          <w:lang w:val="en-CA"/>
        </w:rPr>
        <w:t>, 202</w:t>
      </w:r>
      <w:r w:rsidR="00952B98">
        <w:rPr>
          <w:rFonts w:ascii="Arial" w:hAnsi="Arial"/>
          <w:u w:val="single"/>
          <w:lang w:val="en-CA"/>
        </w:rPr>
        <w:t>3</w:t>
      </w:r>
      <w:r w:rsidR="002569D1">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126631">
        <w:rPr>
          <w:rFonts w:ascii="Arial" w:hAnsi="Arial"/>
          <w:lang w:val="en-CA"/>
        </w:rPr>
        <w:sym w:font="Wingdings" w:char="F078"/>
      </w:r>
      <w:r>
        <w:rPr>
          <w:rFonts w:ascii="Arial" w:hAnsi="Arial"/>
          <w:lang w:val="en-CA"/>
        </w:rPr>
        <w:t>Yes</w:t>
      </w:r>
      <w:r>
        <w:rPr>
          <w:rFonts w:ascii="Arial" w:hAnsi="Arial"/>
          <w:lang w:val="en-CA"/>
        </w:rPr>
        <w:tab/>
      </w:r>
      <w:r>
        <w:rPr>
          <w:rFonts w:ascii="Arial" w:hAnsi="Arial"/>
          <w:lang w:val="en-CA"/>
        </w:rPr>
        <w:tab/>
      </w:r>
      <w:r w:rsidR="00126631">
        <w:rPr>
          <w:rFonts w:ascii="Arial" w:hAnsi="Arial"/>
          <w:lang w:val="en-CA"/>
        </w:rPr>
        <w:sym w:font="Wingdings" w:char="F0A8"/>
      </w:r>
      <w:r>
        <w:rPr>
          <w:rFonts w:ascii="Arial" w:hAnsi="Arial"/>
          <w:lang w:val="en-CA"/>
        </w:rPr>
        <w:t>No</w:t>
      </w:r>
      <w:r>
        <w:rPr>
          <w:rFonts w:ascii="Arial" w:hAnsi="Arial"/>
          <w:sz w:val="32"/>
          <w:lang w:val="en-CA"/>
        </w:rPr>
        <w:tab/>
      </w:r>
    </w:p>
    <w:p w14:paraId="722CA96E" w14:textId="2EC29B5D"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126631">
        <w:rPr>
          <w:rFonts w:ascii="Arial" w:hAnsi="Arial"/>
          <w:u w:val="single"/>
          <w:lang w:val="en-CA"/>
        </w:rPr>
        <w:t>March 7, 2023</w:t>
      </w:r>
      <w:r>
        <w:rPr>
          <w:rFonts w:ascii="Arial" w:hAnsi="Arial"/>
          <w:lang w:val="en-CA"/>
        </w:rPr>
        <w:t>___________________.</w:t>
      </w:r>
    </w:p>
    <w:p w14:paraId="366CCC09" w14:textId="228750FE"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952B98">
        <w:rPr>
          <w:rFonts w:ascii="Arial" w:hAnsi="Arial"/>
          <w:u w:val="single"/>
          <w:lang w:val="en-CA"/>
        </w:rPr>
        <w:t>90,103,876</w:t>
      </w:r>
      <w:r w:rsidR="00C22EC2">
        <w:rPr>
          <w:rFonts w:ascii="Arial" w:hAnsi="Arial"/>
          <w:u w:val="single"/>
          <w:lang w:val="en-CA"/>
        </w:rPr>
        <w:t xml:space="preserve"> common shares</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60376FB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952B98">
        <w:rPr>
          <w:rFonts w:ascii="Arial" w:hAnsi="Arial"/>
          <w:u w:val="single"/>
          <w:lang w:val="en-CA"/>
        </w:rPr>
        <w:t>March 7</w:t>
      </w:r>
      <w:r w:rsidR="00126631">
        <w:rPr>
          <w:rFonts w:ascii="Arial" w:hAnsi="Arial"/>
          <w:u w:val="single"/>
          <w:lang w:val="en-CA"/>
        </w:rPr>
        <w:t xml:space="preserve"> and 8</w:t>
      </w:r>
      <w:r w:rsidR="00952B98">
        <w:rPr>
          <w:rFonts w:ascii="Arial" w:hAnsi="Arial"/>
          <w:u w:val="single"/>
          <w:lang w:val="en-CA"/>
        </w:rPr>
        <w:t>, 2023</w:t>
      </w:r>
      <w:r w:rsidR="00840B45">
        <w:rPr>
          <w:rFonts w:ascii="Arial" w:hAnsi="Arial"/>
          <w:u w:val="single"/>
          <w:lang w:val="en-CA"/>
        </w:rPr>
        <w:t xml:space="preserve">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474D6AC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F876E7">
        <w:rPr>
          <w:rFonts w:ascii="Arial" w:hAnsi="Arial"/>
          <w:u w:val="single"/>
          <w:lang w:val="en-CA"/>
        </w:rPr>
        <w:t>$0.12</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0DB78526"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126631" w:rsidRPr="00126631">
        <w:rPr>
          <w:rFonts w:ascii="Arial" w:hAnsi="Arial"/>
          <w:u w:val="single"/>
          <w:lang w:val="en-CA"/>
        </w:rPr>
        <w:t xml:space="preserve">15,000,000 to 50,000,000 </w:t>
      </w:r>
      <w:r w:rsidR="00952B98" w:rsidRPr="00126631">
        <w:rPr>
          <w:rFonts w:ascii="Arial" w:hAnsi="Arial"/>
          <w:u w:val="single"/>
          <w:lang w:val="en-CA"/>
        </w:rPr>
        <w:t>u</w:t>
      </w:r>
      <w:r w:rsidR="00952B98">
        <w:rPr>
          <w:rFonts w:ascii="Arial" w:hAnsi="Arial"/>
          <w:u w:val="single"/>
          <w:lang w:val="en-CA"/>
        </w:rPr>
        <w:t>nits</w:t>
      </w:r>
      <w:r w:rsidR="00952B98" w:rsidRPr="00952B98">
        <w:rPr>
          <w:rFonts w:ascii="Arial" w:hAnsi="Arial"/>
          <w:u w:val="single"/>
          <w:lang w:val="en-CA"/>
        </w:rPr>
        <w:t xml:space="preserve"> </w:t>
      </w:r>
      <w:r w:rsidR="00952B98">
        <w:rPr>
          <w:rFonts w:ascii="Arial" w:hAnsi="Arial"/>
          <w:u w:val="single"/>
          <w:lang w:val="en-CA"/>
        </w:rPr>
        <w:t xml:space="preserve">(common shares and warrants)  </w:t>
      </w:r>
      <w:r w:rsidR="00764DB7">
        <w:rPr>
          <w:rFonts w:ascii="Arial" w:hAnsi="Arial"/>
          <w:u w:val="single"/>
          <w:lang w:val="en-CA"/>
        </w:rPr>
        <w:tab/>
      </w:r>
      <w:r>
        <w:rPr>
          <w:rFonts w:ascii="Arial" w:hAnsi="Arial"/>
          <w:lang w:val="en-CA"/>
        </w:rPr>
        <w:t>_</w:t>
      </w:r>
    </w:p>
    <w:p w14:paraId="58D459C6" w14:textId="47DB92A4"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126631">
        <w:rPr>
          <w:rFonts w:ascii="Arial" w:hAnsi="Arial"/>
          <w:u w:val="single"/>
          <w:lang w:val="en-CA"/>
        </w:rPr>
        <w:t>105,103,876 to 140,103,876 common shares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E634BD" w:rsidRPr="00C536D3" w14:paraId="79649A90" w14:textId="77777777" w:rsidTr="0064019D">
        <w:tc>
          <w:tcPr>
            <w:tcW w:w="3652" w:type="dxa"/>
          </w:tcPr>
          <w:p w14:paraId="6D3B4D49" w14:textId="3F92BED7" w:rsidR="00E634BD" w:rsidRDefault="00952B98" w:rsidP="00C536D3">
            <w:pPr>
              <w:pStyle w:val="BodyText"/>
              <w:rPr>
                <w:rFonts w:ascii="Arial" w:hAnsi="Arial"/>
                <w:lang w:val="en-CA"/>
              </w:rPr>
            </w:pPr>
            <w:r>
              <w:rPr>
                <w:rFonts w:ascii="Arial" w:hAnsi="Arial"/>
                <w:lang w:val="en-CA"/>
              </w:rPr>
              <w:t>To be determined</w:t>
            </w:r>
          </w:p>
        </w:tc>
        <w:tc>
          <w:tcPr>
            <w:tcW w:w="1701" w:type="dxa"/>
          </w:tcPr>
          <w:p w14:paraId="1710DC8A" w14:textId="7BB01D69" w:rsidR="00E634BD" w:rsidRDefault="00E634BD" w:rsidP="00C536D3">
            <w:pPr>
              <w:pStyle w:val="BodyText"/>
              <w:rPr>
                <w:rFonts w:ascii="Arial" w:hAnsi="Arial"/>
                <w:lang w:val="en-CA"/>
              </w:rPr>
            </w:pPr>
          </w:p>
        </w:tc>
        <w:tc>
          <w:tcPr>
            <w:tcW w:w="1829" w:type="dxa"/>
          </w:tcPr>
          <w:p w14:paraId="7CE946B6" w14:textId="2E654726" w:rsidR="00E634BD" w:rsidRDefault="00E634BD" w:rsidP="00C536D3">
            <w:pPr>
              <w:pStyle w:val="BodyText"/>
              <w:rPr>
                <w:rFonts w:ascii="Arial" w:hAnsi="Arial"/>
                <w:lang w:val="en-CA"/>
              </w:rPr>
            </w:pPr>
          </w:p>
        </w:tc>
        <w:tc>
          <w:tcPr>
            <w:tcW w:w="2394" w:type="dxa"/>
          </w:tcPr>
          <w:p w14:paraId="1C4AB73F" w14:textId="7E6735F9" w:rsidR="00E634BD" w:rsidRDefault="00E634BD" w:rsidP="00C536D3">
            <w:pPr>
              <w:pStyle w:val="BodyText"/>
              <w:rPr>
                <w:rFonts w:ascii="Arial" w:hAnsi="Arial"/>
                <w:lang w:val="en-CA"/>
              </w:rPr>
            </w:pPr>
          </w:p>
        </w:tc>
      </w:tr>
      <w:tr w:rsidR="00DB3D1C" w:rsidRPr="00C536D3" w14:paraId="00CF1DA5" w14:textId="77777777" w:rsidTr="0064019D">
        <w:tc>
          <w:tcPr>
            <w:tcW w:w="3652" w:type="dxa"/>
          </w:tcPr>
          <w:p w14:paraId="1E4CC301" w14:textId="588E8200" w:rsidR="00DB3D1C" w:rsidRDefault="00DB3D1C" w:rsidP="00C536D3">
            <w:pPr>
              <w:pStyle w:val="BodyText"/>
              <w:rPr>
                <w:rFonts w:ascii="Arial" w:hAnsi="Arial"/>
                <w:lang w:val="en-CA"/>
              </w:rPr>
            </w:pPr>
          </w:p>
        </w:tc>
        <w:tc>
          <w:tcPr>
            <w:tcW w:w="1701" w:type="dxa"/>
          </w:tcPr>
          <w:p w14:paraId="01E1C227" w14:textId="6E1E0D3E" w:rsidR="00DB3D1C" w:rsidRDefault="00DB3D1C" w:rsidP="00C536D3">
            <w:pPr>
              <w:pStyle w:val="BodyText"/>
              <w:rPr>
                <w:rFonts w:ascii="Arial" w:hAnsi="Arial"/>
                <w:lang w:val="en-CA"/>
              </w:rPr>
            </w:pPr>
          </w:p>
        </w:tc>
        <w:tc>
          <w:tcPr>
            <w:tcW w:w="1829" w:type="dxa"/>
          </w:tcPr>
          <w:p w14:paraId="4CE1FBE7" w14:textId="11EEFC29" w:rsidR="00DB3D1C" w:rsidRDefault="00DB3D1C" w:rsidP="00C536D3">
            <w:pPr>
              <w:pStyle w:val="BodyText"/>
              <w:rPr>
                <w:rFonts w:ascii="Arial" w:hAnsi="Arial"/>
                <w:lang w:val="en-CA"/>
              </w:rPr>
            </w:pPr>
          </w:p>
        </w:tc>
        <w:tc>
          <w:tcPr>
            <w:tcW w:w="2394" w:type="dxa"/>
          </w:tcPr>
          <w:p w14:paraId="1489AD6E" w14:textId="184C7575" w:rsidR="00DB3D1C" w:rsidRDefault="00DB3D1C" w:rsidP="00C536D3">
            <w:pPr>
              <w:pStyle w:val="BodyText"/>
              <w:rPr>
                <w:rFonts w:ascii="Arial" w:hAnsi="Arial"/>
                <w:lang w:val="en-CA"/>
              </w:rPr>
            </w:pP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4842C4B2" w:rsidR="00C536D3" w:rsidRPr="006C0815" w:rsidRDefault="00C536D3" w:rsidP="00C536D3">
            <w:pPr>
              <w:pStyle w:val="BodyText"/>
              <w:rPr>
                <w:rFonts w:ascii="Arial" w:hAnsi="Arial"/>
                <w:lang w:val="en-CA"/>
              </w:rPr>
            </w:pP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4480CD89" w:rsidR="00C536D3" w:rsidRPr="00C536D3" w:rsidRDefault="00C536D3" w:rsidP="00C536D3">
            <w:pPr>
              <w:pStyle w:val="BodyText"/>
              <w:rPr>
                <w:rFonts w:ascii="Arial" w:hAnsi="Arial"/>
                <w:lang w:val="en-CA"/>
              </w:rPr>
            </w:pP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712ED635" w:rsidR="00A41631" w:rsidRPr="00A41631" w:rsidRDefault="00952B98">
            <w:pPr>
              <w:pStyle w:val="BodyText"/>
              <w:spacing w:before="0" w:line="280" w:lineRule="exact"/>
              <w:jc w:val="center"/>
              <w:rPr>
                <w:rFonts w:ascii="Arial" w:hAnsi="Arial"/>
                <w:sz w:val="20"/>
                <w:lang w:val="en-CA"/>
              </w:rPr>
            </w:pPr>
            <w:r>
              <w:rPr>
                <w:rFonts w:ascii="Arial" w:hAnsi="Arial"/>
                <w:sz w:val="20"/>
                <w:lang w:val="en-CA"/>
              </w:rPr>
              <w:t>To be determined</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22158118"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C414F5">
        <w:rPr>
          <w:rFonts w:ascii="Arial" w:hAnsi="Arial"/>
          <w:u w:val="single"/>
        </w:rPr>
        <w:t>Minimum gross proceeds of $</w:t>
      </w:r>
      <w:r w:rsidR="00126631">
        <w:rPr>
          <w:rFonts w:ascii="Arial" w:hAnsi="Arial"/>
          <w:u w:val="single"/>
        </w:rPr>
        <w:t>1,50</w:t>
      </w:r>
      <w:r w:rsidR="00C414F5">
        <w:rPr>
          <w:rFonts w:ascii="Arial" w:hAnsi="Arial"/>
          <w:u w:val="single"/>
        </w:rPr>
        <w:t>0,000 and maximum gross proceeds of $5,000,000</w:t>
      </w:r>
      <w:r w:rsidR="00F20311">
        <w:rPr>
          <w:rFonts w:ascii="Arial" w:hAnsi="Arial"/>
          <w:u w:val="single"/>
        </w:rPr>
        <w:t xml:space="preserve">.  </w:t>
      </w:r>
    </w:p>
    <w:p w14:paraId="5BB92E3A" w14:textId="6934A302"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C414F5">
        <w:rPr>
          <w:rFonts w:ascii="Arial" w:hAnsi="Arial"/>
          <w:u w:val="single"/>
        </w:rPr>
        <w:t>A</w:t>
      </w:r>
      <w:r w:rsidR="00C414F5" w:rsidRPr="00C414F5">
        <w:rPr>
          <w:rFonts w:ascii="Arial" w:hAnsi="Arial"/>
          <w:u w:val="single"/>
        </w:rPr>
        <w:t xml:space="preserve">dvancement of </w:t>
      </w:r>
      <w:r w:rsidR="00C414F5">
        <w:rPr>
          <w:rFonts w:ascii="Arial" w:hAnsi="Arial"/>
          <w:u w:val="single"/>
        </w:rPr>
        <w:t>the Company’s</w:t>
      </w:r>
      <w:r w:rsidR="00C414F5" w:rsidRPr="00C414F5">
        <w:rPr>
          <w:rFonts w:ascii="Arial" w:hAnsi="Arial"/>
          <w:u w:val="single"/>
        </w:rPr>
        <w:t xml:space="preserve"> BETR-001 program and patents, ongoing working capital requirements and reduction of certain indebtedness</w:t>
      </w:r>
      <w:r w:rsidR="00F20311">
        <w:rPr>
          <w:rFonts w:ascii="Arial" w:hAnsi="Arial"/>
          <w:u w:val="single"/>
        </w:rPr>
        <w:t>.</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51094A7A"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126631" w:rsidRPr="00126631">
        <w:rPr>
          <w:rFonts w:ascii="Arial" w:hAnsi="Arial"/>
          <w:u w:val="single"/>
          <w:lang w:val="en-CA"/>
        </w:rPr>
        <w:t>15,000,000 to 50,000,000</w:t>
      </w:r>
      <w:r>
        <w:rPr>
          <w:rFonts w:ascii="Arial" w:hAnsi="Arial"/>
          <w:u w:val="single"/>
        </w:rPr>
        <w:tab/>
      </w:r>
      <w:r>
        <w:rPr>
          <w:rFonts w:ascii="Arial" w:hAnsi="Arial"/>
        </w:rPr>
        <w:t xml:space="preserve"> .</w:t>
      </w:r>
    </w:p>
    <w:p w14:paraId="17438856" w14:textId="7A03C44F" w:rsidR="00EA4133" w:rsidRDefault="00EA4133" w:rsidP="00F20311">
      <w:pPr>
        <w:pStyle w:val="BodyText"/>
        <w:tabs>
          <w:tab w:val="left" w:pos="1080"/>
          <w:tab w:val="left" w:pos="1440"/>
          <w:tab w:val="left" w:pos="2160"/>
          <w:tab w:val="left" w:pos="9180"/>
        </w:tabs>
        <w:ind w:left="2160" w:hanging="1170"/>
        <w:rPr>
          <w:rFonts w:ascii="Arial" w:hAnsi="Arial"/>
        </w:rPr>
      </w:pPr>
      <w:r>
        <w:rPr>
          <w:rFonts w:ascii="Arial" w:hAnsi="Arial"/>
        </w:rPr>
        <w:tab/>
        <w:t>(c)</w:t>
      </w:r>
      <w:r>
        <w:rPr>
          <w:rFonts w:ascii="Arial" w:hAnsi="Arial"/>
        </w:rPr>
        <w:tab/>
      </w:r>
      <w:r>
        <w:rPr>
          <w:rFonts w:ascii="Arial" w:hAnsi="Arial"/>
        </w:rPr>
        <w:tab/>
        <w:t xml:space="preserve">Price per security </w:t>
      </w:r>
      <w:r w:rsidR="00126631">
        <w:rPr>
          <w:rFonts w:ascii="Arial" w:hAnsi="Arial"/>
          <w:u w:val="single"/>
          <w:lang w:val="en-CA"/>
        </w:rPr>
        <w:t>$0.10</w:t>
      </w:r>
      <w:r w:rsidR="00690DCB">
        <w:rPr>
          <w:rFonts w:ascii="Arial" w:hAnsi="Arial"/>
          <w:u w:val="single"/>
        </w:rPr>
        <w:t xml:space="preserve"> </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71E485A2"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126631" w:rsidRPr="00126631">
        <w:rPr>
          <w:rFonts w:ascii="Arial" w:hAnsi="Arial"/>
          <w:u w:val="single"/>
          <w:lang w:val="en-CA"/>
        </w:rPr>
        <w:t>15,000,000 to 50,000,000</w:t>
      </w:r>
      <w:r>
        <w:rPr>
          <w:rFonts w:ascii="Arial" w:hAnsi="Arial"/>
          <w:u w:val="single"/>
        </w:rPr>
        <w:tab/>
      </w:r>
      <w:r>
        <w:rPr>
          <w:rFonts w:ascii="Arial" w:hAnsi="Arial"/>
        </w:rPr>
        <w:t xml:space="preserve"> .</w:t>
      </w:r>
    </w:p>
    <w:p w14:paraId="7A91E6A1" w14:textId="42077DFB"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126631" w:rsidRPr="00126631">
        <w:rPr>
          <w:rFonts w:ascii="Arial" w:hAnsi="Arial"/>
          <w:u w:val="single"/>
          <w:lang w:val="en-CA"/>
        </w:rPr>
        <w:t>15,000,000 to 50,000,000</w:t>
      </w:r>
      <w:r w:rsidR="00126631">
        <w:rPr>
          <w:rFonts w:ascii="Arial" w:hAnsi="Arial"/>
          <w:u w:val="single"/>
          <w:lang w:val="en-CA"/>
        </w:rPr>
        <w:t xml:space="preserve"> common shares</w:t>
      </w:r>
      <w:r>
        <w:rPr>
          <w:rFonts w:ascii="Arial" w:hAnsi="Arial"/>
          <w:u w:val="single"/>
        </w:rPr>
        <w:tab/>
      </w:r>
    </w:p>
    <w:p w14:paraId="063E5F62" w14:textId="6DDF39E5"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126631">
        <w:rPr>
          <w:rFonts w:ascii="Arial" w:hAnsi="Arial"/>
          <w:u w:val="single"/>
          <w:lang w:val="en-CA"/>
        </w:rPr>
        <w:t>$0.15</w:t>
      </w:r>
      <w:r>
        <w:rPr>
          <w:rFonts w:ascii="Arial" w:hAnsi="Arial"/>
          <w:u w:val="single"/>
        </w:rPr>
        <w:tab/>
      </w:r>
      <w:r>
        <w:rPr>
          <w:rFonts w:ascii="Arial" w:hAnsi="Arial"/>
        </w:rPr>
        <w:t xml:space="preserve"> .</w:t>
      </w:r>
    </w:p>
    <w:p w14:paraId="21DDD55F" w14:textId="36FD3EF6"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852547">
        <w:rPr>
          <w:rFonts w:ascii="Arial" w:hAnsi="Arial"/>
          <w:u w:val="single"/>
        </w:rPr>
        <w:t xml:space="preserve"> </w:t>
      </w:r>
      <w:r w:rsidR="00126631">
        <w:rPr>
          <w:rFonts w:ascii="Arial" w:hAnsi="Arial"/>
          <w:u w:val="single"/>
          <w:lang w:val="en-CA"/>
        </w:rPr>
        <w:t>60 months</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1DE680A9"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w:t>
      </w:r>
      <w:r>
        <w:rPr>
          <w:rFonts w:ascii="Arial" w:hAnsi="Arial"/>
        </w:rPr>
        <w:lastRenderedPageBreak/>
        <w:t xml:space="preserve">over 20% or more of the voting shares if known to the Issuer): </w:t>
      </w:r>
      <w:r w:rsidR="00C414F5" w:rsidRPr="00C414F5">
        <w:rPr>
          <w:rFonts w:ascii="Arial" w:hAnsi="Arial"/>
          <w:u w:val="single"/>
        </w:rPr>
        <w:t>Bloom Burton Securities Inc.</w:t>
      </w:r>
      <w:r w:rsidR="00126631">
        <w:rPr>
          <w:rFonts w:ascii="Arial" w:hAnsi="Arial"/>
          <w:u w:val="single"/>
        </w:rPr>
        <w:t xml:space="preserve"> (lead placement agent) and Research Capital Corp.</w:t>
      </w:r>
      <w:r>
        <w:rPr>
          <w:rFonts w:ascii="Arial" w:hAnsi="Arial"/>
          <w:u w:val="single"/>
        </w:rPr>
        <w:tab/>
      </w:r>
      <w:r>
        <w:rPr>
          <w:rFonts w:ascii="Arial" w:hAnsi="Arial"/>
        </w:rPr>
        <w:t xml:space="preserve"> .</w:t>
      </w:r>
    </w:p>
    <w:p w14:paraId="2AD4D3E9" w14:textId="19282C2A"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126631">
        <w:rPr>
          <w:rFonts w:ascii="Arial" w:hAnsi="Arial"/>
          <w:u w:val="single"/>
        </w:rPr>
        <w:t>7%</w:t>
      </w:r>
      <w:r>
        <w:rPr>
          <w:rFonts w:ascii="Arial" w:hAnsi="Arial"/>
          <w:u w:val="single"/>
        </w:rPr>
        <w:tab/>
      </w:r>
      <w:r>
        <w:rPr>
          <w:rFonts w:ascii="Arial" w:hAnsi="Arial"/>
        </w:rPr>
        <w:t xml:space="preserve"> .</w:t>
      </w:r>
    </w:p>
    <w:p w14:paraId="41D2674A" w14:textId="7DB2E3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126631">
        <w:rPr>
          <w:rFonts w:ascii="Arial" w:hAnsi="Arial"/>
          <w:u w:val="single"/>
        </w:rPr>
        <w:t>7% broker warrants</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37BE2302"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126631">
        <w:rPr>
          <w:rFonts w:ascii="Arial" w:hAnsi="Arial"/>
          <w:u w:val="single"/>
        </w:rPr>
        <w:t>24 months</w:t>
      </w:r>
      <w:r>
        <w:rPr>
          <w:rFonts w:ascii="Arial" w:hAnsi="Arial"/>
          <w:u w:val="single"/>
        </w:rPr>
        <w:tab/>
      </w:r>
      <w:r>
        <w:rPr>
          <w:rFonts w:ascii="Arial" w:hAnsi="Arial"/>
        </w:rPr>
        <w:t xml:space="preserve"> .</w:t>
      </w:r>
    </w:p>
    <w:p w14:paraId="31C4A9AB" w14:textId="583B9B1F"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126631">
        <w:rPr>
          <w:rFonts w:ascii="Arial" w:hAnsi="Arial"/>
          <w:u w:val="single"/>
        </w:rPr>
        <w:t>$0.10</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6A2EAD1E"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w:t>
      </w:r>
      <w:r w:rsidR="00126631">
        <w:rPr>
          <w:rFonts w:ascii="Arial" w:hAnsi="Arial"/>
          <w:u w:val="single"/>
        </w:rPr>
        <w:t>o</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lastRenderedPageBreak/>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6C49614B"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414F5">
        <w:rPr>
          <w:rFonts w:ascii="Arial" w:hAnsi="Arial"/>
          <w:u w:val="single"/>
        </w:rPr>
        <w:t xml:space="preserve">March </w:t>
      </w:r>
      <w:r w:rsidR="00126631">
        <w:rPr>
          <w:rFonts w:ascii="Arial" w:hAnsi="Arial"/>
          <w:u w:val="single"/>
        </w:rPr>
        <w:t>8</w:t>
      </w:r>
      <w:r w:rsidR="007B7501">
        <w:rPr>
          <w:rFonts w:ascii="Arial" w:hAnsi="Arial"/>
          <w:u w:val="single"/>
        </w:rPr>
        <w:t>,</w:t>
      </w:r>
      <w:r w:rsidR="00AE7A10">
        <w:rPr>
          <w:rFonts w:ascii="Arial" w:hAnsi="Arial"/>
          <w:u w:val="single"/>
        </w:rPr>
        <w:t xml:space="preserve"> 202</w:t>
      </w:r>
      <w:r w:rsidR="00C414F5">
        <w:rPr>
          <w:rFonts w:ascii="Arial" w:hAnsi="Arial"/>
          <w:u w:val="single"/>
        </w:rPr>
        <w:t>3</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B64B" w14:textId="77777777" w:rsidR="00604D88" w:rsidRDefault="00604D88">
      <w:r>
        <w:separator/>
      </w:r>
    </w:p>
  </w:endnote>
  <w:endnote w:type="continuationSeparator" w:id="0">
    <w:p w14:paraId="0AA4BF00" w14:textId="77777777" w:rsidR="00604D88" w:rsidRDefault="0060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000000"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1025"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000000">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E55D" w14:textId="77777777" w:rsidR="00604D88" w:rsidRDefault="00604D88">
      <w:r>
        <w:separator/>
      </w:r>
    </w:p>
  </w:footnote>
  <w:footnote w:type="continuationSeparator" w:id="0">
    <w:p w14:paraId="6A86B8B2" w14:textId="77777777" w:rsidR="00604D88" w:rsidRDefault="00604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831604656">
    <w:abstractNumId w:val="2"/>
  </w:num>
  <w:num w:numId="2" w16cid:durableId="45687216">
    <w:abstractNumId w:val="12"/>
  </w:num>
  <w:num w:numId="3" w16cid:durableId="1083794488">
    <w:abstractNumId w:val="9"/>
  </w:num>
  <w:num w:numId="4" w16cid:durableId="1249004606">
    <w:abstractNumId w:val="13"/>
  </w:num>
  <w:num w:numId="5" w16cid:durableId="1408070482">
    <w:abstractNumId w:val="11"/>
  </w:num>
  <w:num w:numId="6" w16cid:durableId="1056900722">
    <w:abstractNumId w:val="0"/>
  </w:num>
  <w:num w:numId="7" w16cid:durableId="186872042">
    <w:abstractNumId w:val="10"/>
  </w:num>
  <w:num w:numId="8" w16cid:durableId="130367567">
    <w:abstractNumId w:val="5"/>
  </w:num>
  <w:num w:numId="9" w16cid:durableId="93793333">
    <w:abstractNumId w:val="7"/>
  </w:num>
  <w:num w:numId="10" w16cid:durableId="1100949406">
    <w:abstractNumId w:val="4"/>
  </w:num>
  <w:num w:numId="11" w16cid:durableId="754013201">
    <w:abstractNumId w:val="14"/>
  </w:num>
  <w:num w:numId="12" w16cid:durableId="1506167477">
    <w:abstractNumId w:val="17"/>
  </w:num>
  <w:num w:numId="13" w16cid:durableId="1411389674">
    <w:abstractNumId w:val="3"/>
  </w:num>
  <w:num w:numId="14" w16cid:durableId="1790316923">
    <w:abstractNumId w:val="8"/>
  </w:num>
  <w:num w:numId="15" w16cid:durableId="1632637150">
    <w:abstractNumId w:val="1"/>
  </w:num>
  <w:num w:numId="16" w16cid:durableId="1075739588">
    <w:abstractNumId w:val="15"/>
  </w:num>
  <w:num w:numId="17" w16cid:durableId="853302703">
    <w:abstractNumId w:val="6"/>
  </w:num>
  <w:num w:numId="18" w16cid:durableId="451556663">
    <w:abstractNumId w:val="16"/>
  </w:num>
  <w:num w:numId="19" w16cid:durableId="334455913">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322F2"/>
    <w:rsid w:val="00053E85"/>
    <w:rsid w:val="00055A87"/>
    <w:rsid w:val="000B64EF"/>
    <w:rsid w:val="000C7CEC"/>
    <w:rsid w:val="000D05DC"/>
    <w:rsid w:val="00116314"/>
    <w:rsid w:val="00122D6D"/>
    <w:rsid w:val="00126631"/>
    <w:rsid w:val="001328A6"/>
    <w:rsid w:val="00173F0B"/>
    <w:rsid w:val="00174ACD"/>
    <w:rsid w:val="00186DA5"/>
    <w:rsid w:val="00227516"/>
    <w:rsid w:val="002557FD"/>
    <w:rsid w:val="002560F1"/>
    <w:rsid w:val="002569D1"/>
    <w:rsid w:val="002B4583"/>
    <w:rsid w:val="002D316D"/>
    <w:rsid w:val="002F0416"/>
    <w:rsid w:val="00305EB6"/>
    <w:rsid w:val="00326D55"/>
    <w:rsid w:val="003431FD"/>
    <w:rsid w:val="0035331C"/>
    <w:rsid w:val="003A0B0B"/>
    <w:rsid w:val="003C6D7E"/>
    <w:rsid w:val="003D4C0B"/>
    <w:rsid w:val="003D5C7F"/>
    <w:rsid w:val="00405894"/>
    <w:rsid w:val="00456624"/>
    <w:rsid w:val="004707A3"/>
    <w:rsid w:val="004817D2"/>
    <w:rsid w:val="004A1403"/>
    <w:rsid w:val="004B214D"/>
    <w:rsid w:val="004C1597"/>
    <w:rsid w:val="005325BA"/>
    <w:rsid w:val="00544BCF"/>
    <w:rsid w:val="005712FB"/>
    <w:rsid w:val="005B7097"/>
    <w:rsid w:val="005C5C64"/>
    <w:rsid w:val="005D6FB9"/>
    <w:rsid w:val="005F14B6"/>
    <w:rsid w:val="005F650E"/>
    <w:rsid w:val="00604D88"/>
    <w:rsid w:val="00617A0E"/>
    <w:rsid w:val="00626CAD"/>
    <w:rsid w:val="0062717F"/>
    <w:rsid w:val="00652C15"/>
    <w:rsid w:val="00690DCB"/>
    <w:rsid w:val="006A23FF"/>
    <w:rsid w:val="006C0815"/>
    <w:rsid w:val="006C3C59"/>
    <w:rsid w:val="007568B3"/>
    <w:rsid w:val="0076309F"/>
    <w:rsid w:val="00764DB7"/>
    <w:rsid w:val="007B0425"/>
    <w:rsid w:val="007B2834"/>
    <w:rsid w:val="007B7501"/>
    <w:rsid w:val="007C4F86"/>
    <w:rsid w:val="008003B9"/>
    <w:rsid w:val="00840B45"/>
    <w:rsid w:val="00852547"/>
    <w:rsid w:val="008B4D69"/>
    <w:rsid w:val="008C2B9E"/>
    <w:rsid w:val="008D1DD1"/>
    <w:rsid w:val="008F27FF"/>
    <w:rsid w:val="008F3A0D"/>
    <w:rsid w:val="009136E7"/>
    <w:rsid w:val="00932496"/>
    <w:rsid w:val="009466F0"/>
    <w:rsid w:val="00952B98"/>
    <w:rsid w:val="0097763E"/>
    <w:rsid w:val="00992348"/>
    <w:rsid w:val="009C1EC2"/>
    <w:rsid w:val="009F017E"/>
    <w:rsid w:val="00A00C54"/>
    <w:rsid w:val="00A10285"/>
    <w:rsid w:val="00A41631"/>
    <w:rsid w:val="00A46B3D"/>
    <w:rsid w:val="00A90670"/>
    <w:rsid w:val="00A93530"/>
    <w:rsid w:val="00A9392C"/>
    <w:rsid w:val="00AE7A10"/>
    <w:rsid w:val="00AF1115"/>
    <w:rsid w:val="00B35DC5"/>
    <w:rsid w:val="00B376D7"/>
    <w:rsid w:val="00B62D98"/>
    <w:rsid w:val="00B923F6"/>
    <w:rsid w:val="00BE2894"/>
    <w:rsid w:val="00C10A32"/>
    <w:rsid w:val="00C22EC2"/>
    <w:rsid w:val="00C36D3A"/>
    <w:rsid w:val="00C414F5"/>
    <w:rsid w:val="00C42DC8"/>
    <w:rsid w:val="00C500F0"/>
    <w:rsid w:val="00C536D3"/>
    <w:rsid w:val="00C64C7A"/>
    <w:rsid w:val="00CC2519"/>
    <w:rsid w:val="00CF076A"/>
    <w:rsid w:val="00CF2A90"/>
    <w:rsid w:val="00CF5580"/>
    <w:rsid w:val="00CF72A4"/>
    <w:rsid w:val="00D37FC7"/>
    <w:rsid w:val="00D63F4F"/>
    <w:rsid w:val="00D66F05"/>
    <w:rsid w:val="00DA6830"/>
    <w:rsid w:val="00DB3C2D"/>
    <w:rsid w:val="00DB3D1C"/>
    <w:rsid w:val="00DB640C"/>
    <w:rsid w:val="00DF0162"/>
    <w:rsid w:val="00E3238B"/>
    <w:rsid w:val="00E55E58"/>
    <w:rsid w:val="00E55F4F"/>
    <w:rsid w:val="00E634BD"/>
    <w:rsid w:val="00E83A64"/>
    <w:rsid w:val="00E97C13"/>
    <w:rsid w:val="00EA4133"/>
    <w:rsid w:val="00F20311"/>
    <w:rsid w:val="00F33BBE"/>
    <w:rsid w:val="00F87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9</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34</cp:revision>
  <cp:lastPrinted>2004-05-20T20:47:00Z</cp:lastPrinted>
  <dcterms:created xsi:type="dcterms:W3CDTF">2018-12-23T13:27:00Z</dcterms:created>
  <dcterms:modified xsi:type="dcterms:W3CDTF">2023-03-08T18:15:00Z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