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BC1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AD8922" w14:textId="34E9DDB4" w:rsidR="00640E94" w:rsidRPr="00D861FE" w:rsidRDefault="00640E94" w:rsidP="00284B6B">
      <w:pPr>
        <w:pStyle w:val="BodyText"/>
        <w:tabs>
          <w:tab w:val="left" w:pos="4590"/>
        </w:tabs>
        <w:ind w:left="4590" w:hanging="4590"/>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proofErr w:type="spellStart"/>
      <w:r w:rsidR="00284B6B">
        <w:rPr>
          <w:rFonts w:ascii="Arial" w:hAnsi="Arial"/>
          <w:i/>
          <w:iCs/>
          <w:color w:val="000000"/>
        </w:rPr>
        <w:t>BetterLife</w:t>
      </w:r>
      <w:proofErr w:type="spellEnd"/>
      <w:r w:rsidR="00284B6B">
        <w:rPr>
          <w:rFonts w:ascii="Arial" w:hAnsi="Arial"/>
          <w:i/>
          <w:iCs/>
          <w:color w:val="000000"/>
        </w:rPr>
        <w:t xml:space="preserve"> Pharma Inc.</w:t>
      </w:r>
      <w:r w:rsidR="008B2474" w:rsidRPr="00D861FE">
        <w:rPr>
          <w:rFonts w:ascii="Arial" w:hAnsi="Arial"/>
          <w:i/>
          <w:color w:val="000000"/>
        </w:rPr>
        <w:t xml:space="preserve"> </w:t>
      </w:r>
      <w:r w:rsidR="00D861FE">
        <w:rPr>
          <w:rFonts w:ascii="Arial" w:hAnsi="Arial"/>
          <w:i/>
          <w:color w:val="000000"/>
        </w:rPr>
        <w:t>(</w:t>
      </w:r>
      <w:r w:rsidR="005E15E0">
        <w:rPr>
          <w:rFonts w:ascii="Arial" w:hAnsi="Arial"/>
          <w:i/>
          <w:color w:val="000000"/>
        </w:rPr>
        <w:t xml:space="preserve">the </w:t>
      </w:r>
      <w:r w:rsidR="00284B6B">
        <w:rPr>
          <w:rFonts w:ascii="Arial" w:hAnsi="Arial"/>
          <w:i/>
          <w:color w:val="000000"/>
        </w:rPr>
        <w:t>“</w:t>
      </w:r>
      <w:r w:rsidR="005E15E0">
        <w:rPr>
          <w:rFonts w:ascii="Arial" w:hAnsi="Arial"/>
          <w:i/>
          <w:color w:val="000000"/>
        </w:rPr>
        <w:t>Company</w:t>
      </w:r>
      <w:r w:rsidR="00284B6B">
        <w:rPr>
          <w:rFonts w:ascii="Arial" w:hAnsi="Arial"/>
          <w:i/>
          <w:color w:val="000000"/>
        </w:rPr>
        <w:t xml:space="preserve">” or </w:t>
      </w:r>
      <w:r w:rsidR="00D861FE">
        <w:rPr>
          <w:rFonts w:ascii="Arial" w:hAnsi="Arial"/>
          <w:i/>
          <w:color w:val="000000"/>
        </w:rPr>
        <w:t>the “Issuer”)</w:t>
      </w:r>
    </w:p>
    <w:p w14:paraId="3772C1D5" w14:textId="3AE398D5"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284B6B">
        <w:rPr>
          <w:rFonts w:ascii="Arial" w:hAnsi="Arial"/>
          <w:i/>
          <w:color w:val="000000"/>
        </w:rPr>
        <w:t>BETR</w:t>
      </w:r>
    </w:p>
    <w:p w14:paraId="4882D21C" w14:textId="7AA3DDF2" w:rsidR="00640E94" w:rsidRPr="007736E2" w:rsidRDefault="00640E94" w:rsidP="008B2474">
      <w:pPr>
        <w:pStyle w:val="BodyText"/>
        <w:tabs>
          <w:tab w:val="left" w:pos="4590"/>
          <w:tab w:val="left" w:pos="7920"/>
          <w:tab w:val="left" w:pos="9180"/>
        </w:tabs>
        <w:rPr>
          <w:rFonts w:ascii="Arial" w:hAnsi="Arial"/>
          <w:i/>
          <w:color w:val="000000"/>
        </w:rPr>
      </w:pPr>
      <w:r w:rsidRPr="00B85C1C">
        <w:rPr>
          <w:rFonts w:ascii="Arial" w:hAnsi="Arial"/>
          <w:color w:val="000000"/>
        </w:rPr>
        <w:t xml:space="preserve">Number of Outstanding </w:t>
      </w:r>
      <w:r w:rsidR="00C27A18" w:rsidRPr="00B85C1C">
        <w:rPr>
          <w:rFonts w:ascii="Arial" w:hAnsi="Arial"/>
          <w:color w:val="000000"/>
        </w:rPr>
        <w:t>Listed</w:t>
      </w:r>
      <w:r w:rsidRPr="00B85C1C">
        <w:rPr>
          <w:rFonts w:ascii="Arial" w:hAnsi="Arial"/>
          <w:color w:val="000000"/>
        </w:rPr>
        <w:t xml:space="preserve"> Securities: </w:t>
      </w:r>
      <w:r w:rsidR="008B2474" w:rsidRPr="00B85C1C">
        <w:rPr>
          <w:rFonts w:ascii="Arial" w:hAnsi="Arial"/>
          <w:color w:val="000000"/>
        </w:rPr>
        <w:tab/>
      </w:r>
      <w:r w:rsidR="003F3CC0" w:rsidRPr="003F3CC0">
        <w:rPr>
          <w:rFonts w:ascii="Arial" w:hAnsi="Arial"/>
          <w:i/>
          <w:color w:val="000000"/>
        </w:rPr>
        <w:t>90,103,876</w:t>
      </w:r>
      <w:r w:rsidR="00D302F2">
        <w:rPr>
          <w:rFonts w:ascii="Arial" w:hAnsi="Arial"/>
          <w:i/>
          <w:color w:val="000000"/>
        </w:rPr>
        <w:t xml:space="preserve"> </w:t>
      </w:r>
      <w:r w:rsidR="00B85C1C" w:rsidRPr="00B85C1C">
        <w:rPr>
          <w:rFonts w:ascii="Arial" w:hAnsi="Arial"/>
          <w:i/>
          <w:color w:val="000000"/>
        </w:rPr>
        <w:t>c</w:t>
      </w:r>
      <w:r w:rsidR="007736E2" w:rsidRPr="00B85C1C">
        <w:rPr>
          <w:rFonts w:ascii="Arial" w:hAnsi="Arial"/>
          <w:i/>
          <w:color w:val="000000"/>
        </w:rPr>
        <w:t>ommon shares</w:t>
      </w:r>
    </w:p>
    <w:p w14:paraId="5DC34BD2" w14:textId="792E5669"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3545DD">
        <w:rPr>
          <w:rFonts w:ascii="Arial" w:hAnsi="Arial"/>
          <w:color w:val="000000"/>
        </w:rPr>
        <w:t>February 7</w:t>
      </w:r>
      <w:r w:rsidR="00FD2A92">
        <w:rPr>
          <w:rFonts w:ascii="Arial" w:hAnsi="Arial"/>
          <w:color w:val="000000"/>
        </w:rPr>
        <w:t>, 202</w:t>
      </w:r>
      <w:r w:rsidR="00F21E5F">
        <w:rPr>
          <w:rFonts w:ascii="Arial" w:hAnsi="Arial"/>
          <w:color w:val="000000"/>
        </w:rPr>
        <w:t>3</w:t>
      </w:r>
    </w:p>
    <w:p w14:paraId="534E1A77" w14:textId="77777777" w:rsidR="00A16B3B" w:rsidRDefault="00A16B3B">
      <w:pPr>
        <w:pStyle w:val="List"/>
        <w:keepLines/>
        <w:spacing w:before="120"/>
        <w:ind w:left="0" w:firstLine="0"/>
        <w:rPr>
          <w:rFonts w:ascii="Arial" w:hAnsi="Arial"/>
          <w:b/>
        </w:rPr>
      </w:pPr>
    </w:p>
    <w:p w14:paraId="50880B19" w14:textId="7DD44453" w:rsidR="00640E94" w:rsidRDefault="00640E94">
      <w:pPr>
        <w:pStyle w:val="List"/>
        <w:keepLines/>
        <w:spacing w:before="120"/>
        <w:ind w:left="0" w:firstLine="0"/>
        <w:rPr>
          <w:rFonts w:ascii="Arial" w:hAnsi="Arial"/>
          <w:b/>
        </w:rPr>
      </w:pPr>
      <w:r>
        <w:rPr>
          <w:rFonts w:ascii="Arial" w:hAnsi="Arial"/>
          <w:b/>
        </w:rPr>
        <w:t>Report on Business</w:t>
      </w:r>
    </w:p>
    <w:p w14:paraId="0E1EA616" w14:textId="77777777" w:rsidR="00640E94" w:rsidRPr="009E14BB" w:rsidRDefault="00640E94">
      <w:pPr>
        <w:pStyle w:val="List"/>
        <w:numPr>
          <w:ilvl w:val="0"/>
          <w:numId w:val="28"/>
        </w:numPr>
        <w:spacing w:before="120"/>
        <w:jc w:val="both"/>
        <w:rPr>
          <w:rFonts w:ascii="Arial" w:hAnsi="Arial"/>
        </w:rPr>
      </w:pPr>
      <w:bookmarkStart w:id="5" w:name="_Hlk36806127"/>
      <w:r>
        <w:rPr>
          <w:rFonts w:ascii="Arial" w:hAnsi="Arial"/>
        </w:rPr>
        <w:t xml:space="preserve">Provide a general overview and discussion of the development of the Issuer’s business and operations over the previous month.  Where the Issuer was </w:t>
      </w:r>
      <w:r w:rsidRPr="009E14BB">
        <w:rPr>
          <w:rFonts w:ascii="Arial" w:hAnsi="Arial"/>
        </w:rPr>
        <w:t>inactive disclose this fact.</w:t>
      </w:r>
    </w:p>
    <w:p w14:paraId="7586DA83" w14:textId="77777777" w:rsidR="003545DD" w:rsidRDefault="003545DD" w:rsidP="003545DD">
      <w:pPr>
        <w:pStyle w:val="List"/>
        <w:spacing w:before="0"/>
        <w:ind w:left="720" w:firstLine="0"/>
        <w:jc w:val="both"/>
        <w:rPr>
          <w:rFonts w:ascii="Arial" w:hAnsi="Arial"/>
          <w:i/>
          <w:iCs/>
        </w:rPr>
      </w:pPr>
    </w:p>
    <w:p w14:paraId="194D2B8E" w14:textId="6DE593F5" w:rsidR="003545DD" w:rsidRDefault="003545DD" w:rsidP="003545DD">
      <w:pPr>
        <w:pStyle w:val="List"/>
        <w:spacing w:before="0"/>
        <w:ind w:left="720" w:firstLine="0"/>
        <w:jc w:val="both"/>
        <w:rPr>
          <w:rFonts w:ascii="Arial" w:hAnsi="Arial" w:cs="Arial"/>
          <w:i/>
          <w:iCs/>
          <w:szCs w:val="24"/>
        </w:rPr>
      </w:pPr>
      <w:r>
        <w:rPr>
          <w:rFonts w:ascii="Arial" w:hAnsi="Arial"/>
          <w:i/>
          <w:iCs/>
        </w:rPr>
        <w:t>In January 2023,</w:t>
      </w:r>
      <w:r w:rsidR="000E12C9">
        <w:rPr>
          <w:rFonts w:ascii="Arial" w:hAnsi="Arial"/>
          <w:i/>
          <w:iCs/>
        </w:rPr>
        <w:t xml:space="preserve"> the Company actively continued general and corporate operations.  T</w:t>
      </w:r>
      <w:r>
        <w:rPr>
          <w:rFonts w:ascii="Arial" w:hAnsi="Arial"/>
          <w:i/>
          <w:iCs/>
        </w:rPr>
        <w:t xml:space="preserve">he Company engaged Bloom Burton Securities Inc. for </w:t>
      </w:r>
      <w:r w:rsidRPr="003545DD">
        <w:rPr>
          <w:rFonts w:ascii="Arial" w:hAnsi="Arial" w:cs="Arial"/>
          <w:i/>
          <w:iCs/>
          <w:szCs w:val="24"/>
        </w:rPr>
        <w:t>strategic advisory services to support the Company’s growth and development initiatives towards clinical trials.</w:t>
      </w:r>
    </w:p>
    <w:p w14:paraId="4588F4EA" w14:textId="77777777" w:rsidR="003545DD" w:rsidRPr="003545DD" w:rsidRDefault="003545DD" w:rsidP="003545DD">
      <w:pPr>
        <w:pStyle w:val="List"/>
        <w:spacing w:before="0"/>
        <w:ind w:left="720" w:firstLine="0"/>
        <w:jc w:val="both"/>
        <w:rPr>
          <w:rFonts w:ascii="Arial" w:hAnsi="Arial" w:cs="Arial"/>
          <w:i/>
          <w:iCs/>
          <w:szCs w:val="24"/>
        </w:rPr>
      </w:pPr>
    </w:p>
    <w:p w14:paraId="39266F50" w14:textId="41A622F7" w:rsidR="003545DD" w:rsidRDefault="003545DD" w:rsidP="003545DD">
      <w:pPr>
        <w:pStyle w:val="List"/>
        <w:spacing w:before="0"/>
        <w:ind w:left="720" w:firstLine="0"/>
        <w:jc w:val="both"/>
        <w:rPr>
          <w:rFonts w:ascii="Arial" w:hAnsi="Arial" w:cs="Arial"/>
          <w:i/>
          <w:iCs/>
          <w:szCs w:val="24"/>
        </w:rPr>
      </w:pPr>
      <w:r w:rsidRPr="003545DD">
        <w:rPr>
          <w:rFonts w:ascii="Arial" w:hAnsi="Arial" w:cs="Arial"/>
          <w:i/>
          <w:iCs/>
          <w:szCs w:val="24"/>
        </w:rPr>
        <w:t>During the month, the Company also provided</w:t>
      </w:r>
      <w:r w:rsidR="00362DD1">
        <w:rPr>
          <w:rFonts w:ascii="Arial" w:hAnsi="Arial" w:cs="Arial"/>
          <w:i/>
          <w:iCs/>
          <w:szCs w:val="24"/>
        </w:rPr>
        <w:t>, by way of a press release,</w:t>
      </w:r>
      <w:r w:rsidRPr="003545DD">
        <w:rPr>
          <w:rFonts w:ascii="Arial" w:hAnsi="Arial" w:cs="Arial"/>
          <w:i/>
          <w:iCs/>
          <w:szCs w:val="24"/>
        </w:rPr>
        <w:t xml:space="preserve"> a summary of its 2022 accomplishments for the advancement of its non-hallucinogenic therapeutics to treat a range of mental health conditions and neurological disorders </w:t>
      </w:r>
      <w:r w:rsidRPr="003545DD">
        <w:rPr>
          <w:rFonts w:ascii="Arial" w:hAnsi="Arial" w:cs="Arial"/>
          <w:i/>
          <w:iCs/>
          <w:szCs w:val="24"/>
        </w:rPr>
        <w:t xml:space="preserve">as well as accomplishments of its </w:t>
      </w:r>
      <w:proofErr w:type="gramStart"/>
      <w:r w:rsidRPr="003545DD">
        <w:rPr>
          <w:rFonts w:ascii="Arial" w:hAnsi="Arial" w:cs="Arial"/>
          <w:i/>
          <w:iCs/>
          <w:szCs w:val="24"/>
        </w:rPr>
        <w:t>wholly</w:t>
      </w:r>
      <w:r w:rsidR="00362DD1">
        <w:rPr>
          <w:rFonts w:ascii="Arial" w:hAnsi="Arial" w:cs="Arial"/>
          <w:i/>
          <w:iCs/>
          <w:szCs w:val="24"/>
        </w:rPr>
        <w:t>-</w:t>
      </w:r>
      <w:r w:rsidRPr="003545DD">
        <w:rPr>
          <w:rFonts w:ascii="Arial" w:hAnsi="Arial" w:cs="Arial"/>
          <w:i/>
          <w:iCs/>
          <w:szCs w:val="24"/>
        </w:rPr>
        <w:t>owned</w:t>
      </w:r>
      <w:proofErr w:type="gramEnd"/>
      <w:r w:rsidRPr="003545DD">
        <w:rPr>
          <w:rFonts w:ascii="Arial" w:hAnsi="Arial" w:cs="Arial"/>
          <w:i/>
          <w:iCs/>
          <w:szCs w:val="24"/>
        </w:rPr>
        <w:t xml:space="preserve"> subsidiary MedMelior</w:t>
      </w:r>
      <w:r w:rsidR="00362DD1">
        <w:rPr>
          <w:rFonts w:ascii="Arial" w:hAnsi="Arial" w:cs="Arial"/>
          <w:i/>
          <w:iCs/>
          <w:szCs w:val="24"/>
        </w:rPr>
        <w:t xml:space="preserve"> Inc</w:t>
      </w:r>
      <w:r w:rsidRPr="003545DD">
        <w:rPr>
          <w:rFonts w:ascii="Arial" w:hAnsi="Arial" w:cs="Arial"/>
          <w:i/>
          <w:iCs/>
          <w:szCs w:val="24"/>
        </w:rPr>
        <w:t>’s</w:t>
      </w:r>
      <w:r w:rsidR="00362DD1">
        <w:rPr>
          <w:rFonts w:ascii="Arial" w:hAnsi="Arial" w:cs="Arial"/>
          <w:i/>
          <w:iCs/>
          <w:szCs w:val="24"/>
        </w:rPr>
        <w:t xml:space="preserve"> (“MedMelior”)</w:t>
      </w:r>
      <w:r w:rsidRPr="003545DD">
        <w:rPr>
          <w:rFonts w:ascii="Arial" w:hAnsi="Arial" w:cs="Arial"/>
          <w:i/>
          <w:iCs/>
          <w:szCs w:val="24"/>
        </w:rPr>
        <w:t xml:space="preserve"> proprietary interferon alpha2b formulations to treat HPV and respiratory viral infections</w:t>
      </w:r>
      <w:r w:rsidRPr="003545DD">
        <w:rPr>
          <w:rFonts w:ascii="Arial" w:hAnsi="Arial" w:cs="Arial"/>
          <w:i/>
          <w:iCs/>
          <w:szCs w:val="24"/>
        </w:rPr>
        <w:t>.</w:t>
      </w:r>
    </w:p>
    <w:p w14:paraId="5A8C7A87" w14:textId="77777777" w:rsidR="003545DD" w:rsidRPr="003545DD" w:rsidRDefault="003545DD" w:rsidP="003545DD">
      <w:pPr>
        <w:pStyle w:val="List"/>
        <w:spacing w:before="0"/>
        <w:ind w:left="720" w:firstLine="0"/>
        <w:jc w:val="both"/>
        <w:rPr>
          <w:rFonts w:ascii="Arial" w:hAnsi="Arial" w:cs="Arial"/>
          <w:i/>
          <w:iCs/>
          <w:szCs w:val="24"/>
        </w:rPr>
      </w:pPr>
    </w:p>
    <w:p w14:paraId="15135745" w14:textId="77777777" w:rsidR="003545DD" w:rsidRPr="003545DD" w:rsidRDefault="003545DD" w:rsidP="003545DD">
      <w:pPr>
        <w:ind w:left="720"/>
        <w:rPr>
          <w:rFonts w:ascii="Arial" w:hAnsi="Arial" w:cs="Arial"/>
          <w:i/>
          <w:iCs/>
          <w:sz w:val="24"/>
          <w:szCs w:val="24"/>
          <w:u w:val="single"/>
        </w:rPr>
      </w:pPr>
      <w:r w:rsidRPr="003545DD">
        <w:rPr>
          <w:rFonts w:ascii="Arial" w:hAnsi="Arial" w:cs="Arial"/>
          <w:i/>
          <w:iCs/>
          <w:sz w:val="24"/>
          <w:szCs w:val="24"/>
          <w:u w:val="single"/>
        </w:rPr>
        <w:t>Manufacturing</w:t>
      </w:r>
    </w:p>
    <w:p w14:paraId="2207B3A1" w14:textId="77777777" w:rsidR="003545DD" w:rsidRPr="003545DD" w:rsidRDefault="003545DD" w:rsidP="003545DD">
      <w:pPr>
        <w:rPr>
          <w:rFonts w:ascii="Arial" w:hAnsi="Arial" w:cs="Arial"/>
          <w:b/>
          <w:bCs/>
          <w:i/>
          <w:iCs/>
          <w:sz w:val="24"/>
          <w:szCs w:val="24"/>
          <w:u w:val="single"/>
        </w:rPr>
      </w:pPr>
    </w:p>
    <w:p w14:paraId="1C82FEDB" w14:textId="776B7AA6" w:rsidR="003545DD" w:rsidRPr="003545DD" w:rsidRDefault="003545DD" w:rsidP="003545DD">
      <w:pPr>
        <w:pStyle w:val="ListParagraph"/>
        <w:numPr>
          <w:ilvl w:val="0"/>
          <w:numId w:val="37"/>
        </w:numPr>
        <w:ind w:left="1080"/>
        <w:contextualSpacing w:val="0"/>
        <w:jc w:val="both"/>
        <w:rPr>
          <w:rFonts w:ascii="Arial" w:hAnsi="Arial" w:cs="Arial"/>
          <w:i/>
          <w:iCs/>
          <w:sz w:val="24"/>
          <w:szCs w:val="24"/>
        </w:rPr>
      </w:pPr>
      <w:r w:rsidRPr="003545DD">
        <w:rPr>
          <w:rFonts w:ascii="Arial" w:hAnsi="Arial" w:cs="Arial"/>
          <w:i/>
          <w:iCs/>
          <w:sz w:val="24"/>
          <w:szCs w:val="24"/>
        </w:rPr>
        <w:t xml:space="preserve">Development of scaled-up (kg batch size) manufacturing of </w:t>
      </w:r>
      <w:r w:rsidR="00362DD1">
        <w:rPr>
          <w:rFonts w:ascii="Arial" w:hAnsi="Arial" w:cs="Arial"/>
          <w:i/>
          <w:iCs/>
          <w:sz w:val="24"/>
          <w:szCs w:val="24"/>
        </w:rPr>
        <w:t>the Company’s</w:t>
      </w:r>
      <w:r w:rsidRPr="003545DD">
        <w:rPr>
          <w:rFonts w:ascii="Arial" w:hAnsi="Arial" w:cs="Arial"/>
          <w:i/>
          <w:iCs/>
          <w:sz w:val="24"/>
          <w:szCs w:val="24"/>
        </w:rPr>
        <w:t xml:space="preserve"> proprietary form of 2-bromo-LSD (“BETR-001”) using </w:t>
      </w:r>
      <w:r w:rsidR="00362DD1">
        <w:rPr>
          <w:rFonts w:ascii="Arial" w:hAnsi="Arial" w:cs="Arial"/>
          <w:i/>
          <w:iCs/>
          <w:sz w:val="24"/>
          <w:szCs w:val="24"/>
        </w:rPr>
        <w:t>Company</w:t>
      </w:r>
      <w:r w:rsidR="00362DD1">
        <w:rPr>
          <w:rFonts w:ascii="Arial" w:hAnsi="Arial" w:cs="Arial"/>
          <w:i/>
          <w:iCs/>
          <w:sz w:val="24"/>
          <w:szCs w:val="24"/>
        </w:rPr>
        <w:t xml:space="preserve">’s </w:t>
      </w:r>
      <w:r w:rsidRPr="003545DD">
        <w:rPr>
          <w:rFonts w:ascii="Arial" w:hAnsi="Arial" w:cs="Arial"/>
          <w:i/>
          <w:iCs/>
          <w:sz w:val="24"/>
          <w:szCs w:val="24"/>
        </w:rPr>
        <w:t>proprietary synthetic pathway. The starting material and whole synthetic pathway do not involve any controlled substance and, therefore, are not bound by controlled substance regulations. Both the synthetic route and the end-product are proprietary (</w:t>
      </w:r>
      <w:r w:rsidR="00362DD1">
        <w:rPr>
          <w:rFonts w:ascii="Arial" w:hAnsi="Arial" w:cs="Arial"/>
          <w:i/>
          <w:iCs/>
          <w:sz w:val="24"/>
          <w:szCs w:val="24"/>
        </w:rPr>
        <w:t>Company</w:t>
      </w:r>
      <w:r w:rsidR="00362DD1">
        <w:rPr>
          <w:rFonts w:ascii="Arial" w:hAnsi="Arial" w:cs="Arial"/>
          <w:i/>
          <w:iCs/>
          <w:sz w:val="24"/>
          <w:szCs w:val="24"/>
        </w:rPr>
        <w:t xml:space="preserve">’s </w:t>
      </w:r>
      <w:r w:rsidRPr="003545DD">
        <w:rPr>
          <w:rFonts w:ascii="Arial" w:hAnsi="Arial" w:cs="Arial"/>
          <w:i/>
          <w:iCs/>
          <w:sz w:val="24"/>
          <w:szCs w:val="24"/>
        </w:rPr>
        <w:t>provisional patents).</w:t>
      </w:r>
    </w:p>
    <w:p w14:paraId="6877E974" w14:textId="77777777" w:rsidR="003545DD" w:rsidRPr="003545DD" w:rsidRDefault="003545DD" w:rsidP="003545DD">
      <w:pPr>
        <w:pStyle w:val="ListParagraph"/>
        <w:numPr>
          <w:ilvl w:val="0"/>
          <w:numId w:val="37"/>
        </w:numPr>
        <w:ind w:left="1080"/>
        <w:contextualSpacing w:val="0"/>
        <w:jc w:val="both"/>
        <w:rPr>
          <w:rFonts w:ascii="Arial" w:hAnsi="Arial" w:cs="Arial"/>
          <w:i/>
          <w:iCs/>
          <w:sz w:val="24"/>
          <w:szCs w:val="24"/>
        </w:rPr>
      </w:pPr>
      <w:r w:rsidRPr="003545DD">
        <w:rPr>
          <w:rFonts w:ascii="Arial" w:hAnsi="Arial" w:cs="Arial"/>
          <w:i/>
          <w:iCs/>
          <w:sz w:val="24"/>
          <w:szCs w:val="24"/>
        </w:rPr>
        <w:t>Initiation of GMP manufacturing of BETR-001.</w:t>
      </w:r>
    </w:p>
    <w:p w14:paraId="5B43F56F" w14:textId="77777777" w:rsidR="003545DD" w:rsidRPr="003545DD" w:rsidRDefault="003545DD" w:rsidP="003545DD">
      <w:pPr>
        <w:jc w:val="both"/>
        <w:rPr>
          <w:rFonts w:ascii="Arial" w:hAnsi="Arial" w:cs="Arial"/>
          <w:i/>
          <w:iCs/>
          <w:sz w:val="24"/>
          <w:szCs w:val="24"/>
        </w:rPr>
      </w:pPr>
    </w:p>
    <w:p w14:paraId="592B8B8C" w14:textId="77777777" w:rsidR="003545DD" w:rsidRPr="003545DD" w:rsidRDefault="003545DD" w:rsidP="003545DD">
      <w:pPr>
        <w:ind w:left="720"/>
        <w:jc w:val="both"/>
        <w:rPr>
          <w:rFonts w:ascii="Arial" w:hAnsi="Arial" w:cs="Arial"/>
          <w:i/>
          <w:iCs/>
          <w:sz w:val="24"/>
          <w:szCs w:val="24"/>
          <w:u w:val="single"/>
        </w:rPr>
      </w:pPr>
      <w:r w:rsidRPr="003545DD">
        <w:rPr>
          <w:rFonts w:ascii="Arial" w:hAnsi="Arial" w:cs="Arial"/>
          <w:i/>
          <w:iCs/>
          <w:sz w:val="24"/>
          <w:szCs w:val="24"/>
          <w:u w:val="single"/>
        </w:rPr>
        <w:t>Preclinical</w:t>
      </w:r>
    </w:p>
    <w:p w14:paraId="76956D19" w14:textId="77777777" w:rsidR="003545DD" w:rsidRPr="003545DD" w:rsidRDefault="003545DD" w:rsidP="003545DD">
      <w:pPr>
        <w:jc w:val="both"/>
        <w:rPr>
          <w:rFonts w:ascii="Arial" w:hAnsi="Arial" w:cs="Arial"/>
          <w:b/>
          <w:bCs/>
          <w:i/>
          <w:iCs/>
          <w:sz w:val="24"/>
          <w:szCs w:val="24"/>
          <w:u w:val="single"/>
        </w:rPr>
      </w:pPr>
    </w:p>
    <w:p w14:paraId="5D873FDB" w14:textId="77777777" w:rsidR="003545DD" w:rsidRPr="003545DD" w:rsidRDefault="003545DD" w:rsidP="003545DD">
      <w:pPr>
        <w:pStyle w:val="ListParagraph"/>
        <w:numPr>
          <w:ilvl w:val="0"/>
          <w:numId w:val="37"/>
        </w:numPr>
        <w:ind w:left="1080"/>
        <w:contextualSpacing w:val="0"/>
        <w:jc w:val="both"/>
        <w:rPr>
          <w:rFonts w:ascii="Arial" w:hAnsi="Arial" w:cs="Arial"/>
          <w:i/>
          <w:iCs/>
          <w:sz w:val="24"/>
          <w:szCs w:val="24"/>
        </w:rPr>
      </w:pPr>
      <w:r w:rsidRPr="003545DD">
        <w:rPr>
          <w:rFonts w:ascii="Arial" w:hAnsi="Arial" w:cs="Arial"/>
          <w:i/>
          <w:iCs/>
          <w:sz w:val="24"/>
          <w:szCs w:val="24"/>
        </w:rPr>
        <w:t xml:space="preserve">A comprehensive preclinical in-vitro and in-vivo characterization of BETR-001 conducted in collaboration with three leading investigators in this field: Dr. Adam L. </w:t>
      </w:r>
      <w:proofErr w:type="spellStart"/>
      <w:r w:rsidRPr="003545DD">
        <w:rPr>
          <w:rFonts w:ascii="Arial" w:hAnsi="Arial" w:cs="Arial"/>
          <w:i/>
          <w:iCs/>
          <w:sz w:val="24"/>
          <w:szCs w:val="24"/>
        </w:rPr>
        <w:t>Halberstadt</w:t>
      </w:r>
      <w:proofErr w:type="spellEnd"/>
      <w:r w:rsidRPr="003545DD">
        <w:rPr>
          <w:rFonts w:ascii="Arial" w:hAnsi="Arial" w:cs="Arial"/>
          <w:i/>
          <w:iCs/>
          <w:sz w:val="24"/>
          <w:szCs w:val="24"/>
        </w:rPr>
        <w:t xml:space="preserve"> (University of California San Diego, USA), Dr. Argel </w:t>
      </w:r>
      <w:r w:rsidRPr="003545DD">
        <w:rPr>
          <w:rFonts w:ascii="Arial" w:hAnsi="Arial" w:cs="Arial"/>
          <w:i/>
          <w:iCs/>
          <w:sz w:val="24"/>
          <w:szCs w:val="24"/>
        </w:rPr>
        <w:lastRenderedPageBreak/>
        <w:t xml:space="preserve">Aguilar-Valles (Carleton University, Canada), and Dr. John D. </w:t>
      </w:r>
      <w:proofErr w:type="spellStart"/>
      <w:r w:rsidRPr="003545DD">
        <w:rPr>
          <w:rFonts w:ascii="Arial" w:hAnsi="Arial" w:cs="Arial"/>
          <w:i/>
          <w:iCs/>
          <w:sz w:val="24"/>
          <w:szCs w:val="24"/>
        </w:rPr>
        <w:t>McCorvy</w:t>
      </w:r>
      <w:proofErr w:type="spellEnd"/>
      <w:r w:rsidRPr="003545DD">
        <w:rPr>
          <w:rFonts w:ascii="Arial" w:hAnsi="Arial" w:cs="Arial"/>
          <w:i/>
          <w:iCs/>
          <w:sz w:val="24"/>
          <w:szCs w:val="24"/>
        </w:rPr>
        <w:t xml:space="preserve"> (Medical College of Wisconsin, USA). </w:t>
      </w:r>
    </w:p>
    <w:p w14:paraId="28A9A46E" w14:textId="77777777" w:rsidR="003545DD" w:rsidRPr="003545DD" w:rsidRDefault="003545DD" w:rsidP="003545DD">
      <w:pPr>
        <w:pStyle w:val="ListParagraph"/>
        <w:numPr>
          <w:ilvl w:val="0"/>
          <w:numId w:val="37"/>
        </w:numPr>
        <w:ind w:left="1080"/>
        <w:contextualSpacing w:val="0"/>
        <w:jc w:val="both"/>
        <w:rPr>
          <w:rFonts w:ascii="Arial" w:hAnsi="Arial" w:cs="Arial"/>
          <w:i/>
          <w:iCs/>
          <w:sz w:val="24"/>
          <w:szCs w:val="24"/>
        </w:rPr>
      </w:pPr>
      <w:r w:rsidRPr="003545DD">
        <w:rPr>
          <w:rFonts w:ascii="Arial" w:hAnsi="Arial" w:cs="Arial"/>
          <w:i/>
          <w:iCs/>
          <w:sz w:val="24"/>
          <w:szCs w:val="24"/>
        </w:rPr>
        <w:t>The studies include an in vitro pharmacological profiling of BETR-001 over 30 key neuroreceptors in parallel with its parent compound LSD, as well as in-vivo studies in mouse models, showing the non-hallucinogenic profile of BETR-001 as well as its effective structural neuroplasticity and anti-depressant profile. Furthermore, the research provides insight into the mechanism for the non-hallucinogenic activity of BETR-001, as well as other key pharmacological differences between BETR-001 and LSD which could potentially translate into significant therapeutic benefits of BETR-001.</w:t>
      </w:r>
    </w:p>
    <w:p w14:paraId="0F15CAB5" w14:textId="77777777" w:rsidR="003545DD" w:rsidRPr="003545DD" w:rsidRDefault="003545DD" w:rsidP="003545DD">
      <w:pPr>
        <w:pStyle w:val="ListParagraph"/>
        <w:numPr>
          <w:ilvl w:val="0"/>
          <w:numId w:val="37"/>
        </w:numPr>
        <w:ind w:left="1080"/>
        <w:contextualSpacing w:val="0"/>
        <w:jc w:val="both"/>
        <w:rPr>
          <w:rFonts w:ascii="Arial" w:hAnsi="Arial" w:cs="Arial"/>
          <w:i/>
          <w:iCs/>
          <w:sz w:val="24"/>
          <w:szCs w:val="24"/>
        </w:rPr>
      </w:pPr>
      <w:r w:rsidRPr="003545DD">
        <w:rPr>
          <w:rFonts w:ascii="Arial" w:hAnsi="Arial" w:cs="Arial"/>
          <w:i/>
          <w:iCs/>
          <w:sz w:val="24"/>
          <w:szCs w:val="24"/>
        </w:rPr>
        <w:t>At the end of 2022, the manuscript on the BETR-001 preclinical data was submitted to a high impact peer-reviewed scientific journal for publication and is currently awaiting review outcome.</w:t>
      </w:r>
    </w:p>
    <w:p w14:paraId="520E44D0" w14:textId="77777777" w:rsidR="003545DD" w:rsidRPr="003545DD" w:rsidRDefault="003545DD" w:rsidP="003545DD">
      <w:pPr>
        <w:jc w:val="both"/>
        <w:rPr>
          <w:rFonts w:ascii="Arial" w:hAnsi="Arial" w:cs="Arial"/>
          <w:i/>
          <w:iCs/>
          <w:sz w:val="24"/>
          <w:szCs w:val="24"/>
        </w:rPr>
      </w:pPr>
    </w:p>
    <w:p w14:paraId="0872CF36" w14:textId="77777777" w:rsidR="003545DD" w:rsidRPr="003545DD" w:rsidRDefault="003545DD" w:rsidP="003545DD">
      <w:pPr>
        <w:ind w:left="720"/>
        <w:jc w:val="both"/>
        <w:rPr>
          <w:rFonts w:ascii="Arial" w:hAnsi="Arial" w:cs="Arial"/>
          <w:i/>
          <w:iCs/>
          <w:sz w:val="24"/>
          <w:szCs w:val="24"/>
          <w:u w:val="single"/>
        </w:rPr>
      </w:pPr>
      <w:r w:rsidRPr="003545DD">
        <w:rPr>
          <w:rFonts w:ascii="Arial" w:hAnsi="Arial" w:cs="Arial"/>
          <w:i/>
          <w:iCs/>
          <w:sz w:val="24"/>
          <w:szCs w:val="24"/>
          <w:u w:val="single"/>
        </w:rPr>
        <w:t>Regulatory</w:t>
      </w:r>
    </w:p>
    <w:p w14:paraId="3783F075" w14:textId="77777777" w:rsidR="003545DD" w:rsidRPr="003545DD" w:rsidRDefault="003545DD" w:rsidP="003545DD">
      <w:pPr>
        <w:jc w:val="both"/>
        <w:rPr>
          <w:rFonts w:ascii="Arial" w:hAnsi="Arial" w:cs="Arial"/>
          <w:b/>
          <w:bCs/>
          <w:i/>
          <w:iCs/>
          <w:sz w:val="24"/>
          <w:szCs w:val="24"/>
          <w:u w:val="single"/>
        </w:rPr>
      </w:pPr>
    </w:p>
    <w:p w14:paraId="5BAC87ED" w14:textId="77777777" w:rsidR="003545DD" w:rsidRPr="003545DD" w:rsidRDefault="003545DD" w:rsidP="003545DD">
      <w:pPr>
        <w:pStyle w:val="ListParagraph"/>
        <w:numPr>
          <w:ilvl w:val="0"/>
          <w:numId w:val="37"/>
        </w:numPr>
        <w:ind w:left="1080"/>
        <w:contextualSpacing w:val="0"/>
        <w:jc w:val="both"/>
        <w:rPr>
          <w:rFonts w:ascii="Arial" w:hAnsi="Arial" w:cs="Arial"/>
          <w:i/>
          <w:iCs/>
          <w:sz w:val="24"/>
          <w:szCs w:val="24"/>
        </w:rPr>
      </w:pPr>
      <w:r w:rsidRPr="003545DD">
        <w:rPr>
          <w:rFonts w:ascii="Arial" w:hAnsi="Arial" w:cs="Arial"/>
          <w:i/>
          <w:iCs/>
          <w:sz w:val="24"/>
          <w:szCs w:val="24"/>
        </w:rPr>
        <w:t xml:space="preserve">Initiation of IND-enabling GLP toxicology studies.  Studies are ongoing. </w:t>
      </w:r>
    </w:p>
    <w:p w14:paraId="04E77D9F" w14:textId="77777777" w:rsidR="003545DD" w:rsidRPr="003545DD" w:rsidRDefault="003545DD" w:rsidP="003545DD">
      <w:pPr>
        <w:pStyle w:val="ListParagraph"/>
        <w:numPr>
          <w:ilvl w:val="0"/>
          <w:numId w:val="37"/>
        </w:numPr>
        <w:ind w:left="1080"/>
        <w:contextualSpacing w:val="0"/>
        <w:jc w:val="both"/>
        <w:rPr>
          <w:rFonts w:ascii="Arial" w:hAnsi="Arial" w:cs="Arial"/>
          <w:i/>
          <w:iCs/>
          <w:sz w:val="24"/>
          <w:szCs w:val="24"/>
        </w:rPr>
      </w:pPr>
      <w:r w:rsidRPr="003545DD">
        <w:rPr>
          <w:rFonts w:ascii="Arial" w:hAnsi="Arial" w:cs="Arial"/>
          <w:i/>
          <w:iCs/>
          <w:sz w:val="24"/>
          <w:szCs w:val="24"/>
        </w:rPr>
        <w:t>IND-enabling studies are based on guidance from the BETR-001 pre-IND FDA meeting held in 2021.</w:t>
      </w:r>
    </w:p>
    <w:p w14:paraId="3FCAED2A" w14:textId="77777777" w:rsidR="003545DD" w:rsidRPr="003545DD" w:rsidRDefault="003545DD" w:rsidP="003545DD">
      <w:pPr>
        <w:jc w:val="both"/>
        <w:rPr>
          <w:rFonts w:ascii="Arial" w:hAnsi="Arial" w:cs="Arial"/>
          <w:i/>
          <w:iCs/>
          <w:sz w:val="24"/>
          <w:szCs w:val="24"/>
        </w:rPr>
      </w:pPr>
    </w:p>
    <w:p w14:paraId="66F94B22" w14:textId="77777777" w:rsidR="003545DD" w:rsidRPr="003545DD" w:rsidRDefault="003545DD" w:rsidP="003545DD">
      <w:pPr>
        <w:ind w:left="720"/>
        <w:jc w:val="both"/>
        <w:rPr>
          <w:rFonts w:ascii="Arial" w:hAnsi="Arial" w:cs="Arial"/>
          <w:i/>
          <w:iCs/>
          <w:sz w:val="24"/>
          <w:szCs w:val="24"/>
          <w:u w:val="single"/>
        </w:rPr>
      </w:pPr>
      <w:r w:rsidRPr="003545DD">
        <w:rPr>
          <w:rFonts w:ascii="Arial" w:hAnsi="Arial" w:cs="Arial"/>
          <w:i/>
          <w:iCs/>
          <w:sz w:val="24"/>
          <w:szCs w:val="24"/>
          <w:u w:val="single"/>
        </w:rPr>
        <w:t>Intellectual Property</w:t>
      </w:r>
    </w:p>
    <w:p w14:paraId="04C44041" w14:textId="77777777" w:rsidR="003545DD" w:rsidRPr="003545DD" w:rsidRDefault="003545DD" w:rsidP="003545DD">
      <w:pPr>
        <w:jc w:val="both"/>
        <w:rPr>
          <w:rFonts w:ascii="Arial" w:hAnsi="Arial" w:cs="Arial"/>
          <w:b/>
          <w:bCs/>
          <w:i/>
          <w:iCs/>
          <w:sz w:val="24"/>
          <w:szCs w:val="24"/>
          <w:u w:val="single"/>
        </w:rPr>
      </w:pPr>
    </w:p>
    <w:p w14:paraId="77E1BC7A" w14:textId="77777777" w:rsidR="003545DD" w:rsidRPr="003545DD" w:rsidRDefault="003545DD" w:rsidP="003545DD">
      <w:pPr>
        <w:pStyle w:val="ListParagraph"/>
        <w:numPr>
          <w:ilvl w:val="0"/>
          <w:numId w:val="37"/>
        </w:numPr>
        <w:ind w:left="1080"/>
        <w:contextualSpacing w:val="0"/>
        <w:jc w:val="both"/>
        <w:rPr>
          <w:rFonts w:ascii="Arial" w:hAnsi="Arial" w:cs="Arial"/>
          <w:i/>
          <w:iCs/>
          <w:sz w:val="24"/>
          <w:szCs w:val="24"/>
        </w:rPr>
      </w:pPr>
      <w:r w:rsidRPr="003545DD">
        <w:rPr>
          <w:rFonts w:ascii="Arial" w:hAnsi="Arial" w:cs="Arial"/>
          <w:i/>
          <w:iCs/>
          <w:sz w:val="24"/>
          <w:szCs w:val="24"/>
        </w:rPr>
        <w:t xml:space="preserve">Filing of </w:t>
      </w:r>
      <w:r w:rsidRPr="003545DD">
        <w:rPr>
          <w:rFonts w:ascii="Arial" w:hAnsi="Arial" w:cs="Arial"/>
          <w:i/>
          <w:iCs/>
          <w:sz w:val="24"/>
          <w:szCs w:val="24"/>
          <w:lang w:val="en-GB"/>
        </w:rPr>
        <w:t xml:space="preserve">a PCT patent application along with a U.S. application for </w:t>
      </w:r>
      <w:r w:rsidRPr="003545DD">
        <w:rPr>
          <w:rFonts w:ascii="Arial" w:hAnsi="Arial" w:cs="Arial"/>
          <w:i/>
          <w:iCs/>
          <w:sz w:val="24"/>
          <w:szCs w:val="24"/>
        </w:rPr>
        <w:t xml:space="preserve">LSD </w:t>
      </w:r>
      <w:r w:rsidRPr="003545DD">
        <w:rPr>
          <w:rFonts w:ascii="Arial" w:hAnsi="Arial" w:cs="Arial"/>
          <w:i/>
          <w:iCs/>
          <w:sz w:val="24"/>
          <w:szCs w:val="24"/>
          <w:lang w:val="en-GB"/>
        </w:rPr>
        <w:t xml:space="preserve">derivatives, including 2-bromo-LSD. The applications cover compositions of these derivatives; their synthesis without involving controlled substances; and their use in the treatment of a </w:t>
      </w:r>
      <w:r w:rsidRPr="003545DD">
        <w:rPr>
          <w:rFonts w:ascii="Arial" w:hAnsi="Arial" w:cs="Arial"/>
          <w:i/>
          <w:iCs/>
          <w:sz w:val="24"/>
          <w:szCs w:val="24"/>
        </w:rPr>
        <w:t>range of neuropsychiatric and neurological conditions, including depression, anxiety, PTSD, and neuropathic</w:t>
      </w:r>
      <w:r w:rsidRPr="003545DD">
        <w:rPr>
          <w:rFonts w:ascii="Arial" w:hAnsi="Arial" w:cs="Arial"/>
          <w:i/>
          <w:iCs/>
          <w:sz w:val="24"/>
          <w:szCs w:val="24"/>
          <w:lang w:val="en-GB"/>
        </w:rPr>
        <w:t xml:space="preserve"> pain.</w:t>
      </w:r>
    </w:p>
    <w:p w14:paraId="2A087D5F" w14:textId="77777777" w:rsidR="003545DD" w:rsidRPr="003545DD" w:rsidRDefault="003545DD" w:rsidP="003545DD">
      <w:pPr>
        <w:jc w:val="both"/>
        <w:rPr>
          <w:rFonts w:ascii="Arial" w:hAnsi="Arial" w:cs="Arial"/>
          <w:i/>
          <w:iCs/>
          <w:sz w:val="24"/>
          <w:szCs w:val="24"/>
        </w:rPr>
      </w:pPr>
    </w:p>
    <w:p w14:paraId="22BE7277" w14:textId="77777777" w:rsidR="003545DD" w:rsidRPr="003545DD" w:rsidRDefault="003545DD" w:rsidP="003545DD">
      <w:pPr>
        <w:ind w:left="720"/>
        <w:jc w:val="both"/>
        <w:rPr>
          <w:rFonts w:ascii="Arial" w:hAnsi="Arial" w:cs="Arial"/>
          <w:i/>
          <w:iCs/>
          <w:sz w:val="24"/>
          <w:szCs w:val="24"/>
          <w:u w:val="single"/>
        </w:rPr>
      </w:pPr>
      <w:r w:rsidRPr="003545DD">
        <w:rPr>
          <w:rFonts w:ascii="Arial" w:hAnsi="Arial" w:cs="Arial"/>
          <w:i/>
          <w:iCs/>
          <w:sz w:val="24"/>
          <w:szCs w:val="24"/>
          <w:u w:val="single"/>
        </w:rPr>
        <w:t>Scientific Publications</w:t>
      </w:r>
    </w:p>
    <w:p w14:paraId="7F3A079C" w14:textId="77777777" w:rsidR="003545DD" w:rsidRPr="003545DD" w:rsidRDefault="003545DD" w:rsidP="003545DD">
      <w:pPr>
        <w:jc w:val="both"/>
        <w:rPr>
          <w:rFonts w:ascii="Arial" w:hAnsi="Arial" w:cs="Arial"/>
          <w:b/>
          <w:bCs/>
          <w:i/>
          <w:iCs/>
          <w:sz w:val="24"/>
          <w:szCs w:val="24"/>
          <w:u w:val="single"/>
        </w:rPr>
      </w:pPr>
    </w:p>
    <w:p w14:paraId="7042D757" w14:textId="77777777" w:rsidR="003545DD" w:rsidRPr="003545DD" w:rsidRDefault="003545DD" w:rsidP="003545DD">
      <w:pPr>
        <w:ind w:left="720"/>
        <w:jc w:val="both"/>
        <w:rPr>
          <w:rFonts w:ascii="Arial" w:hAnsi="Arial" w:cs="Arial"/>
          <w:i/>
          <w:iCs/>
          <w:sz w:val="24"/>
          <w:szCs w:val="24"/>
        </w:rPr>
      </w:pPr>
      <w:r w:rsidRPr="003545DD">
        <w:rPr>
          <w:rFonts w:ascii="Arial" w:hAnsi="Arial" w:cs="Arial"/>
          <w:i/>
          <w:iCs/>
          <w:sz w:val="24"/>
          <w:szCs w:val="24"/>
        </w:rPr>
        <w:t>Scientific presentations on BETR-001 preclinical data were made at the following conferences:</w:t>
      </w:r>
    </w:p>
    <w:p w14:paraId="4F4C258E" w14:textId="77777777" w:rsidR="003545DD" w:rsidRPr="003545DD" w:rsidRDefault="003545DD" w:rsidP="003545DD">
      <w:pPr>
        <w:jc w:val="both"/>
        <w:rPr>
          <w:rFonts w:ascii="Arial" w:hAnsi="Arial" w:cs="Arial"/>
          <w:i/>
          <w:iCs/>
          <w:sz w:val="24"/>
          <w:szCs w:val="24"/>
        </w:rPr>
      </w:pPr>
    </w:p>
    <w:p w14:paraId="3749A9A7" w14:textId="77777777" w:rsidR="003545DD" w:rsidRPr="003545DD" w:rsidRDefault="003545DD" w:rsidP="003545DD">
      <w:pPr>
        <w:pStyle w:val="ListParagraph"/>
        <w:numPr>
          <w:ilvl w:val="0"/>
          <w:numId w:val="37"/>
        </w:numPr>
        <w:ind w:left="1080"/>
        <w:contextualSpacing w:val="0"/>
        <w:jc w:val="both"/>
        <w:rPr>
          <w:rFonts w:ascii="Arial" w:hAnsi="Arial" w:cs="Arial"/>
          <w:i/>
          <w:iCs/>
          <w:sz w:val="24"/>
          <w:szCs w:val="24"/>
        </w:rPr>
      </w:pPr>
      <w:r w:rsidRPr="003545DD">
        <w:rPr>
          <w:rFonts w:ascii="Arial" w:hAnsi="Arial" w:cs="Arial"/>
          <w:i/>
          <w:iCs/>
          <w:sz w:val="24"/>
          <w:szCs w:val="24"/>
        </w:rPr>
        <w:t>Canadian Association for Neuroscience (CAN) / May 12-15, 2022 / Toronto, Canada.</w:t>
      </w:r>
    </w:p>
    <w:p w14:paraId="1FFE492E" w14:textId="77777777" w:rsidR="003545DD" w:rsidRPr="003545DD" w:rsidRDefault="003545DD" w:rsidP="003545DD">
      <w:pPr>
        <w:pStyle w:val="ListParagraph"/>
        <w:numPr>
          <w:ilvl w:val="0"/>
          <w:numId w:val="37"/>
        </w:numPr>
        <w:ind w:left="1080"/>
        <w:contextualSpacing w:val="0"/>
        <w:jc w:val="both"/>
        <w:rPr>
          <w:rFonts w:ascii="Arial" w:hAnsi="Arial" w:cs="Arial"/>
          <w:i/>
          <w:iCs/>
          <w:sz w:val="24"/>
          <w:szCs w:val="24"/>
        </w:rPr>
      </w:pPr>
      <w:r w:rsidRPr="003545DD">
        <w:rPr>
          <w:rFonts w:ascii="Arial" w:hAnsi="Arial" w:cs="Arial"/>
          <w:i/>
          <w:iCs/>
          <w:sz w:val="24"/>
          <w:szCs w:val="24"/>
          <w:lang w:val="en-GB"/>
        </w:rPr>
        <w:t>Federation of European Neuroscience Societies (</w:t>
      </w:r>
      <w:r w:rsidRPr="003545DD">
        <w:rPr>
          <w:rFonts w:ascii="Arial" w:hAnsi="Arial" w:cs="Arial"/>
          <w:i/>
          <w:iCs/>
          <w:sz w:val="24"/>
          <w:szCs w:val="24"/>
        </w:rPr>
        <w:t xml:space="preserve">FENS) / July 9-13, 2022 / Paris, France. </w:t>
      </w:r>
    </w:p>
    <w:p w14:paraId="794A378F" w14:textId="77777777" w:rsidR="003545DD" w:rsidRPr="003545DD" w:rsidRDefault="003545DD" w:rsidP="003545DD">
      <w:pPr>
        <w:pStyle w:val="ListParagraph"/>
        <w:numPr>
          <w:ilvl w:val="0"/>
          <w:numId w:val="37"/>
        </w:numPr>
        <w:ind w:left="1080"/>
        <w:contextualSpacing w:val="0"/>
        <w:jc w:val="both"/>
        <w:rPr>
          <w:rFonts w:ascii="Arial" w:hAnsi="Arial" w:cs="Arial"/>
          <w:i/>
          <w:iCs/>
          <w:sz w:val="24"/>
          <w:szCs w:val="24"/>
        </w:rPr>
      </w:pPr>
      <w:r w:rsidRPr="003545DD">
        <w:rPr>
          <w:rFonts w:ascii="Arial" w:hAnsi="Arial" w:cs="Arial"/>
          <w:i/>
          <w:iCs/>
          <w:sz w:val="24"/>
          <w:szCs w:val="24"/>
          <w:lang w:val="en-GB"/>
        </w:rPr>
        <w:t>61</w:t>
      </w:r>
      <w:r w:rsidRPr="003545DD">
        <w:rPr>
          <w:rFonts w:ascii="Arial" w:hAnsi="Arial" w:cs="Arial"/>
          <w:i/>
          <w:iCs/>
          <w:sz w:val="24"/>
          <w:szCs w:val="24"/>
          <w:vertAlign w:val="superscript"/>
          <w:lang w:val="en-GB"/>
        </w:rPr>
        <w:t>st</w:t>
      </w:r>
      <w:r w:rsidRPr="003545DD">
        <w:rPr>
          <w:rFonts w:ascii="Arial" w:hAnsi="Arial" w:cs="Arial"/>
          <w:i/>
          <w:iCs/>
          <w:sz w:val="24"/>
          <w:szCs w:val="24"/>
          <w:lang w:val="en-GB"/>
        </w:rPr>
        <w:t xml:space="preserve"> Annual Meeting of the American College of Neuropsychopharmacology (</w:t>
      </w:r>
      <w:r w:rsidRPr="003545DD">
        <w:rPr>
          <w:rFonts w:ascii="Arial" w:hAnsi="Arial" w:cs="Arial"/>
          <w:i/>
          <w:iCs/>
          <w:sz w:val="24"/>
          <w:szCs w:val="24"/>
        </w:rPr>
        <w:t>ACNP) / December 4-7, 2022 / Phoenix, Arizona.</w:t>
      </w:r>
    </w:p>
    <w:p w14:paraId="2F425E97" w14:textId="77777777" w:rsidR="003545DD" w:rsidRPr="003545DD" w:rsidRDefault="003545DD" w:rsidP="003545DD">
      <w:pPr>
        <w:pStyle w:val="ListParagraph"/>
        <w:numPr>
          <w:ilvl w:val="0"/>
          <w:numId w:val="37"/>
        </w:numPr>
        <w:ind w:left="1080"/>
        <w:contextualSpacing w:val="0"/>
        <w:jc w:val="both"/>
        <w:rPr>
          <w:rFonts w:ascii="Arial" w:hAnsi="Arial" w:cs="Arial"/>
          <w:i/>
          <w:iCs/>
          <w:sz w:val="24"/>
          <w:szCs w:val="24"/>
        </w:rPr>
      </w:pPr>
      <w:r w:rsidRPr="003545DD">
        <w:rPr>
          <w:rFonts w:ascii="Arial" w:hAnsi="Arial" w:cs="Arial"/>
          <w:i/>
          <w:iCs/>
          <w:sz w:val="24"/>
          <w:szCs w:val="24"/>
        </w:rPr>
        <w:t xml:space="preserve">Abstract submitted and accepted for presentation at the Annual Conference of Society of Biological Psychiatry (SOBP) / April 27-29, 2023 / San Diego, California. </w:t>
      </w:r>
    </w:p>
    <w:p w14:paraId="2033813A" w14:textId="77777777" w:rsidR="003545DD" w:rsidRPr="003545DD" w:rsidRDefault="003545DD" w:rsidP="003545DD">
      <w:pPr>
        <w:spacing w:line="247" w:lineRule="auto"/>
        <w:jc w:val="both"/>
        <w:rPr>
          <w:rFonts w:ascii="Arial" w:hAnsi="Arial" w:cs="Arial"/>
          <w:i/>
          <w:iCs/>
          <w:sz w:val="24"/>
          <w:szCs w:val="24"/>
          <w:lang w:eastAsia="en-GB"/>
        </w:rPr>
      </w:pPr>
    </w:p>
    <w:p w14:paraId="1DDD550B" w14:textId="77777777" w:rsidR="00362DD1" w:rsidRDefault="00362DD1">
      <w:pPr>
        <w:rPr>
          <w:rFonts w:ascii="Arial" w:hAnsi="Arial" w:cs="Arial"/>
          <w:i/>
          <w:iCs/>
          <w:sz w:val="24"/>
          <w:szCs w:val="24"/>
          <w:u w:val="single"/>
        </w:rPr>
      </w:pPr>
      <w:r>
        <w:rPr>
          <w:rFonts w:ascii="Arial" w:hAnsi="Arial" w:cs="Arial"/>
          <w:i/>
          <w:iCs/>
          <w:sz w:val="24"/>
          <w:szCs w:val="24"/>
          <w:u w:val="single"/>
        </w:rPr>
        <w:br w:type="page"/>
      </w:r>
    </w:p>
    <w:p w14:paraId="72F154A6" w14:textId="76EA842B" w:rsidR="003545DD" w:rsidRPr="003545DD" w:rsidRDefault="003545DD" w:rsidP="003545DD">
      <w:pPr>
        <w:ind w:left="720"/>
        <w:jc w:val="both"/>
        <w:rPr>
          <w:rFonts w:ascii="Arial" w:hAnsi="Arial" w:cs="Arial"/>
          <w:i/>
          <w:iCs/>
          <w:sz w:val="24"/>
          <w:szCs w:val="24"/>
          <w:u w:val="single"/>
        </w:rPr>
      </w:pPr>
      <w:r w:rsidRPr="003545DD">
        <w:rPr>
          <w:rFonts w:ascii="Arial" w:hAnsi="Arial" w:cs="Arial"/>
          <w:i/>
          <w:iCs/>
          <w:sz w:val="24"/>
          <w:szCs w:val="24"/>
          <w:u w:val="single"/>
        </w:rPr>
        <w:lastRenderedPageBreak/>
        <w:t>MedMelior</w:t>
      </w:r>
    </w:p>
    <w:p w14:paraId="2F49688E" w14:textId="77777777" w:rsidR="003545DD" w:rsidRPr="003545DD" w:rsidRDefault="003545DD" w:rsidP="003545DD">
      <w:pPr>
        <w:jc w:val="both"/>
        <w:rPr>
          <w:rFonts w:ascii="Arial" w:hAnsi="Arial" w:cs="Arial"/>
          <w:b/>
          <w:bCs/>
          <w:i/>
          <w:iCs/>
          <w:sz w:val="24"/>
          <w:szCs w:val="24"/>
          <w:u w:val="single"/>
        </w:rPr>
      </w:pPr>
    </w:p>
    <w:p w14:paraId="2E3CD9FE" w14:textId="77777777" w:rsidR="003545DD" w:rsidRPr="003545DD" w:rsidRDefault="003545DD" w:rsidP="003545DD">
      <w:pPr>
        <w:pStyle w:val="ListParagraph"/>
        <w:numPr>
          <w:ilvl w:val="0"/>
          <w:numId w:val="37"/>
        </w:numPr>
        <w:ind w:left="1080"/>
        <w:contextualSpacing w:val="0"/>
        <w:jc w:val="both"/>
        <w:rPr>
          <w:rFonts w:ascii="Arial" w:hAnsi="Arial" w:cs="Arial"/>
          <w:i/>
          <w:iCs/>
          <w:sz w:val="24"/>
          <w:szCs w:val="24"/>
        </w:rPr>
      </w:pPr>
      <w:proofErr w:type="spellStart"/>
      <w:r w:rsidRPr="003545DD">
        <w:rPr>
          <w:rFonts w:ascii="Arial" w:hAnsi="Arial" w:cs="Arial"/>
          <w:i/>
          <w:iCs/>
          <w:sz w:val="24"/>
          <w:szCs w:val="24"/>
        </w:rPr>
        <w:t>MedMelior’s</w:t>
      </w:r>
      <w:proofErr w:type="spellEnd"/>
      <w:r w:rsidRPr="003545DD">
        <w:rPr>
          <w:rFonts w:ascii="Arial" w:hAnsi="Arial" w:cs="Arial"/>
          <w:i/>
          <w:iCs/>
          <w:sz w:val="24"/>
          <w:szCs w:val="24"/>
        </w:rPr>
        <w:t xml:space="preserve"> interferon alpha 2b (“IFNa2b”) provisional patent (manufacturing, cell bank, formulation, and use) was entered into national filing phase in different countries.</w:t>
      </w:r>
    </w:p>
    <w:p w14:paraId="6F83A6E8" w14:textId="77777777" w:rsidR="003545DD" w:rsidRPr="003545DD" w:rsidRDefault="003545DD" w:rsidP="003545DD">
      <w:pPr>
        <w:pStyle w:val="ListParagraph"/>
        <w:numPr>
          <w:ilvl w:val="0"/>
          <w:numId w:val="37"/>
        </w:numPr>
        <w:ind w:left="1080"/>
        <w:contextualSpacing w:val="0"/>
        <w:jc w:val="both"/>
        <w:rPr>
          <w:rFonts w:ascii="Arial" w:hAnsi="Arial" w:cs="Arial"/>
          <w:i/>
          <w:iCs/>
          <w:sz w:val="24"/>
          <w:szCs w:val="24"/>
        </w:rPr>
      </w:pPr>
      <w:r w:rsidRPr="003545DD">
        <w:rPr>
          <w:rFonts w:ascii="Arial" w:hAnsi="Arial" w:cs="Arial"/>
          <w:i/>
          <w:iCs/>
          <w:sz w:val="24"/>
          <w:szCs w:val="24"/>
          <w:lang w:eastAsia="en-GB"/>
        </w:rPr>
        <w:t xml:space="preserve">A Phase 1 trial in healthy subjects was completed with MM-003 (IFNa2b in </w:t>
      </w:r>
      <w:proofErr w:type="spellStart"/>
      <w:r w:rsidRPr="003545DD">
        <w:rPr>
          <w:rFonts w:ascii="Arial" w:hAnsi="Arial" w:cs="Arial"/>
          <w:i/>
          <w:iCs/>
          <w:sz w:val="24"/>
          <w:szCs w:val="24"/>
          <w:lang w:eastAsia="en-GB"/>
        </w:rPr>
        <w:t>MedMelior’s</w:t>
      </w:r>
      <w:proofErr w:type="spellEnd"/>
      <w:r w:rsidRPr="003545DD">
        <w:rPr>
          <w:rFonts w:ascii="Arial" w:hAnsi="Arial" w:cs="Arial"/>
          <w:i/>
          <w:iCs/>
          <w:sz w:val="24"/>
          <w:szCs w:val="24"/>
          <w:lang w:eastAsia="en-GB"/>
        </w:rPr>
        <w:t xml:space="preserve"> proprietary inhalation formulation). Trial was an independent investigator study conducted in Chile by the Pontificia Universidad Católica de Chile. Data showed inhaled MM-003 was safe and well tolerated</w:t>
      </w:r>
      <w:r w:rsidRPr="003545DD">
        <w:rPr>
          <w:rFonts w:ascii="Arial" w:hAnsi="Arial" w:cs="Arial"/>
          <w:i/>
          <w:iCs/>
          <w:sz w:val="24"/>
          <w:szCs w:val="24"/>
        </w:rPr>
        <w:t xml:space="preserve">. </w:t>
      </w:r>
    </w:p>
    <w:p w14:paraId="29700BC0" w14:textId="77777777" w:rsidR="003545DD" w:rsidRPr="003545DD" w:rsidRDefault="003545DD" w:rsidP="003545DD">
      <w:pPr>
        <w:pStyle w:val="ListParagraph"/>
        <w:numPr>
          <w:ilvl w:val="0"/>
          <w:numId w:val="37"/>
        </w:numPr>
        <w:ind w:left="1080"/>
        <w:contextualSpacing w:val="0"/>
        <w:jc w:val="both"/>
        <w:rPr>
          <w:rFonts w:ascii="Arial" w:hAnsi="Arial" w:cs="Arial"/>
          <w:i/>
          <w:iCs/>
          <w:sz w:val="24"/>
          <w:szCs w:val="24"/>
        </w:rPr>
      </w:pPr>
      <w:r w:rsidRPr="003545DD">
        <w:rPr>
          <w:rFonts w:ascii="Arial" w:hAnsi="Arial" w:cs="Arial"/>
          <w:i/>
          <w:iCs/>
          <w:sz w:val="24"/>
          <w:szCs w:val="24"/>
          <w:lang w:eastAsia="en-GB"/>
        </w:rPr>
        <w:t xml:space="preserve">A Phase 2 trial of treatment with MM-003, with twice daily inhalation, in early stage COVID-19 patients was conducted in Chile. The trial was an independent investigator study conducted in Chile by the Pontificia Universidad Católica de Chile.  Patient treatments were </w:t>
      </w:r>
      <w:proofErr w:type="gramStart"/>
      <w:r w:rsidRPr="003545DD">
        <w:rPr>
          <w:rFonts w:ascii="Arial" w:hAnsi="Arial" w:cs="Arial"/>
          <w:i/>
          <w:iCs/>
          <w:sz w:val="24"/>
          <w:szCs w:val="24"/>
          <w:lang w:eastAsia="en-GB"/>
        </w:rPr>
        <w:t>completed</w:t>
      </w:r>
      <w:proofErr w:type="gramEnd"/>
      <w:r w:rsidRPr="003545DD">
        <w:rPr>
          <w:rFonts w:ascii="Arial" w:hAnsi="Arial" w:cs="Arial"/>
          <w:i/>
          <w:iCs/>
          <w:sz w:val="24"/>
          <w:szCs w:val="24"/>
          <w:lang w:eastAsia="en-GB"/>
        </w:rPr>
        <w:t xml:space="preserve"> and data analysis is ongoing</w:t>
      </w:r>
      <w:r w:rsidRPr="003545DD">
        <w:rPr>
          <w:rFonts w:ascii="Arial" w:hAnsi="Arial" w:cs="Arial"/>
          <w:i/>
          <w:iCs/>
          <w:sz w:val="24"/>
          <w:szCs w:val="24"/>
        </w:rPr>
        <w:t>.</w:t>
      </w:r>
    </w:p>
    <w:p w14:paraId="7225B813" w14:textId="6C30DBE0" w:rsidR="00F21E5F" w:rsidRPr="003545DD" w:rsidRDefault="003545DD" w:rsidP="003545DD">
      <w:pPr>
        <w:pStyle w:val="ListParagraph"/>
        <w:numPr>
          <w:ilvl w:val="0"/>
          <w:numId w:val="37"/>
        </w:numPr>
        <w:ind w:left="1080"/>
        <w:contextualSpacing w:val="0"/>
        <w:jc w:val="both"/>
        <w:rPr>
          <w:rFonts w:ascii="Arial" w:hAnsi="Arial" w:cs="Arial"/>
          <w:i/>
          <w:iCs/>
          <w:sz w:val="24"/>
          <w:szCs w:val="24"/>
        </w:rPr>
      </w:pPr>
      <w:r w:rsidRPr="003545DD">
        <w:rPr>
          <w:rFonts w:ascii="Arial" w:hAnsi="Arial" w:cs="Arial"/>
          <w:i/>
          <w:iCs/>
          <w:sz w:val="24"/>
          <w:szCs w:val="24"/>
        </w:rPr>
        <w:t>MedMelior continues to pursue strategic options for funding and partnership to develop its MM-001 and MM-003 programs.</w:t>
      </w:r>
    </w:p>
    <w:bookmarkEnd w:id="5"/>
    <w:p w14:paraId="61133E81"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A51C988" w14:textId="77777777"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14:paraId="6EAD4B1B"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09274FCF" w14:textId="30138539" w:rsidR="00D861FE" w:rsidRDefault="00A94A83" w:rsidP="000E548E">
      <w:pPr>
        <w:pStyle w:val="List"/>
        <w:spacing w:before="120"/>
        <w:ind w:left="720" w:firstLine="0"/>
        <w:jc w:val="both"/>
        <w:rPr>
          <w:rFonts w:ascii="Arial" w:hAnsi="Arial"/>
          <w:i/>
        </w:rPr>
      </w:pPr>
      <w:r>
        <w:rPr>
          <w:rFonts w:ascii="Arial" w:hAnsi="Arial"/>
          <w:i/>
        </w:rPr>
        <w:t>N/A.</w:t>
      </w:r>
    </w:p>
    <w:p w14:paraId="442D7B8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FEA021B" w14:textId="77777777" w:rsidR="00D861FE" w:rsidRPr="00D861FE" w:rsidRDefault="00B17AEE" w:rsidP="00D861FE">
      <w:pPr>
        <w:pStyle w:val="List"/>
        <w:spacing w:before="120"/>
        <w:ind w:left="720" w:firstLine="0"/>
        <w:jc w:val="both"/>
        <w:rPr>
          <w:rFonts w:ascii="Arial" w:hAnsi="Arial"/>
          <w:i/>
        </w:rPr>
      </w:pPr>
      <w:r>
        <w:rPr>
          <w:rFonts w:ascii="Arial" w:hAnsi="Arial"/>
          <w:i/>
        </w:rPr>
        <w:t>N/A</w:t>
      </w:r>
      <w:r w:rsidR="00D861FE">
        <w:rPr>
          <w:rFonts w:ascii="Arial" w:hAnsi="Arial"/>
          <w:i/>
        </w:rPr>
        <w:t>.</w:t>
      </w:r>
    </w:p>
    <w:p w14:paraId="6F5F8186"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07F765C" w14:textId="29A39A4A" w:rsidR="00A23C08" w:rsidRPr="00D861FE" w:rsidRDefault="000E12C9" w:rsidP="00A23C08">
      <w:pPr>
        <w:pStyle w:val="List"/>
        <w:spacing w:before="120"/>
        <w:ind w:left="720" w:firstLine="0"/>
        <w:jc w:val="both"/>
        <w:rPr>
          <w:rFonts w:ascii="Arial" w:hAnsi="Arial"/>
          <w:i/>
        </w:rPr>
      </w:pPr>
      <w:r>
        <w:rPr>
          <w:rFonts w:ascii="Arial" w:hAnsi="Arial"/>
          <w:i/>
        </w:rPr>
        <w:t>Please see Item 1.</w:t>
      </w:r>
    </w:p>
    <w:p w14:paraId="110E2C2B" w14:textId="77777777" w:rsidR="00640E94" w:rsidRDefault="00640E94">
      <w:pPr>
        <w:pStyle w:val="List"/>
        <w:numPr>
          <w:ilvl w:val="0"/>
          <w:numId w:val="28"/>
        </w:numPr>
        <w:spacing w:before="120"/>
        <w:jc w:val="both"/>
        <w:rPr>
          <w:rFonts w:ascii="Arial" w:hAnsi="Arial"/>
        </w:rPr>
      </w:pPr>
      <w:bookmarkStart w:id="6" w:name="_Hlk36806164"/>
      <w:r>
        <w:rPr>
          <w:rFonts w:ascii="Arial" w:hAnsi="Arial"/>
        </w:rPr>
        <w:t>Describe the expiry or termination of any contracts or agreements between the Issuer, the Issuer’s affiliates or third parties or cancellation of any financing arrangements that have been previously announced.</w:t>
      </w:r>
    </w:p>
    <w:p w14:paraId="67C11854" w14:textId="2D66660F" w:rsidR="0014406D" w:rsidRPr="0014406D" w:rsidRDefault="003B53F8" w:rsidP="0014406D">
      <w:pPr>
        <w:pStyle w:val="List"/>
        <w:spacing w:before="120"/>
        <w:ind w:left="720" w:firstLine="0"/>
        <w:jc w:val="both"/>
        <w:rPr>
          <w:rFonts w:ascii="Arial" w:hAnsi="Arial"/>
          <w:i/>
        </w:rPr>
      </w:pPr>
      <w:r>
        <w:rPr>
          <w:rFonts w:ascii="Arial" w:hAnsi="Arial"/>
          <w:i/>
        </w:rPr>
        <w:t>N/A.</w:t>
      </w:r>
    </w:p>
    <w:bookmarkEnd w:id="6"/>
    <w:p w14:paraId="75CF3CE2" w14:textId="77777777"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w:t>
      </w:r>
      <w:r>
        <w:rPr>
          <w:rFonts w:ascii="Arial" w:hAnsi="Arial"/>
        </w:rPr>
        <w:lastRenderedPageBreak/>
        <w:t>the disposition was to a Related Person of the Issuer and provide detail</w:t>
      </w:r>
      <w:r w:rsidR="0014406D">
        <w:rPr>
          <w:rFonts w:ascii="Arial" w:hAnsi="Arial"/>
        </w:rPr>
        <w:t>s of the relationship.</w:t>
      </w:r>
    </w:p>
    <w:p w14:paraId="1515AC6B" w14:textId="2D83F38D" w:rsidR="00C358BE" w:rsidRPr="0014406D" w:rsidRDefault="00A706C8" w:rsidP="001D0265">
      <w:pPr>
        <w:pStyle w:val="List"/>
        <w:spacing w:before="120"/>
        <w:ind w:left="720" w:firstLine="0"/>
        <w:jc w:val="both"/>
        <w:rPr>
          <w:rFonts w:ascii="Arial" w:hAnsi="Arial"/>
          <w:i/>
        </w:rPr>
      </w:pPr>
      <w:r>
        <w:rPr>
          <w:rFonts w:ascii="Arial" w:hAnsi="Arial"/>
          <w:i/>
        </w:rPr>
        <w:t>N/A</w:t>
      </w:r>
    </w:p>
    <w:p w14:paraId="3088C15E"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96EF4F0" w14:textId="4EFFEDAC" w:rsidR="0014406D" w:rsidRPr="0014406D" w:rsidRDefault="00B17AEE" w:rsidP="0014406D">
      <w:pPr>
        <w:pStyle w:val="List"/>
        <w:spacing w:before="120"/>
        <w:ind w:left="720" w:firstLine="0"/>
        <w:jc w:val="both"/>
        <w:rPr>
          <w:rFonts w:ascii="Arial" w:hAnsi="Arial"/>
          <w:i/>
        </w:rPr>
      </w:pPr>
      <w:r>
        <w:rPr>
          <w:rFonts w:ascii="Arial" w:hAnsi="Arial"/>
          <w:i/>
        </w:rPr>
        <w:t>N/A</w:t>
      </w:r>
    </w:p>
    <w:p w14:paraId="00B7611A" w14:textId="77777777" w:rsidR="00640E94" w:rsidRDefault="00640E94">
      <w:pPr>
        <w:pStyle w:val="List"/>
        <w:numPr>
          <w:ilvl w:val="0"/>
          <w:numId w:val="28"/>
        </w:numPr>
        <w:spacing w:before="120"/>
        <w:jc w:val="both"/>
        <w:rPr>
          <w:rFonts w:ascii="Arial" w:hAnsi="Arial"/>
        </w:rPr>
      </w:pPr>
      <w:bookmarkStart w:id="7" w:name="_Hlk36806195"/>
      <w:r>
        <w:rPr>
          <w:rFonts w:ascii="Arial" w:hAnsi="Arial"/>
        </w:rPr>
        <w:t>Describe any new developments or effects on intangible products such as brand names, circulation lists, copyrights, franchises, licenses, patents, software, subscription lists and trade-marks.</w:t>
      </w:r>
    </w:p>
    <w:p w14:paraId="7F5AA6BC" w14:textId="35585389" w:rsidR="003138E2" w:rsidRPr="0014406D" w:rsidRDefault="00397E35" w:rsidP="003138E2">
      <w:pPr>
        <w:pStyle w:val="List"/>
        <w:spacing w:before="120"/>
        <w:ind w:left="720" w:firstLine="0"/>
        <w:jc w:val="both"/>
        <w:rPr>
          <w:rFonts w:ascii="Arial" w:hAnsi="Arial"/>
          <w:i/>
        </w:rPr>
      </w:pPr>
      <w:r>
        <w:rPr>
          <w:rFonts w:ascii="Arial" w:hAnsi="Arial"/>
          <w:i/>
        </w:rPr>
        <w:t>N/A</w:t>
      </w:r>
    </w:p>
    <w:p w14:paraId="35549375" w14:textId="77777777" w:rsidR="00640E94" w:rsidRDefault="00640E94">
      <w:pPr>
        <w:pStyle w:val="List"/>
        <w:numPr>
          <w:ilvl w:val="0"/>
          <w:numId w:val="28"/>
        </w:numPr>
        <w:spacing w:before="120"/>
        <w:jc w:val="both"/>
        <w:rPr>
          <w:rFonts w:ascii="Arial" w:hAnsi="Arial"/>
        </w:rPr>
      </w:pPr>
      <w:bookmarkStart w:id="8" w:name="_Hlk36806242"/>
      <w:bookmarkEnd w:id="7"/>
      <w:r>
        <w:rPr>
          <w:rFonts w:ascii="Arial" w:hAnsi="Arial"/>
        </w:rPr>
        <w:t>Report on any employee hirings, terminations or lay-offs with details of anticipated length of lay-offs.</w:t>
      </w:r>
    </w:p>
    <w:p w14:paraId="08A9B24E" w14:textId="127BF38B" w:rsidR="0014406D" w:rsidRDefault="001D0265" w:rsidP="00BC51E5">
      <w:pPr>
        <w:pStyle w:val="List"/>
        <w:spacing w:before="120"/>
        <w:ind w:left="720" w:firstLine="0"/>
        <w:jc w:val="both"/>
        <w:rPr>
          <w:rFonts w:ascii="Arial" w:hAnsi="Arial"/>
          <w:i/>
        </w:rPr>
      </w:pPr>
      <w:r>
        <w:rPr>
          <w:rFonts w:ascii="Arial" w:hAnsi="Arial"/>
          <w:i/>
        </w:rPr>
        <w:t>N/A</w:t>
      </w:r>
      <w:r w:rsidR="00C8589C">
        <w:rPr>
          <w:rFonts w:ascii="Arial" w:hAnsi="Arial"/>
          <w:i/>
        </w:rPr>
        <w:t>.</w:t>
      </w:r>
    </w:p>
    <w:bookmarkEnd w:id="8"/>
    <w:p w14:paraId="712A1E68"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7DD6996" w14:textId="4BFEBADA" w:rsidR="0014406D" w:rsidRDefault="00F90126" w:rsidP="0014406D">
      <w:pPr>
        <w:pStyle w:val="List"/>
        <w:spacing w:before="120"/>
        <w:ind w:left="720" w:firstLine="0"/>
        <w:jc w:val="both"/>
        <w:rPr>
          <w:rFonts w:ascii="Arial" w:hAnsi="Arial"/>
          <w:i/>
        </w:rPr>
      </w:pPr>
      <w:r>
        <w:rPr>
          <w:rFonts w:ascii="Arial" w:hAnsi="Arial"/>
          <w:i/>
        </w:rPr>
        <w:t>N/A</w:t>
      </w:r>
      <w:r w:rsidR="0014406D">
        <w:rPr>
          <w:rFonts w:ascii="Arial" w:hAnsi="Arial"/>
          <w:i/>
        </w:rPr>
        <w:t>.</w:t>
      </w:r>
    </w:p>
    <w:p w14:paraId="04289402" w14:textId="77777777" w:rsidR="00640E94" w:rsidRDefault="00640E94">
      <w:pPr>
        <w:pStyle w:val="List"/>
        <w:numPr>
          <w:ilvl w:val="0"/>
          <w:numId w:val="28"/>
        </w:numPr>
        <w:spacing w:before="120"/>
        <w:jc w:val="both"/>
        <w:rPr>
          <w:rFonts w:ascii="Arial" w:hAnsi="Arial"/>
        </w:rPr>
      </w:pPr>
      <w:bookmarkStart w:id="9" w:name="_Hlk31792398"/>
      <w:bookmarkStart w:id="10" w:name="_Hlk99627384"/>
      <w:bookmarkStart w:id="11" w:name="_Hlk26261408"/>
      <w:bookmarkStart w:id="12" w:name="_Hlk23950278"/>
      <w:bookmarkStart w:id="13" w:name="_Hlk23950309"/>
      <w:r w:rsidRPr="004D7FAB">
        <w:rPr>
          <w:rFonts w:ascii="Arial" w:hAnsi="Arial"/>
        </w:rPr>
        <w:t>Describe</w:t>
      </w:r>
      <w:r>
        <w:rPr>
          <w:rFonts w:ascii="Arial" w:hAnsi="Arial"/>
        </w:rPr>
        <w:t xml:space="preserve"> and provide details of legal proceedings to which the Issuer became a party, including the </w:t>
      </w:r>
      <w:bookmarkStart w:id="14" w:name="_Hlk99628830"/>
      <w:r>
        <w:rPr>
          <w:rFonts w:ascii="Arial" w:hAnsi="Arial"/>
        </w:rPr>
        <w:t>name of the court or agency, the date instituted, the principal parties to the proceedings, the nature of the claim, the amount claimed, if any, if the proceedings are being contested, and the present status of the proceedings</w:t>
      </w:r>
      <w:bookmarkEnd w:id="9"/>
      <w:bookmarkEnd w:id="14"/>
      <w:r>
        <w:rPr>
          <w:rFonts w:ascii="Arial" w:hAnsi="Arial"/>
        </w:rPr>
        <w:t>.</w:t>
      </w:r>
      <w:bookmarkEnd w:id="10"/>
    </w:p>
    <w:p w14:paraId="0FE91DB3" w14:textId="30F4B56D" w:rsidR="006504BB" w:rsidRPr="00011A25" w:rsidRDefault="003545DD" w:rsidP="008B5131">
      <w:pPr>
        <w:pStyle w:val="List"/>
        <w:spacing w:before="120"/>
        <w:ind w:left="720" w:firstLine="0"/>
        <w:jc w:val="both"/>
        <w:rPr>
          <w:rFonts w:ascii="Arial" w:hAnsi="Arial"/>
          <w:i/>
        </w:rPr>
      </w:pPr>
      <w:bookmarkStart w:id="15" w:name="_Hlk94777421"/>
      <w:bookmarkEnd w:id="11"/>
      <w:bookmarkEnd w:id="12"/>
      <w:bookmarkEnd w:id="13"/>
      <w:r>
        <w:rPr>
          <w:rFonts w:ascii="Arial" w:hAnsi="Arial" w:cs="Arial"/>
          <w:i/>
          <w:iCs/>
          <w:color w:val="000000"/>
        </w:rPr>
        <w:t>N/A.</w:t>
      </w:r>
    </w:p>
    <w:bookmarkEnd w:id="15"/>
    <w:p w14:paraId="0488B290" w14:textId="5E867EAF" w:rsidR="00640E94" w:rsidRDefault="00640E94" w:rsidP="000C1488">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44EBF4C5" w14:textId="07E5E578" w:rsidR="00397E35" w:rsidRPr="00D861FE" w:rsidRDefault="003F3CC0" w:rsidP="00397E35">
      <w:pPr>
        <w:pStyle w:val="List"/>
        <w:spacing w:before="120"/>
        <w:ind w:left="720" w:firstLine="0"/>
        <w:jc w:val="both"/>
        <w:rPr>
          <w:rFonts w:ascii="Arial" w:hAnsi="Arial"/>
          <w:i/>
        </w:rPr>
      </w:pPr>
      <w:r>
        <w:rPr>
          <w:rFonts w:ascii="Arial" w:hAnsi="Arial"/>
          <w:i/>
        </w:rPr>
        <w:t>N/A.</w:t>
      </w:r>
    </w:p>
    <w:p w14:paraId="56485FA8" w14:textId="4A0906FB"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B1A03C8" w14:textId="17CD1249" w:rsidR="00397E35" w:rsidRPr="00D861FE" w:rsidRDefault="000E12C9" w:rsidP="00397E35">
      <w:pPr>
        <w:pStyle w:val="List"/>
        <w:spacing w:before="120"/>
        <w:ind w:left="720" w:firstLine="0"/>
        <w:jc w:val="both"/>
        <w:rPr>
          <w:rFonts w:ascii="Arial" w:hAnsi="Arial"/>
          <w:i/>
        </w:rPr>
      </w:pPr>
      <w:r>
        <w:rPr>
          <w:rFonts w:ascii="Arial" w:hAnsi="Arial"/>
          <w:i/>
        </w:rPr>
        <w:t xml:space="preserve">In January 2023, the Company granted 1,800,000 stock options with exercise price of $0.16 and expiry date of January 12, </w:t>
      </w:r>
      <w:proofErr w:type="gramStart"/>
      <w:r>
        <w:rPr>
          <w:rFonts w:ascii="Arial" w:hAnsi="Arial"/>
          <w:i/>
        </w:rPr>
        <w:t>2026</w:t>
      </w:r>
      <w:proofErr w:type="gramEnd"/>
      <w:r>
        <w:rPr>
          <w:rFonts w:ascii="Arial" w:hAnsi="Arial"/>
          <w:i/>
        </w:rPr>
        <w:t xml:space="preserve"> to officers, directors and consultants.</w:t>
      </w:r>
    </w:p>
    <w:p w14:paraId="2CC66B71" w14:textId="3CD2E6D9"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3149528" w14:textId="423FA03E" w:rsidR="0014406D" w:rsidRPr="0014406D" w:rsidRDefault="00F90126" w:rsidP="0014406D">
      <w:pPr>
        <w:pStyle w:val="List"/>
        <w:keepNext/>
        <w:keepLines/>
        <w:spacing w:before="120"/>
        <w:ind w:left="720" w:firstLine="0"/>
        <w:jc w:val="both"/>
        <w:rPr>
          <w:rFonts w:ascii="Arial" w:hAnsi="Arial"/>
          <w:i/>
        </w:rPr>
      </w:pPr>
      <w:r>
        <w:rPr>
          <w:rFonts w:ascii="Arial" w:hAnsi="Arial"/>
          <w:i/>
        </w:rPr>
        <w:t>N/A</w:t>
      </w:r>
      <w:r w:rsidR="00A75CB6">
        <w:rPr>
          <w:rFonts w:ascii="Arial" w:hAnsi="Arial"/>
          <w:i/>
        </w:rPr>
        <w:t>.</w:t>
      </w:r>
    </w:p>
    <w:p w14:paraId="57AB07D5"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436CE062" w14:textId="6FEF1683" w:rsidR="00A23C08" w:rsidRPr="00D861FE" w:rsidRDefault="00A75CB6" w:rsidP="00A23C08">
      <w:pPr>
        <w:pStyle w:val="List"/>
        <w:spacing w:before="120"/>
        <w:ind w:left="720" w:firstLine="0"/>
        <w:jc w:val="both"/>
        <w:rPr>
          <w:rFonts w:ascii="Arial" w:hAnsi="Arial"/>
          <w:i/>
        </w:rPr>
      </w:pPr>
      <w:r>
        <w:rPr>
          <w:rFonts w:ascii="Arial" w:hAnsi="Arial"/>
          <w:i/>
        </w:rPr>
        <w:t>N/A.</w:t>
      </w:r>
    </w:p>
    <w:p w14:paraId="3FE17C8C" w14:textId="37BCFBE5" w:rsidR="00640E94" w:rsidRDefault="00640E94">
      <w:pPr>
        <w:pStyle w:val="List"/>
        <w:numPr>
          <w:ilvl w:val="0"/>
          <w:numId w:val="28"/>
        </w:numPr>
        <w:spacing w:before="120"/>
        <w:jc w:val="both"/>
        <w:rPr>
          <w:rFonts w:ascii="Arial" w:hAnsi="Arial"/>
        </w:rPr>
      </w:pPr>
      <w:bookmarkStart w:id="16" w:name="_Hlk36806284"/>
      <w:r>
        <w:rPr>
          <w:rFonts w:ascii="Arial" w:hAnsi="Arial"/>
        </w:rPr>
        <w:t>Discuss any trends which are likely to impact the Issuer including trends in the Issuer’s market(s) or political/regulatory trends.</w:t>
      </w:r>
    </w:p>
    <w:bookmarkEnd w:id="16"/>
    <w:p w14:paraId="511DAB59" w14:textId="643F5D27" w:rsidR="00A37A50" w:rsidRPr="004E4F81" w:rsidRDefault="000E12C9" w:rsidP="000E12C9">
      <w:pPr>
        <w:pStyle w:val="List"/>
        <w:keepNext/>
        <w:spacing w:before="120"/>
        <w:ind w:left="720" w:firstLine="0"/>
        <w:jc w:val="both"/>
        <w:rPr>
          <w:rFonts w:ascii="Arial" w:hAnsi="Arial" w:cs="Arial"/>
          <w:bCs/>
          <w:i/>
          <w:iCs/>
        </w:rPr>
      </w:pPr>
      <w:r w:rsidRPr="000E12C9">
        <w:rPr>
          <w:rFonts w:ascii="Arial" w:hAnsi="Arial" w:cs="Arial"/>
          <w:bCs/>
          <w:i/>
          <w:iCs/>
        </w:rPr>
        <w:t xml:space="preserve">The trends and risks which are likely to impact the </w:t>
      </w:r>
      <w:r>
        <w:rPr>
          <w:rFonts w:ascii="Arial" w:hAnsi="Arial" w:cs="Arial"/>
          <w:bCs/>
          <w:i/>
          <w:iCs/>
        </w:rPr>
        <w:t>Company</w:t>
      </w:r>
      <w:r w:rsidRPr="000E12C9">
        <w:rPr>
          <w:rFonts w:ascii="Arial" w:hAnsi="Arial" w:cs="Arial"/>
          <w:bCs/>
          <w:i/>
          <w:iCs/>
        </w:rPr>
        <w:t xml:space="preserve"> are detailed in th</w:t>
      </w:r>
      <w:r>
        <w:rPr>
          <w:rFonts w:ascii="Arial" w:hAnsi="Arial" w:cs="Arial"/>
          <w:bCs/>
          <w:i/>
          <w:iCs/>
        </w:rPr>
        <w:t>e Company’s</w:t>
      </w:r>
      <w:r w:rsidRPr="000E12C9">
        <w:rPr>
          <w:rFonts w:ascii="Arial" w:hAnsi="Arial" w:cs="Arial"/>
          <w:bCs/>
          <w:i/>
          <w:iCs/>
        </w:rPr>
        <w:t xml:space="preserve"> Annual Information Form dated </w:t>
      </w:r>
      <w:r>
        <w:rPr>
          <w:rFonts w:ascii="Arial" w:hAnsi="Arial" w:cs="Arial"/>
          <w:bCs/>
          <w:i/>
          <w:iCs/>
        </w:rPr>
        <w:t xml:space="preserve">May 31, </w:t>
      </w:r>
      <w:proofErr w:type="gramStart"/>
      <w:r>
        <w:rPr>
          <w:rFonts w:ascii="Arial" w:hAnsi="Arial" w:cs="Arial"/>
          <w:bCs/>
          <w:i/>
          <w:iCs/>
        </w:rPr>
        <w:t>2022</w:t>
      </w:r>
      <w:proofErr w:type="gramEnd"/>
      <w:r w:rsidRPr="000E12C9">
        <w:rPr>
          <w:rFonts w:ascii="Arial" w:hAnsi="Arial" w:cs="Arial"/>
          <w:bCs/>
          <w:i/>
          <w:iCs/>
        </w:rPr>
        <w:t xml:space="preserve"> under the</w:t>
      </w:r>
      <w:r>
        <w:rPr>
          <w:rFonts w:ascii="Arial" w:hAnsi="Arial" w:cs="Arial"/>
          <w:bCs/>
          <w:i/>
          <w:iCs/>
        </w:rPr>
        <w:t xml:space="preserve"> </w:t>
      </w:r>
      <w:r w:rsidRPr="000E12C9">
        <w:rPr>
          <w:rFonts w:ascii="Arial" w:hAnsi="Arial" w:cs="Arial"/>
          <w:bCs/>
          <w:i/>
          <w:iCs/>
        </w:rPr>
        <w:t>heading “Risk Factors”. The Annual Information Form is available on the</w:t>
      </w:r>
      <w:r>
        <w:rPr>
          <w:rFonts w:ascii="Arial" w:hAnsi="Arial" w:cs="Arial"/>
          <w:bCs/>
          <w:i/>
          <w:iCs/>
        </w:rPr>
        <w:t xml:space="preserve"> Company’s</w:t>
      </w:r>
      <w:r w:rsidRPr="000E12C9">
        <w:rPr>
          <w:rFonts w:ascii="Arial" w:hAnsi="Arial" w:cs="Arial"/>
          <w:bCs/>
          <w:i/>
          <w:iCs/>
        </w:rPr>
        <w:t xml:space="preserve"> SEDAR profile at www.sedar.com.</w:t>
      </w:r>
    </w:p>
    <w:p w14:paraId="2168DA3A" w14:textId="10758C80" w:rsidR="00640E94" w:rsidRDefault="001D6115" w:rsidP="00362DD1">
      <w:pPr>
        <w:pStyle w:val="List"/>
        <w:keepNext/>
        <w:spacing w:before="120"/>
        <w:ind w:left="0" w:firstLine="0"/>
        <w:jc w:val="both"/>
        <w:rPr>
          <w:rFonts w:ascii="Arial" w:hAnsi="Arial"/>
          <w:b/>
        </w:rPr>
      </w:pPr>
      <w:r w:rsidRPr="001D6115">
        <w:rPr>
          <w:rFonts w:ascii="Arial" w:hAnsi="Arial"/>
          <w:b/>
        </w:rPr>
        <w:t xml:space="preserve"> </w:t>
      </w:r>
      <w:r w:rsidR="00640E94">
        <w:rPr>
          <w:rFonts w:ascii="Arial" w:hAnsi="Arial"/>
          <w:b/>
        </w:rPr>
        <w:br w:type="page"/>
      </w:r>
      <w:r w:rsidR="00640E94">
        <w:rPr>
          <w:rFonts w:ascii="Arial" w:hAnsi="Arial"/>
          <w:b/>
        </w:rPr>
        <w:lastRenderedPageBreak/>
        <w:t>Certificate Of Compliance</w:t>
      </w:r>
    </w:p>
    <w:p w14:paraId="4E88A18F" w14:textId="77777777" w:rsidR="00640E94" w:rsidRDefault="00640E94">
      <w:pPr>
        <w:pStyle w:val="BodyText"/>
        <w:keepNext/>
        <w:rPr>
          <w:rFonts w:ascii="Arial" w:hAnsi="Arial"/>
        </w:rPr>
      </w:pPr>
      <w:r>
        <w:rPr>
          <w:rFonts w:ascii="Arial" w:hAnsi="Arial"/>
        </w:rPr>
        <w:t>The undersigned hereby certifies that:</w:t>
      </w:r>
    </w:p>
    <w:p w14:paraId="6AAAD78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71AEAB9"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EAB9A25"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845363D"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23E8FDC" w14:textId="2A353646" w:rsidR="00640E94" w:rsidRDefault="00640E94" w:rsidP="00A33D53">
      <w:pPr>
        <w:pStyle w:val="BodyText"/>
        <w:tabs>
          <w:tab w:val="left" w:pos="4680"/>
          <w:tab w:val="left" w:pos="7200"/>
        </w:tabs>
        <w:jc w:val="both"/>
        <w:rPr>
          <w:rFonts w:ascii="Arial" w:hAnsi="Arial"/>
        </w:rPr>
      </w:pPr>
      <w:r>
        <w:rPr>
          <w:rFonts w:ascii="Arial" w:hAnsi="Arial"/>
        </w:rPr>
        <w:t xml:space="preserve">Dated </w:t>
      </w:r>
      <w:r w:rsidR="000E12C9">
        <w:rPr>
          <w:rFonts w:ascii="Arial" w:hAnsi="Arial"/>
        </w:rPr>
        <w:t>February 7</w:t>
      </w:r>
      <w:r w:rsidR="00BD69ED">
        <w:rPr>
          <w:rFonts w:ascii="Arial" w:hAnsi="Arial"/>
        </w:rPr>
        <w:t>, 2023</w:t>
      </w:r>
    </w:p>
    <w:p w14:paraId="4521D29F" w14:textId="77777777"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3D9A0696" w14:textId="77777777"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14:paraId="58FB86C0" w14:textId="77777777"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446D60E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5A8F032F" w14:textId="77777777">
        <w:tc>
          <w:tcPr>
            <w:tcW w:w="4878" w:type="dxa"/>
            <w:tcBorders>
              <w:top w:val="single" w:sz="18" w:space="0" w:color="auto"/>
              <w:bottom w:val="nil"/>
              <w:right w:val="single" w:sz="18" w:space="0" w:color="auto"/>
            </w:tcBorders>
          </w:tcPr>
          <w:p w14:paraId="332C0A2A" w14:textId="77777777" w:rsidR="00640E94" w:rsidRDefault="00640E94">
            <w:pPr>
              <w:pStyle w:val="BodyText"/>
              <w:spacing w:before="0"/>
              <w:rPr>
                <w:rFonts w:ascii="Arial" w:hAnsi="Arial"/>
                <w:b/>
                <w:i/>
              </w:rPr>
            </w:pPr>
            <w:r>
              <w:rPr>
                <w:rFonts w:ascii="Arial" w:hAnsi="Arial"/>
                <w:b/>
                <w:i/>
              </w:rPr>
              <w:t>Issuer Details</w:t>
            </w:r>
          </w:p>
          <w:p w14:paraId="3B8EAB39" w14:textId="77777777" w:rsidR="00640E94" w:rsidRDefault="00640E94">
            <w:pPr>
              <w:pStyle w:val="BodyText"/>
              <w:spacing w:before="0"/>
              <w:rPr>
                <w:rFonts w:ascii="Arial" w:hAnsi="Arial"/>
              </w:rPr>
            </w:pPr>
            <w:r>
              <w:rPr>
                <w:rFonts w:ascii="Arial" w:hAnsi="Arial"/>
              </w:rPr>
              <w:t>Name of Issuer</w:t>
            </w:r>
          </w:p>
          <w:p w14:paraId="6B4B8BDC" w14:textId="20FAF5EB" w:rsidR="00640E94" w:rsidRDefault="001E25F7">
            <w:pPr>
              <w:pStyle w:val="BodyText"/>
              <w:rPr>
                <w:rFonts w:ascii="Arial" w:hAnsi="Arial"/>
              </w:rPr>
            </w:pPr>
            <w:proofErr w:type="spellStart"/>
            <w:r>
              <w:rPr>
                <w:rFonts w:ascii="Arial" w:hAnsi="Arial"/>
              </w:rPr>
              <w:t>BetterLife</w:t>
            </w:r>
            <w:proofErr w:type="spellEnd"/>
            <w:r>
              <w:rPr>
                <w:rFonts w:ascii="Arial" w:hAnsi="Arial"/>
              </w:rPr>
              <w:t xml:space="preserve"> Pharma</w:t>
            </w:r>
            <w:r w:rsidR="007736E2">
              <w:rPr>
                <w:rFonts w:ascii="Arial" w:hAnsi="Arial"/>
              </w:rPr>
              <w:t xml:space="preserve"> Inc.</w:t>
            </w:r>
          </w:p>
        </w:tc>
        <w:tc>
          <w:tcPr>
            <w:tcW w:w="1800" w:type="dxa"/>
            <w:tcBorders>
              <w:top w:val="single" w:sz="18" w:space="0" w:color="auto"/>
              <w:left w:val="single" w:sz="18" w:space="0" w:color="auto"/>
              <w:bottom w:val="nil"/>
              <w:right w:val="single" w:sz="18" w:space="0" w:color="auto"/>
            </w:tcBorders>
          </w:tcPr>
          <w:p w14:paraId="4C41752D" w14:textId="77777777" w:rsidR="00640E94" w:rsidRDefault="00640E94">
            <w:pPr>
              <w:pStyle w:val="BodyText"/>
              <w:spacing w:before="0"/>
              <w:rPr>
                <w:rFonts w:ascii="Arial" w:hAnsi="Arial"/>
              </w:rPr>
            </w:pPr>
            <w:r>
              <w:rPr>
                <w:rFonts w:ascii="Arial" w:hAnsi="Arial"/>
              </w:rPr>
              <w:t>For  Month End</w:t>
            </w:r>
          </w:p>
          <w:p w14:paraId="37EF5FB0" w14:textId="77777777" w:rsidR="001D0265" w:rsidRDefault="001D0265">
            <w:pPr>
              <w:pStyle w:val="BodyText"/>
              <w:spacing w:before="0"/>
              <w:rPr>
                <w:rFonts w:ascii="Arial" w:hAnsi="Arial"/>
              </w:rPr>
            </w:pPr>
          </w:p>
          <w:p w14:paraId="57E9D3B6" w14:textId="5453BBD6" w:rsidR="007736E2" w:rsidRDefault="000E12C9">
            <w:pPr>
              <w:pStyle w:val="BodyText"/>
              <w:spacing w:before="0"/>
              <w:rPr>
                <w:rFonts w:ascii="Arial" w:hAnsi="Arial"/>
              </w:rPr>
            </w:pPr>
            <w:r>
              <w:rPr>
                <w:rFonts w:ascii="Arial" w:hAnsi="Arial"/>
              </w:rPr>
              <w:t>January 2023</w:t>
            </w:r>
          </w:p>
        </w:tc>
        <w:tc>
          <w:tcPr>
            <w:tcW w:w="2898" w:type="dxa"/>
            <w:tcBorders>
              <w:top w:val="single" w:sz="18" w:space="0" w:color="auto"/>
              <w:left w:val="single" w:sz="18" w:space="0" w:color="auto"/>
              <w:bottom w:val="nil"/>
            </w:tcBorders>
          </w:tcPr>
          <w:p w14:paraId="406BD3D8" w14:textId="77777777" w:rsidR="00640E94" w:rsidRDefault="00640E94">
            <w:pPr>
              <w:pStyle w:val="BodyText"/>
              <w:spacing w:before="0"/>
              <w:rPr>
                <w:rFonts w:ascii="Arial" w:hAnsi="Arial"/>
              </w:rPr>
            </w:pPr>
            <w:r>
              <w:rPr>
                <w:rFonts w:ascii="Arial" w:hAnsi="Arial"/>
              </w:rPr>
              <w:t>Date of Report</w:t>
            </w:r>
          </w:p>
          <w:p w14:paraId="03AAE070" w14:textId="77777777" w:rsidR="00640E94" w:rsidRDefault="00640E94">
            <w:pPr>
              <w:pStyle w:val="BodyText"/>
              <w:spacing w:before="0"/>
              <w:rPr>
                <w:rFonts w:ascii="Arial" w:hAnsi="Arial"/>
              </w:rPr>
            </w:pPr>
            <w:r>
              <w:rPr>
                <w:rFonts w:ascii="Arial" w:hAnsi="Arial"/>
              </w:rPr>
              <w:t>YY/MM/D</w:t>
            </w:r>
            <w:r w:rsidR="004A2915">
              <w:rPr>
                <w:rFonts w:ascii="Arial" w:hAnsi="Arial"/>
              </w:rPr>
              <w:t>D</w:t>
            </w:r>
          </w:p>
          <w:p w14:paraId="4D70C96E" w14:textId="77777777" w:rsidR="008D270C" w:rsidRDefault="008D270C" w:rsidP="004B3D99">
            <w:pPr>
              <w:pStyle w:val="BodyText"/>
              <w:spacing w:before="0"/>
              <w:rPr>
                <w:rFonts w:ascii="Arial" w:hAnsi="Arial"/>
              </w:rPr>
            </w:pPr>
          </w:p>
          <w:p w14:paraId="7AEC6942" w14:textId="490DC542" w:rsidR="007736E2" w:rsidRDefault="0047210C" w:rsidP="00D708C2">
            <w:pPr>
              <w:pStyle w:val="BodyText"/>
              <w:spacing w:before="0"/>
              <w:rPr>
                <w:rFonts w:ascii="Arial" w:hAnsi="Arial"/>
              </w:rPr>
            </w:pPr>
            <w:r>
              <w:rPr>
                <w:rFonts w:ascii="Arial" w:hAnsi="Arial"/>
              </w:rPr>
              <w:t>20</w:t>
            </w:r>
            <w:r w:rsidR="001E25F7">
              <w:rPr>
                <w:rFonts w:ascii="Arial" w:hAnsi="Arial"/>
              </w:rPr>
              <w:t>2</w:t>
            </w:r>
            <w:r w:rsidR="00BD69ED">
              <w:rPr>
                <w:rFonts w:ascii="Arial" w:hAnsi="Arial"/>
              </w:rPr>
              <w:t>3</w:t>
            </w:r>
            <w:r w:rsidR="001E25F7">
              <w:rPr>
                <w:rFonts w:ascii="Arial" w:hAnsi="Arial"/>
              </w:rPr>
              <w:t>/</w:t>
            </w:r>
            <w:r w:rsidR="00BD69ED">
              <w:rPr>
                <w:rFonts w:ascii="Arial" w:hAnsi="Arial"/>
              </w:rPr>
              <w:t>0</w:t>
            </w:r>
            <w:r w:rsidR="000E12C9">
              <w:rPr>
                <w:rFonts w:ascii="Arial" w:hAnsi="Arial"/>
              </w:rPr>
              <w:t>2/</w:t>
            </w:r>
            <w:r w:rsidR="003F3CC0">
              <w:rPr>
                <w:rFonts w:ascii="Arial" w:hAnsi="Arial"/>
              </w:rPr>
              <w:t>0</w:t>
            </w:r>
            <w:r w:rsidR="000E12C9">
              <w:rPr>
                <w:rFonts w:ascii="Arial" w:hAnsi="Arial"/>
              </w:rPr>
              <w:t>7</w:t>
            </w:r>
          </w:p>
        </w:tc>
      </w:tr>
      <w:tr w:rsidR="00640E94" w14:paraId="199551F0" w14:textId="77777777">
        <w:trPr>
          <w:cantSplit/>
        </w:trPr>
        <w:tc>
          <w:tcPr>
            <w:tcW w:w="9576" w:type="dxa"/>
            <w:gridSpan w:val="3"/>
            <w:tcBorders>
              <w:top w:val="single" w:sz="18" w:space="0" w:color="auto"/>
              <w:bottom w:val="single" w:sz="18" w:space="0" w:color="auto"/>
            </w:tcBorders>
          </w:tcPr>
          <w:p w14:paraId="3B7A05CE" w14:textId="77777777" w:rsidR="00640E94" w:rsidRDefault="00640E94">
            <w:pPr>
              <w:pStyle w:val="BodyText"/>
              <w:spacing w:before="0"/>
              <w:rPr>
                <w:rFonts w:ascii="Arial" w:hAnsi="Arial"/>
              </w:rPr>
            </w:pPr>
            <w:r>
              <w:rPr>
                <w:rFonts w:ascii="Arial" w:hAnsi="Arial"/>
              </w:rPr>
              <w:t>Issuer Address</w:t>
            </w:r>
          </w:p>
          <w:p w14:paraId="533D809C" w14:textId="526316B3" w:rsidR="00640E94" w:rsidRDefault="00DD1AB4">
            <w:pPr>
              <w:pStyle w:val="BodyText"/>
              <w:spacing w:before="0"/>
              <w:rPr>
                <w:rFonts w:ascii="Arial" w:hAnsi="Arial"/>
              </w:rPr>
            </w:pPr>
            <w:r>
              <w:rPr>
                <w:rFonts w:ascii="Arial" w:hAnsi="Arial"/>
              </w:rPr>
              <w:t>1275 West 6</w:t>
            </w:r>
            <w:r w:rsidRPr="00DD1AB4">
              <w:rPr>
                <w:rFonts w:ascii="Arial" w:hAnsi="Arial"/>
                <w:vertAlign w:val="superscript"/>
              </w:rPr>
              <w:t>th</w:t>
            </w:r>
            <w:r>
              <w:rPr>
                <w:rFonts w:ascii="Arial" w:hAnsi="Arial"/>
              </w:rPr>
              <w:t xml:space="preserve"> Avenue, #300</w:t>
            </w:r>
          </w:p>
          <w:p w14:paraId="797BB32A" w14:textId="77777777" w:rsidR="00640E94" w:rsidRDefault="00640E94">
            <w:pPr>
              <w:pStyle w:val="BodyText"/>
              <w:spacing w:before="0"/>
              <w:rPr>
                <w:rFonts w:ascii="Arial" w:hAnsi="Arial"/>
              </w:rPr>
            </w:pPr>
          </w:p>
        </w:tc>
      </w:tr>
      <w:tr w:rsidR="00640E94" w14:paraId="571637CA" w14:textId="77777777">
        <w:tc>
          <w:tcPr>
            <w:tcW w:w="4878" w:type="dxa"/>
            <w:tcBorders>
              <w:top w:val="single" w:sz="18" w:space="0" w:color="auto"/>
              <w:bottom w:val="single" w:sz="18" w:space="0" w:color="auto"/>
              <w:right w:val="single" w:sz="18" w:space="0" w:color="auto"/>
            </w:tcBorders>
          </w:tcPr>
          <w:p w14:paraId="10752B73" w14:textId="77777777" w:rsidR="00640E94" w:rsidRDefault="00640E94">
            <w:pPr>
              <w:pStyle w:val="BodyText"/>
              <w:spacing w:before="0"/>
              <w:rPr>
                <w:rFonts w:ascii="Arial" w:hAnsi="Arial"/>
              </w:rPr>
            </w:pPr>
            <w:r>
              <w:rPr>
                <w:rFonts w:ascii="Arial" w:hAnsi="Arial"/>
              </w:rPr>
              <w:t>City/Province/Postal Code</w:t>
            </w:r>
          </w:p>
          <w:p w14:paraId="7A108449" w14:textId="77777777" w:rsidR="00640E94" w:rsidRDefault="00640E94">
            <w:pPr>
              <w:pStyle w:val="BodyText"/>
              <w:spacing w:before="0"/>
              <w:rPr>
                <w:rFonts w:ascii="Arial" w:hAnsi="Arial"/>
              </w:rPr>
            </w:pPr>
          </w:p>
          <w:p w14:paraId="66AFD67C" w14:textId="5B361AE5" w:rsidR="00640E94" w:rsidRDefault="00DD1AB4">
            <w:pPr>
              <w:pStyle w:val="BodyText"/>
              <w:spacing w:before="0"/>
              <w:rPr>
                <w:rFonts w:ascii="Arial" w:hAnsi="Arial"/>
              </w:rPr>
            </w:pPr>
            <w:r>
              <w:rPr>
                <w:rFonts w:ascii="Arial" w:hAnsi="Arial"/>
              </w:rPr>
              <w:t>Vancouver, BC V6H 1A6</w:t>
            </w:r>
          </w:p>
        </w:tc>
        <w:tc>
          <w:tcPr>
            <w:tcW w:w="1800" w:type="dxa"/>
            <w:tcBorders>
              <w:top w:val="single" w:sz="18" w:space="0" w:color="auto"/>
              <w:left w:val="single" w:sz="18" w:space="0" w:color="auto"/>
              <w:bottom w:val="single" w:sz="18" w:space="0" w:color="auto"/>
              <w:right w:val="single" w:sz="18" w:space="0" w:color="auto"/>
            </w:tcBorders>
          </w:tcPr>
          <w:p w14:paraId="02C43788" w14:textId="77777777" w:rsidR="00640E94" w:rsidRDefault="00640E94">
            <w:pPr>
              <w:pStyle w:val="BodyText"/>
              <w:spacing w:before="0"/>
              <w:rPr>
                <w:rFonts w:ascii="Arial" w:hAnsi="Arial"/>
              </w:rPr>
            </w:pPr>
            <w:r>
              <w:rPr>
                <w:rFonts w:ascii="Arial" w:hAnsi="Arial"/>
              </w:rPr>
              <w:t>Issuer Fax No.</w:t>
            </w:r>
          </w:p>
          <w:p w14:paraId="3C92FFC6"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6E6B1E94" w14:textId="77777777" w:rsidR="00640E94" w:rsidRDefault="00640E94">
            <w:pPr>
              <w:pStyle w:val="BodyText"/>
              <w:spacing w:before="0"/>
              <w:rPr>
                <w:rFonts w:ascii="Arial" w:hAnsi="Arial"/>
              </w:rPr>
            </w:pPr>
            <w:r>
              <w:rPr>
                <w:rFonts w:ascii="Arial" w:hAnsi="Arial"/>
              </w:rPr>
              <w:t>Issuer Telephone No.</w:t>
            </w:r>
          </w:p>
          <w:p w14:paraId="1E8107D5" w14:textId="5433D7CA" w:rsidR="00640E94" w:rsidRDefault="00640E94">
            <w:pPr>
              <w:pStyle w:val="BodyText"/>
              <w:spacing w:before="0"/>
              <w:rPr>
                <w:rFonts w:ascii="Arial" w:hAnsi="Arial"/>
              </w:rPr>
            </w:pPr>
            <w:r>
              <w:rPr>
                <w:rFonts w:ascii="Arial" w:hAnsi="Arial"/>
              </w:rPr>
              <w:t>(</w:t>
            </w:r>
            <w:r w:rsidR="00DD1AB4">
              <w:rPr>
                <w:rFonts w:ascii="Arial" w:hAnsi="Arial"/>
              </w:rPr>
              <w:t>604</w:t>
            </w:r>
            <w:r>
              <w:rPr>
                <w:rFonts w:ascii="Arial" w:hAnsi="Arial"/>
              </w:rPr>
              <w:t>)</w:t>
            </w:r>
            <w:r w:rsidR="001E25F7">
              <w:rPr>
                <w:rFonts w:ascii="Arial" w:hAnsi="Arial"/>
              </w:rPr>
              <w:t xml:space="preserve"> </w:t>
            </w:r>
            <w:r w:rsidR="00542A53">
              <w:rPr>
                <w:rFonts w:ascii="Arial" w:hAnsi="Arial"/>
              </w:rPr>
              <w:t>221-0595</w:t>
            </w:r>
          </w:p>
        </w:tc>
      </w:tr>
      <w:tr w:rsidR="00640E94" w14:paraId="2F375F11" w14:textId="77777777">
        <w:tc>
          <w:tcPr>
            <w:tcW w:w="4878" w:type="dxa"/>
            <w:tcBorders>
              <w:top w:val="single" w:sz="18" w:space="0" w:color="auto"/>
              <w:bottom w:val="single" w:sz="18" w:space="0" w:color="auto"/>
              <w:right w:val="single" w:sz="18" w:space="0" w:color="auto"/>
            </w:tcBorders>
          </w:tcPr>
          <w:p w14:paraId="0A67302E" w14:textId="77777777" w:rsidR="00640E94" w:rsidRDefault="00640E94">
            <w:pPr>
              <w:pStyle w:val="BodyText"/>
              <w:spacing w:before="0"/>
              <w:rPr>
                <w:rFonts w:ascii="Arial" w:hAnsi="Arial"/>
              </w:rPr>
            </w:pPr>
            <w:r>
              <w:rPr>
                <w:rFonts w:ascii="Arial" w:hAnsi="Arial"/>
              </w:rPr>
              <w:t>Contact Name</w:t>
            </w:r>
          </w:p>
          <w:p w14:paraId="33B0087D" w14:textId="77777777" w:rsidR="007736E2" w:rsidRDefault="007736E2">
            <w:pPr>
              <w:pStyle w:val="BodyText"/>
              <w:spacing w:before="0"/>
              <w:rPr>
                <w:rFonts w:ascii="Arial" w:hAnsi="Arial"/>
              </w:rPr>
            </w:pPr>
          </w:p>
          <w:p w14:paraId="03426A99" w14:textId="77777777" w:rsidR="00640E94" w:rsidRDefault="003C02A4">
            <w:pPr>
              <w:pStyle w:val="BodyText"/>
              <w:spacing w:before="0"/>
              <w:rPr>
                <w:rFonts w:ascii="Arial" w:hAnsi="Arial"/>
              </w:rPr>
            </w:pPr>
            <w:r>
              <w:rPr>
                <w:rFonts w:ascii="Arial" w:hAnsi="Arial"/>
              </w:rPr>
              <w:t>Moira Ong</w:t>
            </w:r>
          </w:p>
        </w:tc>
        <w:tc>
          <w:tcPr>
            <w:tcW w:w="1800" w:type="dxa"/>
            <w:tcBorders>
              <w:top w:val="single" w:sz="18" w:space="0" w:color="auto"/>
              <w:left w:val="single" w:sz="18" w:space="0" w:color="auto"/>
              <w:bottom w:val="single" w:sz="18" w:space="0" w:color="auto"/>
              <w:right w:val="single" w:sz="18" w:space="0" w:color="auto"/>
            </w:tcBorders>
          </w:tcPr>
          <w:p w14:paraId="26001220" w14:textId="77777777" w:rsidR="00640E94" w:rsidRDefault="00640E94">
            <w:pPr>
              <w:pStyle w:val="BodyText"/>
              <w:spacing w:before="0"/>
              <w:rPr>
                <w:rFonts w:ascii="Arial" w:hAnsi="Arial"/>
              </w:rPr>
            </w:pPr>
            <w:r>
              <w:rPr>
                <w:rFonts w:ascii="Arial" w:hAnsi="Arial"/>
              </w:rPr>
              <w:t>Contact Position</w:t>
            </w:r>
          </w:p>
          <w:p w14:paraId="6BC42559" w14:textId="77777777" w:rsidR="007736E2" w:rsidRDefault="003C02A4">
            <w:pPr>
              <w:pStyle w:val="BodyText"/>
              <w:spacing w:before="0"/>
              <w:rPr>
                <w:rFonts w:ascii="Arial" w:hAnsi="Arial"/>
              </w:rPr>
            </w:pPr>
            <w:r>
              <w:rPr>
                <w:rFonts w:ascii="Arial" w:hAnsi="Arial"/>
              </w:rPr>
              <w:t>CF</w:t>
            </w:r>
            <w:r w:rsidR="007736E2">
              <w:rPr>
                <w:rFonts w:ascii="Arial" w:hAnsi="Arial"/>
              </w:rPr>
              <w:t>O</w:t>
            </w:r>
          </w:p>
        </w:tc>
        <w:tc>
          <w:tcPr>
            <w:tcW w:w="2898" w:type="dxa"/>
            <w:tcBorders>
              <w:top w:val="single" w:sz="18" w:space="0" w:color="auto"/>
              <w:left w:val="single" w:sz="18" w:space="0" w:color="auto"/>
              <w:bottom w:val="single" w:sz="18" w:space="0" w:color="auto"/>
            </w:tcBorders>
          </w:tcPr>
          <w:p w14:paraId="5ED9C25D" w14:textId="77777777" w:rsidR="00640E94" w:rsidRDefault="00640E94">
            <w:pPr>
              <w:pStyle w:val="BodyText"/>
              <w:spacing w:before="0"/>
              <w:rPr>
                <w:rFonts w:ascii="Arial" w:hAnsi="Arial"/>
              </w:rPr>
            </w:pPr>
            <w:r>
              <w:rPr>
                <w:rFonts w:ascii="Arial" w:hAnsi="Arial"/>
              </w:rPr>
              <w:t>Contact Telephone No.</w:t>
            </w:r>
          </w:p>
          <w:p w14:paraId="63024D83" w14:textId="77777777" w:rsidR="007736E2" w:rsidRDefault="007736E2">
            <w:pPr>
              <w:pStyle w:val="BodyText"/>
              <w:spacing w:before="0"/>
              <w:rPr>
                <w:rFonts w:ascii="Arial" w:hAnsi="Arial"/>
              </w:rPr>
            </w:pPr>
          </w:p>
          <w:p w14:paraId="6A6491B9" w14:textId="77777777" w:rsidR="007736E2" w:rsidRDefault="003C02A4">
            <w:pPr>
              <w:pStyle w:val="BodyText"/>
              <w:spacing w:before="0"/>
              <w:rPr>
                <w:rFonts w:ascii="Arial" w:hAnsi="Arial"/>
              </w:rPr>
            </w:pPr>
            <w:r>
              <w:rPr>
                <w:rFonts w:ascii="Arial" w:hAnsi="Arial"/>
              </w:rPr>
              <w:t>604-551-5178</w:t>
            </w:r>
          </w:p>
        </w:tc>
      </w:tr>
      <w:tr w:rsidR="00640E94" w14:paraId="3E59AD46" w14:textId="77777777">
        <w:trPr>
          <w:cantSplit/>
        </w:trPr>
        <w:tc>
          <w:tcPr>
            <w:tcW w:w="4878" w:type="dxa"/>
            <w:tcBorders>
              <w:top w:val="single" w:sz="18" w:space="0" w:color="auto"/>
              <w:bottom w:val="single" w:sz="18" w:space="0" w:color="auto"/>
              <w:right w:val="single" w:sz="18" w:space="0" w:color="auto"/>
            </w:tcBorders>
          </w:tcPr>
          <w:p w14:paraId="7A46E87D" w14:textId="77777777" w:rsidR="00640E94" w:rsidRDefault="00640E94">
            <w:pPr>
              <w:pStyle w:val="BodyText"/>
              <w:spacing w:before="0"/>
              <w:rPr>
                <w:rFonts w:ascii="Arial" w:hAnsi="Arial"/>
              </w:rPr>
            </w:pPr>
            <w:r>
              <w:rPr>
                <w:rFonts w:ascii="Arial" w:hAnsi="Arial"/>
              </w:rPr>
              <w:t>Contact Email Address</w:t>
            </w:r>
          </w:p>
          <w:p w14:paraId="0D51F109" w14:textId="21FBB0D4" w:rsidR="00640E94" w:rsidRDefault="00A75FB2">
            <w:pPr>
              <w:pStyle w:val="BodyText"/>
              <w:spacing w:before="0"/>
              <w:rPr>
                <w:rFonts w:ascii="Arial" w:hAnsi="Arial"/>
              </w:rPr>
            </w:pPr>
            <w:r>
              <w:rPr>
                <w:rFonts w:ascii="Arial" w:hAnsi="Arial"/>
              </w:rPr>
              <w:t>Moira.Ong</w:t>
            </w:r>
            <w:r w:rsidR="007736E2">
              <w:rPr>
                <w:rFonts w:ascii="Arial" w:hAnsi="Arial"/>
              </w:rPr>
              <w:t>@</w:t>
            </w:r>
            <w:r w:rsidR="001E25F7">
              <w:rPr>
                <w:rFonts w:ascii="Arial" w:hAnsi="Arial"/>
              </w:rPr>
              <w:t>blifepharma</w:t>
            </w:r>
            <w:r w:rsidR="007736E2">
              <w:rPr>
                <w:rFonts w:ascii="Arial" w:hAnsi="Arial"/>
              </w:rPr>
              <w:t>.com</w:t>
            </w:r>
          </w:p>
        </w:tc>
        <w:tc>
          <w:tcPr>
            <w:tcW w:w="4698" w:type="dxa"/>
            <w:gridSpan w:val="2"/>
            <w:tcBorders>
              <w:top w:val="single" w:sz="18" w:space="0" w:color="auto"/>
              <w:left w:val="single" w:sz="18" w:space="0" w:color="auto"/>
              <w:bottom w:val="single" w:sz="18" w:space="0" w:color="auto"/>
            </w:tcBorders>
          </w:tcPr>
          <w:p w14:paraId="1B988FDB" w14:textId="77777777" w:rsidR="00640E94" w:rsidRDefault="00640E94">
            <w:pPr>
              <w:pStyle w:val="BodyText"/>
              <w:spacing w:before="0"/>
              <w:rPr>
                <w:rFonts w:ascii="Arial" w:hAnsi="Arial"/>
              </w:rPr>
            </w:pPr>
            <w:r>
              <w:rPr>
                <w:rFonts w:ascii="Arial" w:hAnsi="Arial"/>
              </w:rPr>
              <w:t>Web Site Address</w:t>
            </w:r>
          </w:p>
          <w:p w14:paraId="46D39721" w14:textId="71EE4BCE" w:rsidR="00640E94" w:rsidRDefault="007736E2">
            <w:pPr>
              <w:pStyle w:val="BodyText"/>
              <w:spacing w:before="0"/>
              <w:rPr>
                <w:rFonts w:ascii="Arial" w:hAnsi="Arial"/>
              </w:rPr>
            </w:pPr>
            <w:r>
              <w:rPr>
                <w:rFonts w:ascii="Arial" w:hAnsi="Arial"/>
              </w:rPr>
              <w:t>www.</w:t>
            </w:r>
            <w:r w:rsidR="001E25F7">
              <w:rPr>
                <w:rFonts w:ascii="Arial" w:hAnsi="Arial"/>
              </w:rPr>
              <w:t>abetterlifepharma</w:t>
            </w:r>
            <w:r>
              <w:rPr>
                <w:rFonts w:ascii="Arial" w:hAnsi="Arial"/>
              </w:rPr>
              <w:t>.com</w:t>
            </w:r>
          </w:p>
        </w:tc>
      </w:tr>
    </w:tbl>
    <w:p w14:paraId="11591992" w14:textId="77777777" w:rsidR="00640E94" w:rsidRDefault="00640E94" w:rsidP="004C07A1">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F6B28" w14:textId="77777777" w:rsidR="005F4768" w:rsidRDefault="005F4768">
      <w:r>
        <w:separator/>
      </w:r>
    </w:p>
  </w:endnote>
  <w:endnote w:type="continuationSeparator" w:id="0">
    <w:p w14:paraId="1A98E34F" w14:textId="77777777" w:rsidR="005F4768" w:rsidRDefault="005F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58E3" w14:textId="77777777" w:rsidR="00BC51E5" w:rsidRDefault="00BC51E5">
    <w:pPr>
      <w:pStyle w:val="Footer"/>
      <w:tabs>
        <w:tab w:val="clear" w:pos="4320"/>
        <w:tab w:val="clear" w:pos="8640"/>
        <w:tab w:val="center" w:pos="4680"/>
        <w:tab w:val="right" w:pos="9360"/>
      </w:tabs>
      <w:rPr>
        <w:b/>
      </w:rPr>
    </w:pPr>
  </w:p>
  <w:p w14:paraId="28E9BCD4" w14:textId="77777777" w:rsidR="00BC51E5" w:rsidRDefault="00BC51E5"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B1604BE" wp14:editId="66C0B6C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35F08"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29FDEBFB" w14:textId="77777777" w:rsidR="00BC51E5" w:rsidRPr="006D1A06" w:rsidRDefault="00BC51E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D52C34B" w14:textId="77777777" w:rsidR="00BC51E5" w:rsidRPr="006D1A06" w:rsidRDefault="00BC51E5"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C07A1">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9CEC" w14:textId="77777777" w:rsidR="00BC51E5" w:rsidRDefault="00BC51E5">
    <w:pPr>
      <w:pStyle w:val="Footer"/>
      <w:tabs>
        <w:tab w:val="clear" w:pos="4320"/>
        <w:tab w:val="clear" w:pos="8640"/>
        <w:tab w:val="center" w:pos="4680"/>
        <w:tab w:val="right" w:pos="9360"/>
      </w:tabs>
      <w:rPr>
        <w:b/>
      </w:rPr>
    </w:pPr>
  </w:p>
  <w:p w14:paraId="466BC707" w14:textId="77777777" w:rsidR="00BC51E5" w:rsidRDefault="00BC51E5"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0A2FD9C4" wp14:editId="68C1EAE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D0E5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2FBF2159" w14:textId="77777777" w:rsidR="00BC51E5" w:rsidRPr="00635E9A" w:rsidRDefault="00BC51E5"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6F29F3" w14:textId="77777777" w:rsidR="00BC51E5" w:rsidRPr="00635E9A" w:rsidRDefault="00BC51E5"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7DB33" w14:textId="77777777" w:rsidR="005F4768" w:rsidRDefault="005F4768">
      <w:r>
        <w:separator/>
      </w:r>
    </w:p>
  </w:footnote>
  <w:footnote w:type="continuationSeparator" w:id="0">
    <w:p w14:paraId="0C867754" w14:textId="77777777" w:rsidR="005F4768" w:rsidRDefault="005F4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2A85" w14:textId="77777777" w:rsidR="00BC51E5" w:rsidRDefault="00BC51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FDC14A5" w14:textId="77777777" w:rsidR="00BC51E5" w:rsidRDefault="00BC5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F6FA" w14:textId="77777777" w:rsidR="00BC51E5" w:rsidRDefault="00BC51E5">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8BD6C65"/>
    <w:multiLevelType w:val="hybridMultilevel"/>
    <w:tmpl w:val="7500D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295DFD"/>
    <w:multiLevelType w:val="hybridMultilevel"/>
    <w:tmpl w:val="01C68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DDE1074"/>
    <w:multiLevelType w:val="hybridMultilevel"/>
    <w:tmpl w:val="E31EA3E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9"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0"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3"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4"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6"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7"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8" w15:restartNumberingAfterBreak="0">
    <w:nsid w:val="39A36D3A"/>
    <w:multiLevelType w:val="hybridMultilevel"/>
    <w:tmpl w:val="34B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3" w15:restartNumberingAfterBreak="0">
    <w:nsid w:val="58CA0870"/>
    <w:multiLevelType w:val="hybridMultilevel"/>
    <w:tmpl w:val="DF1A9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6" w15:restartNumberingAfterBreak="0">
    <w:nsid w:val="5A801815"/>
    <w:multiLevelType w:val="hybridMultilevel"/>
    <w:tmpl w:val="13367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8"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0" w15:restartNumberingAfterBreak="0">
    <w:nsid w:val="6F277BDC"/>
    <w:multiLevelType w:val="hybridMultilevel"/>
    <w:tmpl w:val="E92A8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664EAF"/>
    <w:multiLevelType w:val="hybridMultilevel"/>
    <w:tmpl w:val="95044900"/>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2"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4"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5"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6"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752318666">
    <w:abstractNumId w:val="21"/>
  </w:num>
  <w:num w:numId="2" w16cid:durableId="999650319">
    <w:abstractNumId w:val="27"/>
  </w:num>
  <w:num w:numId="3" w16cid:durableId="553546407">
    <w:abstractNumId w:val="20"/>
  </w:num>
  <w:num w:numId="4" w16cid:durableId="1223567763">
    <w:abstractNumId w:val="16"/>
  </w:num>
  <w:num w:numId="5" w16cid:durableId="275988599">
    <w:abstractNumId w:val="4"/>
  </w:num>
  <w:num w:numId="6" w16cid:durableId="1973360475">
    <w:abstractNumId w:val="29"/>
  </w:num>
  <w:num w:numId="7" w16cid:durableId="810905557">
    <w:abstractNumId w:val="11"/>
  </w:num>
  <w:num w:numId="8" w16cid:durableId="1541937595">
    <w:abstractNumId w:val="33"/>
  </w:num>
  <w:num w:numId="9" w16cid:durableId="1949702368">
    <w:abstractNumId w:val="25"/>
  </w:num>
  <w:num w:numId="10" w16cid:durableId="1211190665">
    <w:abstractNumId w:val="13"/>
  </w:num>
  <w:num w:numId="11" w16cid:durableId="181821794">
    <w:abstractNumId w:val="17"/>
  </w:num>
  <w:num w:numId="12" w16cid:durableId="1658261503">
    <w:abstractNumId w:val="19"/>
  </w:num>
  <w:num w:numId="13" w16cid:durableId="1425421276">
    <w:abstractNumId w:val="35"/>
  </w:num>
  <w:num w:numId="14" w16cid:durableId="1679847024">
    <w:abstractNumId w:val="9"/>
  </w:num>
  <w:num w:numId="15" w16cid:durableId="925727261">
    <w:abstractNumId w:val="12"/>
  </w:num>
  <w:num w:numId="16" w16cid:durableId="1546328848">
    <w:abstractNumId w:val="15"/>
  </w:num>
  <w:num w:numId="17" w16cid:durableId="1015839486">
    <w:abstractNumId w:val="22"/>
  </w:num>
  <w:num w:numId="18" w16cid:durableId="1454208141">
    <w:abstractNumId w:val="3"/>
  </w:num>
  <w:num w:numId="19" w16cid:durableId="1288391168">
    <w:abstractNumId w:val="10"/>
  </w:num>
  <w:num w:numId="20" w16cid:durableId="2135754166">
    <w:abstractNumId w:val="32"/>
  </w:num>
  <w:num w:numId="21" w16cid:durableId="1077939371">
    <w:abstractNumId w:val="1"/>
  </w:num>
  <w:num w:numId="22" w16cid:durableId="148789464">
    <w:abstractNumId w:val="0"/>
  </w:num>
  <w:num w:numId="23" w16cid:durableId="1469665749">
    <w:abstractNumId w:val="28"/>
  </w:num>
  <w:num w:numId="24" w16cid:durableId="1871142051">
    <w:abstractNumId w:val="24"/>
  </w:num>
  <w:num w:numId="25" w16cid:durableId="380788749">
    <w:abstractNumId w:val="6"/>
  </w:num>
  <w:num w:numId="26" w16cid:durableId="547185786">
    <w:abstractNumId w:val="34"/>
  </w:num>
  <w:num w:numId="27" w16cid:durableId="1381975079">
    <w:abstractNumId w:val="36"/>
  </w:num>
  <w:num w:numId="28" w16cid:durableId="1831675251">
    <w:abstractNumId w:val="8"/>
  </w:num>
  <w:num w:numId="29" w16cid:durableId="625938527">
    <w:abstractNumId w:val="14"/>
  </w:num>
  <w:num w:numId="30" w16cid:durableId="1845242515">
    <w:abstractNumId w:val="18"/>
  </w:num>
  <w:num w:numId="31" w16cid:durableId="2073458493">
    <w:abstractNumId w:val="5"/>
  </w:num>
  <w:num w:numId="32" w16cid:durableId="449014438">
    <w:abstractNumId w:val="26"/>
  </w:num>
  <w:num w:numId="33" w16cid:durableId="1099258582">
    <w:abstractNumId w:val="2"/>
  </w:num>
  <w:num w:numId="34" w16cid:durableId="411124110">
    <w:abstractNumId w:val="31"/>
  </w:num>
  <w:num w:numId="35" w16cid:durableId="538475983">
    <w:abstractNumId w:val="30"/>
  </w:num>
  <w:num w:numId="36" w16cid:durableId="738015537">
    <w:abstractNumId w:val="23"/>
  </w:num>
  <w:num w:numId="37" w16cid:durableId="8887658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05810"/>
    <w:rsid w:val="00011246"/>
    <w:rsid w:val="00011A25"/>
    <w:rsid w:val="000130BC"/>
    <w:rsid w:val="00023421"/>
    <w:rsid w:val="00030265"/>
    <w:rsid w:val="00033ABE"/>
    <w:rsid w:val="000462DC"/>
    <w:rsid w:val="000620B8"/>
    <w:rsid w:val="00073BA8"/>
    <w:rsid w:val="00074550"/>
    <w:rsid w:val="00081928"/>
    <w:rsid w:val="00094394"/>
    <w:rsid w:val="000945FF"/>
    <w:rsid w:val="00094955"/>
    <w:rsid w:val="000954E9"/>
    <w:rsid w:val="000A1679"/>
    <w:rsid w:val="000A1AB1"/>
    <w:rsid w:val="000A4E15"/>
    <w:rsid w:val="000B0D70"/>
    <w:rsid w:val="000B1BCE"/>
    <w:rsid w:val="000B2461"/>
    <w:rsid w:val="000B50B3"/>
    <w:rsid w:val="000B5711"/>
    <w:rsid w:val="000B621A"/>
    <w:rsid w:val="000B6D2A"/>
    <w:rsid w:val="000C008E"/>
    <w:rsid w:val="000C1488"/>
    <w:rsid w:val="000C228A"/>
    <w:rsid w:val="000C2C22"/>
    <w:rsid w:val="000C4603"/>
    <w:rsid w:val="000E12C9"/>
    <w:rsid w:val="000E548E"/>
    <w:rsid w:val="000F18A3"/>
    <w:rsid w:val="000F7CC4"/>
    <w:rsid w:val="001224F6"/>
    <w:rsid w:val="00124212"/>
    <w:rsid w:val="00126180"/>
    <w:rsid w:val="00131F9D"/>
    <w:rsid w:val="0014081F"/>
    <w:rsid w:val="0014406D"/>
    <w:rsid w:val="00152273"/>
    <w:rsid w:val="00162C67"/>
    <w:rsid w:val="00165CB6"/>
    <w:rsid w:val="00166158"/>
    <w:rsid w:val="001740BD"/>
    <w:rsid w:val="00177531"/>
    <w:rsid w:val="00185EC3"/>
    <w:rsid w:val="00196ACD"/>
    <w:rsid w:val="001A5AA6"/>
    <w:rsid w:val="001B28AF"/>
    <w:rsid w:val="001B67EA"/>
    <w:rsid w:val="001C2D52"/>
    <w:rsid w:val="001C5D5E"/>
    <w:rsid w:val="001D0265"/>
    <w:rsid w:val="001D23CE"/>
    <w:rsid w:val="001D6115"/>
    <w:rsid w:val="001E25F7"/>
    <w:rsid w:val="001F49A4"/>
    <w:rsid w:val="00211658"/>
    <w:rsid w:val="00212E65"/>
    <w:rsid w:val="00215CEC"/>
    <w:rsid w:val="00220054"/>
    <w:rsid w:val="00223C6F"/>
    <w:rsid w:val="002377E3"/>
    <w:rsid w:val="00244B2C"/>
    <w:rsid w:val="00245BA2"/>
    <w:rsid w:val="00253AD3"/>
    <w:rsid w:val="0025435B"/>
    <w:rsid w:val="00257A8A"/>
    <w:rsid w:val="002601A7"/>
    <w:rsid w:val="00260EF9"/>
    <w:rsid w:val="00263DC1"/>
    <w:rsid w:val="00267035"/>
    <w:rsid w:val="00284B6B"/>
    <w:rsid w:val="00292B6D"/>
    <w:rsid w:val="002974B1"/>
    <w:rsid w:val="002A1DC9"/>
    <w:rsid w:val="002B127E"/>
    <w:rsid w:val="002B63BD"/>
    <w:rsid w:val="002C0211"/>
    <w:rsid w:val="002C281E"/>
    <w:rsid w:val="002D76E9"/>
    <w:rsid w:val="002E34E0"/>
    <w:rsid w:val="002F00EB"/>
    <w:rsid w:val="002F2114"/>
    <w:rsid w:val="002F617B"/>
    <w:rsid w:val="002F72D5"/>
    <w:rsid w:val="003031CE"/>
    <w:rsid w:val="003058BE"/>
    <w:rsid w:val="00311869"/>
    <w:rsid w:val="003138E2"/>
    <w:rsid w:val="00315ED8"/>
    <w:rsid w:val="0032425A"/>
    <w:rsid w:val="00327E49"/>
    <w:rsid w:val="0034304E"/>
    <w:rsid w:val="00347220"/>
    <w:rsid w:val="00347A87"/>
    <w:rsid w:val="003545DD"/>
    <w:rsid w:val="003626DE"/>
    <w:rsid w:val="00362DD1"/>
    <w:rsid w:val="0036452A"/>
    <w:rsid w:val="003669A9"/>
    <w:rsid w:val="00371A64"/>
    <w:rsid w:val="00375D16"/>
    <w:rsid w:val="00376748"/>
    <w:rsid w:val="00376A5B"/>
    <w:rsid w:val="00387FA8"/>
    <w:rsid w:val="00397E35"/>
    <w:rsid w:val="003B0EF2"/>
    <w:rsid w:val="003B53F8"/>
    <w:rsid w:val="003B7A52"/>
    <w:rsid w:val="003C02A4"/>
    <w:rsid w:val="003C15A9"/>
    <w:rsid w:val="003C51C5"/>
    <w:rsid w:val="003D3F52"/>
    <w:rsid w:val="003E5061"/>
    <w:rsid w:val="003F1389"/>
    <w:rsid w:val="003F3026"/>
    <w:rsid w:val="003F3CC0"/>
    <w:rsid w:val="003F5D79"/>
    <w:rsid w:val="003F6706"/>
    <w:rsid w:val="00400696"/>
    <w:rsid w:val="004016FD"/>
    <w:rsid w:val="0040580F"/>
    <w:rsid w:val="004177D4"/>
    <w:rsid w:val="00425411"/>
    <w:rsid w:val="0042595D"/>
    <w:rsid w:val="00436BA3"/>
    <w:rsid w:val="00442270"/>
    <w:rsid w:val="00445648"/>
    <w:rsid w:val="00462376"/>
    <w:rsid w:val="0046492A"/>
    <w:rsid w:val="0047210C"/>
    <w:rsid w:val="00472CA2"/>
    <w:rsid w:val="00474991"/>
    <w:rsid w:val="004807FC"/>
    <w:rsid w:val="00480864"/>
    <w:rsid w:val="004822FC"/>
    <w:rsid w:val="0049276C"/>
    <w:rsid w:val="004A0A0F"/>
    <w:rsid w:val="004A1C7B"/>
    <w:rsid w:val="004A2915"/>
    <w:rsid w:val="004A3B17"/>
    <w:rsid w:val="004A5891"/>
    <w:rsid w:val="004A59B5"/>
    <w:rsid w:val="004B3D99"/>
    <w:rsid w:val="004B506B"/>
    <w:rsid w:val="004C07A1"/>
    <w:rsid w:val="004D7FAB"/>
    <w:rsid w:val="004E4F81"/>
    <w:rsid w:val="004E5AD5"/>
    <w:rsid w:val="004E5AFC"/>
    <w:rsid w:val="004F119A"/>
    <w:rsid w:val="004F3B84"/>
    <w:rsid w:val="004F66AB"/>
    <w:rsid w:val="00500BC8"/>
    <w:rsid w:val="00503E45"/>
    <w:rsid w:val="00507ACF"/>
    <w:rsid w:val="00522B71"/>
    <w:rsid w:val="00541EF4"/>
    <w:rsid w:val="00542A53"/>
    <w:rsid w:val="00545268"/>
    <w:rsid w:val="005453C8"/>
    <w:rsid w:val="00554B84"/>
    <w:rsid w:val="005568F1"/>
    <w:rsid w:val="005625B1"/>
    <w:rsid w:val="00566B1E"/>
    <w:rsid w:val="005762A4"/>
    <w:rsid w:val="00576D3E"/>
    <w:rsid w:val="00584732"/>
    <w:rsid w:val="00590CBD"/>
    <w:rsid w:val="005A1DED"/>
    <w:rsid w:val="005A24F4"/>
    <w:rsid w:val="005B2B8E"/>
    <w:rsid w:val="005B36B7"/>
    <w:rsid w:val="005B3DB7"/>
    <w:rsid w:val="005C629E"/>
    <w:rsid w:val="005C7EC2"/>
    <w:rsid w:val="005D11CD"/>
    <w:rsid w:val="005E15E0"/>
    <w:rsid w:val="005E7FD4"/>
    <w:rsid w:val="005F4768"/>
    <w:rsid w:val="005F4DD8"/>
    <w:rsid w:val="005F6D8F"/>
    <w:rsid w:val="00601264"/>
    <w:rsid w:val="0061199A"/>
    <w:rsid w:val="006124C1"/>
    <w:rsid w:val="00620E7F"/>
    <w:rsid w:val="006210E6"/>
    <w:rsid w:val="00621E6A"/>
    <w:rsid w:val="006222DD"/>
    <w:rsid w:val="00624039"/>
    <w:rsid w:val="00633ED3"/>
    <w:rsid w:val="00635E9A"/>
    <w:rsid w:val="00640E94"/>
    <w:rsid w:val="00645116"/>
    <w:rsid w:val="00645202"/>
    <w:rsid w:val="006504BB"/>
    <w:rsid w:val="00650B94"/>
    <w:rsid w:val="00652E5F"/>
    <w:rsid w:val="006729E5"/>
    <w:rsid w:val="0067500B"/>
    <w:rsid w:val="0068157A"/>
    <w:rsid w:val="00692C83"/>
    <w:rsid w:val="0069326C"/>
    <w:rsid w:val="00694CC7"/>
    <w:rsid w:val="006A0B2A"/>
    <w:rsid w:val="006B36FB"/>
    <w:rsid w:val="006B458A"/>
    <w:rsid w:val="006C1E0C"/>
    <w:rsid w:val="006C2178"/>
    <w:rsid w:val="006C62F7"/>
    <w:rsid w:val="006C7370"/>
    <w:rsid w:val="006C7657"/>
    <w:rsid w:val="006D1A06"/>
    <w:rsid w:val="006D1D40"/>
    <w:rsid w:val="006D4439"/>
    <w:rsid w:val="006E08F1"/>
    <w:rsid w:val="006E26FE"/>
    <w:rsid w:val="006E3ACF"/>
    <w:rsid w:val="006F67D3"/>
    <w:rsid w:val="00715E34"/>
    <w:rsid w:val="00724D53"/>
    <w:rsid w:val="0072797B"/>
    <w:rsid w:val="00732D30"/>
    <w:rsid w:val="00732E24"/>
    <w:rsid w:val="007345E3"/>
    <w:rsid w:val="0075799B"/>
    <w:rsid w:val="007613A6"/>
    <w:rsid w:val="00763A9D"/>
    <w:rsid w:val="007728D7"/>
    <w:rsid w:val="007736E2"/>
    <w:rsid w:val="007748C9"/>
    <w:rsid w:val="00774A0A"/>
    <w:rsid w:val="007836A2"/>
    <w:rsid w:val="00786F84"/>
    <w:rsid w:val="007908E7"/>
    <w:rsid w:val="00793E9F"/>
    <w:rsid w:val="00797FFA"/>
    <w:rsid w:val="007A4D47"/>
    <w:rsid w:val="007D5D33"/>
    <w:rsid w:val="007D63AD"/>
    <w:rsid w:val="007E507F"/>
    <w:rsid w:val="007F57F9"/>
    <w:rsid w:val="008024AE"/>
    <w:rsid w:val="008066D6"/>
    <w:rsid w:val="0083066F"/>
    <w:rsid w:val="00833FF4"/>
    <w:rsid w:val="008349A0"/>
    <w:rsid w:val="00842030"/>
    <w:rsid w:val="0084310F"/>
    <w:rsid w:val="00851007"/>
    <w:rsid w:val="008511FF"/>
    <w:rsid w:val="00853E80"/>
    <w:rsid w:val="00861BB4"/>
    <w:rsid w:val="008734B8"/>
    <w:rsid w:val="00875113"/>
    <w:rsid w:val="0087765E"/>
    <w:rsid w:val="00893370"/>
    <w:rsid w:val="0089367E"/>
    <w:rsid w:val="008954FB"/>
    <w:rsid w:val="00897238"/>
    <w:rsid w:val="008A0473"/>
    <w:rsid w:val="008A07A7"/>
    <w:rsid w:val="008A1BFD"/>
    <w:rsid w:val="008B0BAF"/>
    <w:rsid w:val="008B2474"/>
    <w:rsid w:val="008B5131"/>
    <w:rsid w:val="008B7E92"/>
    <w:rsid w:val="008C26E9"/>
    <w:rsid w:val="008C73C8"/>
    <w:rsid w:val="008D270C"/>
    <w:rsid w:val="008D5122"/>
    <w:rsid w:val="008E3B35"/>
    <w:rsid w:val="008F0D4D"/>
    <w:rsid w:val="008F19CC"/>
    <w:rsid w:val="008F30A1"/>
    <w:rsid w:val="008F62EB"/>
    <w:rsid w:val="00900A38"/>
    <w:rsid w:val="0090315D"/>
    <w:rsid w:val="009055C8"/>
    <w:rsid w:val="0090592A"/>
    <w:rsid w:val="00910E5D"/>
    <w:rsid w:val="00912C13"/>
    <w:rsid w:val="00922A46"/>
    <w:rsid w:val="00922FC1"/>
    <w:rsid w:val="00923162"/>
    <w:rsid w:val="00930B9E"/>
    <w:rsid w:val="0093703B"/>
    <w:rsid w:val="00943782"/>
    <w:rsid w:val="009515A6"/>
    <w:rsid w:val="009547B8"/>
    <w:rsid w:val="00972C40"/>
    <w:rsid w:val="009806EB"/>
    <w:rsid w:val="00984D1E"/>
    <w:rsid w:val="0098583F"/>
    <w:rsid w:val="0098661E"/>
    <w:rsid w:val="00993477"/>
    <w:rsid w:val="00994923"/>
    <w:rsid w:val="00994941"/>
    <w:rsid w:val="00997F6C"/>
    <w:rsid w:val="009A55A6"/>
    <w:rsid w:val="009A7B4E"/>
    <w:rsid w:val="009B11AF"/>
    <w:rsid w:val="009B5585"/>
    <w:rsid w:val="009D16F2"/>
    <w:rsid w:val="009D6A8C"/>
    <w:rsid w:val="009E14BB"/>
    <w:rsid w:val="009E16F8"/>
    <w:rsid w:val="009E6418"/>
    <w:rsid w:val="009E6BED"/>
    <w:rsid w:val="00A017A6"/>
    <w:rsid w:val="00A0532E"/>
    <w:rsid w:val="00A16B3B"/>
    <w:rsid w:val="00A2251A"/>
    <w:rsid w:val="00A23C08"/>
    <w:rsid w:val="00A241EF"/>
    <w:rsid w:val="00A33D53"/>
    <w:rsid w:val="00A343E7"/>
    <w:rsid w:val="00A35B7D"/>
    <w:rsid w:val="00A364F7"/>
    <w:rsid w:val="00A37A50"/>
    <w:rsid w:val="00A37FA3"/>
    <w:rsid w:val="00A47914"/>
    <w:rsid w:val="00A530B7"/>
    <w:rsid w:val="00A66377"/>
    <w:rsid w:val="00A670A4"/>
    <w:rsid w:val="00A6779D"/>
    <w:rsid w:val="00A6786C"/>
    <w:rsid w:val="00A67EA2"/>
    <w:rsid w:val="00A706C8"/>
    <w:rsid w:val="00A73C0A"/>
    <w:rsid w:val="00A75321"/>
    <w:rsid w:val="00A75CB6"/>
    <w:rsid w:val="00A75FB2"/>
    <w:rsid w:val="00A76CAF"/>
    <w:rsid w:val="00A81B8A"/>
    <w:rsid w:val="00A843AF"/>
    <w:rsid w:val="00A85270"/>
    <w:rsid w:val="00A87D08"/>
    <w:rsid w:val="00A94A83"/>
    <w:rsid w:val="00A96F89"/>
    <w:rsid w:val="00AA175B"/>
    <w:rsid w:val="00AB142B"/>
    <w:rsid w:val="00AC7DA5"/>
    <w:rsid w:val="00AC7F78"/>
    <w:rsid w:val="00AE2CC4"/>
    <w:rsid w:val="00AE46DB"/>
    <w:rsid w:val="00AE6EAA"/>
    <w:rsid w:val="00AF10EF"/>
    <w:rsid w:val="00AF37FA"/>
    <w:rsid w:val="00AF78A3"/>
    <w:rsid w:val="00B00844"/>
    <w:rsid w:val="00B17AEE"/>
    <w:rsid w:val="00B234CB"/>
    <w:rsid w:val="00B24671"/>
    <w:rsid w:val="00B249ED"/>
    <w:rsid w:val="00B30351"/>
    <w:rsid w:val="00B3075C"/>
    <w:rsid w:val="00B307F4"/>
    <w:rsid w:val="00B35C97"/>
    <w:rsid w:val="00B44F42"/>
    <w:rsid w:val="00B45744"/>
    <w:rsid w:val="00B61330"/>
    <w:rsid w:val="00B6661A"/>
    <w:rsid w:val="00B77573"/>
    <w:rsid w:val="00B83197"/>
    <w:rsid w:val="00B85C1C"/>
    <w:rsid w:val="00B926A7"/>
    <w:rsid w:val="00B97A23"/>
    <w:rsid w:val="00BA59F9"/>
    <w:rsid w:val="00BA6077"/>
    <w:rsid w:val="00BB1D75"/>
    <w:rsid w:val="00BB29A2"/>
    <w:rsid w:val="00BB7B06"/>
    <w:rsid w:val="00BC20AB"/>
    <w:rsid w:val="00BC51E5"/>
    <w:rsid w:val="00BD6039"/>
    <w:rsid w:val="00BD671E"/>
    <w:rsid w:val="00BD69ED"/>
    <w:rsid w:val="00BE06CE"/>
    <w:rsid w:val="00BF1A4D"/>
    <w:rsid w:val="00BF3379"/>
    <w:rsid w:val="00BF49FB"/>
    <w:rsid w:val="00C05A86"/>
    <w:rsid w:val="00C076AB"/>
    <w:rsid w:val="00C10872"/>
    <w:rsid w:val="00C173A3"/>
    <w:rsid w:val="00C17B54"/>
    <w:rsid w:val="00C27A18"/>
    <w:rsid w:val="00C34CF9"/>
    <w:rsid w:val="00C358BE"/>
    <w:rsid w:val="00C429D7"/>
    <w:rsid w:val="00C463A8"/>
    <w:rsid w:val="00C46579"/>
    <w:rsid w:val="00C518E4"/>
    <w:rsid w:val="00C6383E"/>
    <w:rsid w:val="00C65022"/>
    <w:rsid w:val="00C701F8"/>
    <w:rsid w:val="00C71B03"/>
    <w:rsid w:val="00C75951"/>
    <w:rsid w:val="00C8589C"/>
    <w:rsid w:val="00C934D3"/>
    <w:rsid w:val="00C93831"/>
    <w:rsid w:val="00CA5F81"/>
    <w:rsid w:val="00CB4136"/>
    <w:rsid w:val="00CB5D66"/>
    <w:rsid w:val="00CB791E"/>
    <w:rsid w:val="00CC4C88"/>
    <w:rsid w:val="00CD3E73"/>
    <w:rsid w:val="00CE1159"/>
    <w:rsid w:val="00CE7076"/>
    <w:rsid w:val="00CF07E2"/>
    <w:rsid w:val="00CF63D0"/>
    <w:rsid w:val="00CF7D3E"/>
    <w:rsid w:val="00D02ECB"/>
    <w:rsid w:val="00D038AE"/>
    <w:rsid w:val="00D03F31"/>
    <w:rsid w:val="00D05442"/>
    <w:rsid w:val="00D1723F"/>
    <w:rsid w:val="00D2133D"/>
    <w:rsid w:val="00D23C7D"/>
    <w:rsid w:val="00D302F2"/>
    <w:rsid w:val="00D304BB"/>
    <w:rsid w:val="00D3256B"/>
    <w:rsid w:val="00D32B38"/>
    <w:rsid w:val="00D533D0"/>
    <w:rsid w:val="00D57C7C"/>
    <w:rsid w:val="00D60620"/>
    <w:rsid w:val="00D660D0"/>
    <w:rsid w:val="00D708C2"/>
    <w:rsid w:val="00D77E39"/>
    <w:rsid w:val="00D814DD"/>
    <w:rsid w:val="00D859EC"/>
    <w:rsid w:val="00D861FE"/>
    <w:rsid w:val="00D866ED"/>
    <w:rsid w:val="00D90C9A"/>
    <w:rsid w:val="00DA25CF"/>
    <w:rsid w:val="00DD1AB4"/>
    <w:rsid w:val="00DD50CB"/>
    <w:rsid w:val="00DF5F05"/>
    <w:rsid w:val="00E018A5"/>
    <w:rsid w:val="00E01B1C"/>
    <w:rsid w:val="00E02B18"/>
    <w:rsid w:val="00E05ACB"/>
    <w:rsid w:val="00E077C1"/>
    <w:rsid w:val="00E24293"/>
    <w:rsid w:val="00E24ABB"/>
    <w:rsid w:val="00E2661F"/>
    <w:rsid w:val="00E27E4F"/>
    <w:rsid w:val="00E351EE"/>
    <w:rsid w:val="00E36141"/>
    <w:rsid w:val="00E3730E"/>
    <w:rsid w:val="00E43BC0"/>
    <w:rsid w:val="00E60542"/>
    <w:rsid w:val="00E619ED"/>
    <w:rsid w:val="00E61B41"/>
    <w:rsid w:val="00E63353"/>
    <w:rsid w:val="00E63ACF"/>
    <w:rsid w:val="00E63CFA"/>
    <w:rsid w:val="00E67F38"/>
    <w:rsid w:val="00E7727D"/>
    <w:rsid w:val="00E83E58"/>
    <w:rsid w:val="00E84EBC"/>
    <w:rsid w:val="00E965C9"/>
    <w:rsid w:val="00EA074B"/>
    <w:rsid w:val="00EE4168"/>
    <w:rsid w:val="00F0055B"/>
    <w:rsid w:val="00F10F1D"/>
    <w:rsid w:val="00F12933"/>
    <w:rsid w:val="00F1359E"/>
    <w:rsid w:val="00F1704B"/>
    <w:rsid w:val="00F21064"/>
    <w:rsid w:val="00F21E5F"/>
    <w:rsid w:val="00F30EE0"/>
    <w:rsid w:val="00F338B9"/>
    <w:rsid w:val="00F411CB"/>
    <w:rsid w:val="00F45BFA"/>
    <w:rsid w:val="00F701CF"/>
    <w:rsid w:val="00F71BA8"/>
    <w:rsid w:val="00F7616A"/>
    <w:rsid w:val="00F90126"/>
    <w:rsid w:val="00F9640E"/>
    <w:rsid w:val="00F966F5"/>
    <w:rsid w:val="00FA33C0"/>
    <w:rsid w:val="00FD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4C4B3CB"/>
  <w15:docId w15:val="{51231EC0-9979-47AB-9A67-8C8B37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E5061"/>
    <w:rPr>
      <w:color w:val="0000FF" w:themeColor="hyperlink"/>
      <w:u w:val="single"/>
    </w:rPr>
  </w:style>
  <w:style w:type="character" w:styleId="UnresolvedMention">
    <w:name w:val="Unresolved Mention"/>
    <w:basedOn w:val="DefaultParagraphFont"/>
    <w:uiPriority w:val="99"/>
    <w:semiHidden/>
    <w:unhideWhenUsed/>
    <w:rsid w:val="003E5061"/>
    <w:rPr>
      <w:color w:val="605E5C"/>
      <w:shd w:val="clear" w:color="auto" w:fill="E1DFDD"/>
    </w:rPr>
  </w:style>
  <w:style w:type="character" w:customStyle="1" w:styleId="xn-money">
    <w:name w:val="xn-money"/>
    <w:basedOn w:val="DefaultParagraphFont"/>
    <w:rsid w:val="00E67F38"/>
  </w:style>
  <w:style w:type="character" w:styleId="FollowedHyperlink">
    <w:name w:val="FollowedHyperlink"/>
    <w:basedOn w:val="DefaultParagraphFont"/>
    <w:uiPriority w:val="99"/>
    <w:semiHidden/>
    <w:unhideWhenUsed/>
    <w:rsid w:val="0093703B"/>
    <w:rPr>
      <w:color w:val="800080" w:themeColor="followedHyperlink"/>
      <w:u w:val="single"/>
    </w:rPr>
  </w:style>
  <w:style w:type="character" w:customStyle="1" w:styleId="FooterChar">
    <w:name w:val="Footer Char"/>
    <w:link w:val="Footer"/>
    <w:uiPriority w:val="99"/>
    <w:rsid w:val="00074550"/>
  </w:style>
  <w:style w:type="paragraph" w:styleId="ListParagraph">
    <w:name w:val="List Paragraph"/>
    <w:basedOn w:val="Normal"/>
    <w:uiPriority w:val="34"/>
    <w:qFormat/>
    <w:rsid w:val="00074550"/>
    <w:pPr>
      <w:ind w:left="720"/>
      <w:contextualSpacing/>
    </w:pPr>
  </w:style>
  <w:style w:type="character" w:customStyle="1" w:styleId="UnresolvedMention1">
    <w:name w:val="Unresolved Mention1"/>
    <w:basedOn w:val="DefaultParagraphFont"/>
    <w:uiPriority w:val="99"/>
    <w:semiHidden/>
    <w:unhideWhenUsed/>
    <w:rsid w:val="00354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11899</TotalTime>
  <Pages>5</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205</cp:revision>
  <cp:lastPrinted>2004-05-10T18:28:00Z</cp:lastPrinted>
  <dcterms:created xsi:type="dcterms:W3CDTF">2018-02-01T18:59:00Z</dcterms:created>
  <dcterms:modified xsi:type="dcterms:W3CDTF">2023-02-08T03:33:00Z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