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4624374C"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4E6921">
        <w:rPr>
          <w:rFonts w:ascii="Arial" w:eastAsia="Arial" w:hAnsi="Arial" w:cs="Arial"/>
          <w:color w:val="000000"/>
          <w:sz w:val="24"/>
          <w:szCs w:val="24"/>
        </w:rPr>
        <w:t>8</w:t>
      </w:r>
      <w:r w:rsidR="0051212D">
        <w:rPr>
          <w:rFonts w:ascii="Arial" w:eastAsia="Arial" w:hAnsi="Arial" w:cs="Arial"/>
          <w:color w:val="000000"/>
          <w:sz w:val="24"/>
          <w:szCs w:val="24"/>
        </w:rPr>
        <w:t>8</w:t>
      </w:r>
      <w:r w:rsidR="00D213C9">
        <w:rPr>
          <w:rFonts w:ascii="Arial" w:eastAsia="Arial" w:hAnsi="Arial" w:cs="Arial"/>
          <w:color w:val="000000"/>
          <w:sz w:val="24"/>
          <w:szCs w:val="24"/>
          <w:u w:val="single"/>
        </w:rPr>
        <w:t>,</w:t>
      </w:r>
      <w:r w:rsidR="002F5306">
        <w:rPr>
          <w:rFonts w:ascii="Arial" w:eastAsia="Arial" w:hAnsi="Arial" w:cs="Arial"/>
          <w:color w:val="000000"/>
          <w:sz w:val="24"/>
          <w:szCs w:val="24"/>
          <w:u w:val="single"/>
        </w:rPr>
        <w:t>181,469</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23FAB930"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2F5306">
        <w:rPr>
          <w:rFonts w:ascii="Arial" w:eastAsia="Arial" w:hAnsi="Arial" w:cs="Arial"/>
          <w:color w:val="000000"/>
          <w:sz w:val="24"/>
          <w:szCs w:val="24"/>
          <w:u w:val="single"/>
        </w:rPr>
        <w:t>February</w:t>
      </w:r>
      <w:r w:rsidR="004F0E3B">
        <w:rPr>
          <w:rFonts w:ascii="Arial" w:eastAsia="Arial" w:hAnsi="Arial" w:cs="Arial"/>
          <w:color w:val="000000"/>
          <w:sz w:val="24"/>
          <w:szCs w:val="24"/>
          <w:u w:val="single"/>
        </w:rPr>
        <w:t xml:space="preserve"> </w:t>
      </w:r>
      <w:r w:rsidR="002F5306">
        <w:rPr>
          <w:rFonts w:ascii="Arial" w:eastAsia="Arial" w:hAnsi="Arial" w:cs="Arial"/>
          <w:color w:val="000000"/>
          <w:sz w:val="24"/>
          <w:szCs w:val="24"/>
          <w:u w:val="single"/>
        </w:rPr>
        <w:t>1</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10E14">
        <w:rPr>
          <w:rFonts w:ascii="Arial" w:eastAsia="Arial" w:hAnsi="Arial" w:cs="Arial"/>
          <w:color w:val="000000"/>
          <w:sz w:val="24"/>
          <w:szCs w:val="24"/>
          <w:u w:val="single"/>
        </w:rPr>
        <w:t>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5719B7CD"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 xml:space="preserve">Delic Corp is the leading psychedelic wellness corporation committed to bringing safe, legal and science-backed benefits to all. With the largest infrastructure of </w:t>
      </w:r>
      <w:r w:rsidR="00A81A1E">
        <w:rPr>
          <w:rFonts w:ascii="Arial" w:hAnsi="Arial" w:cs="Arial"/>
          <w:color w:val="000000"/>
          <w:sz w:val="24"/>
          <w:szCs w:val="24"/>
        </w:rPr>
        <w:t>ketamine</w:t>
      </w:r>
      <w:r w:rsidRPr="00032A5C">
        <w:rPr>
          <w:rFonts w:ascii="Arial" w:hAnsi="Arial" w:cs="Arial"/>
          <w:color w:val="000000"/>
          <w:sz w:val="24"/>
          <w:szCs w:val="24"/>
        </w:rPr>
        <w:t xml:space="preserve"> wellness clinics in the US, Delic is delivering affordable, effective </w:t>
      </w:r>
      <w:r w:rsidR="00A81A1E">
        <w:rPr>
          <w:rFonts w:ascii="Arial" w:hAnsi="Arial" w:cs="Arial"/>
          <w:color w:val="000000"/>
          <w:sz w:val="24"/>
          <w:szCs w:val="24"/>
        </w:rPr>
        <w:t xml:space="preserve">ketamine treatments </w:t>
      </w:r>
      <w:r w:rsidRPr="00032A5C">
        <w:rPr>
          <w:rFonts w:ascii="Arial" w:hAnsi="Arial" w:cs="Arial"/>
          <w:color w:val="000000"/>
          <w:sz w:val="24"/>
          <w:szCs w:val="24"/>
        </w:rPr>
        <w:t>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0C9622AD" w:rsid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74F8398D"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w:t>
      </w:r>
      <w:r w:rsidR="00A7742D" w:rsidRPr="00D213C9">
        <w:rPr>
          <w:rStyle w:val="Emphasis"/>
          <w:rFonts w:ascii="Arial" w:hAnsi="Arial" w:cs="Arial"/>
          <w:b/>
          <w:bCs/>
          <w:i w:val="0"/>
          <w:iCs w:val="0"/>
          <w:color w:val="000000"/>
          <w:bdr w:val="none" w:sz="0" w:space="0" w:color="auto" w:frame="1"/>
        </w:rPr>
        <w:t>the largest and most accessible network of physical clinics to administer effective treatments</w:t>
      </w:r>
      <w:r w:rsidR="00A7742D">
        <w:rPr>
          <w:rStyle w:val="Emphasis"/>
          <w:rFonts w:ascii="Arial" w:hAnsi="Arial" w:cs="Arial"/>
          <w:b/>
          <w:bCs/>
          <w:i w:val="0"/>
          <w:iCs w:val="0"/>
          <w:color w:val="000000"/>
          <w:bdr w:val="none" w:sz="0" w:space="0" w:color="auto" w:frame="1"/>
        </w:rPr>
        <w:t>,</w:t>
      </w:r>
      <w:r w:rsidRPr="00D213C9">
        <w:rPr>
          <w:rStyle w:val="Emphasis"/>
          <w:rFonts w:ascii="Arial" w:hAnsi="Arial" w:cs="Arial"/>
          <w:b/>
          <w:bCs/>
          <w:i w:val="0"/>
          <w:iCs w:val="0"/>
          <w:color w:val="000000"/>
          <w:bdr w:val="none" w:sz="0" w:space="0" w:color="auto" w:frame="1"/>
        </w:rPr>
        <w:t xml:space="preserve"> 2) a licensed lab to develop IP, R&amp;D and innovative, high quality and safe product lines and 3)</w:t>
      </w:r>
      <w:r w:rsidR="00A7742D">
        <w:rPr>
          <w:rStyle w:val="Emphasis"/>
          <w:rFonts w:ascii="Arial" w:hAnsi="Arial" w:cs="Arial"/>
          <w:b/>
          <w:bCs/>
          <w:i w:val="0"/>
          <w:iCs w:val="0"/>
          <w:color w:val="000000"/>
          <w:bdr w:val="none" w:sz="0" w:space="0" w:color="auto" w:frame="1"/>
        </w:rPr>
        <w:t xml:space="preserve"> </w:t>
      </w:r>
      <w:r w:rsidR="00A7742D" w:rsidRPr="00D213C9">
        <w:rPr>
          <w:rStyle w:val="Emphasis"/>
          <w:rFonts w:ascii="Arial" w:hAnsi="Arial" w:cs="Arial"/>
          <w:b/>
          <w:bCs/>
          <w:i w:val="0"/>
          <w:iCs w:val="0"/>
          <w:color w:val="000000"/>
          <w:bdr w:val="none" w:sz="0" w:space="0" w:color="auto" w:frame="1"/>
        </w:rPr>
        <w:t>trusted media and e-commerce platforms and in-person events to market services directly to patients and consumers and gain data</w:t>
      </w:r>
      <w:r w:rsidR="00A7742D">
        <w:rPr>
          <w:rStyle w:val="Emphasis"/>
          <w:rFonts w:ascii="Arial" w:hAnsi="Arial" w:cs="Arial"/>
          <w:b/>
          <w:bCs/>
          <w:i w:val="0"/>
          <w:iCs w:val="0"/>
          <w:color w:val="000000"/>
          <w:bdr w:val="none" w:sz="0" w:space="0" w:color="auto" w:frame="1"/>
        </w:rPr>
        <w:t>.</w:t>
      </w:r>
      <w:r w:rsidRPr="00D213C9">
        <w:rPr>
          <w:rStyle w:val="Emphasis"/>
          <w:rFonts w:ascii="Arial" w:hAnsi="Arial" w:cs="Arial"/>
          <w:b/>
          <w:bCs/>
          <w:i w:val="0"/>
          <w:iCs w:val="0"/>
          <w:color w:val="000000"/>
          <w:bdr w:val="none" w:sz="0" w:space="0" w:color="auto" w:frame="1"/>
        </w:rPr>
        <w:t>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technology and 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assets—independent from regulated platforms like Facebook, Google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 xml:space="preserve">nificant relationships across </w:t>
      </w:r>
      <w:r w:rsidRPr="00D213C9">
        <w:rPr>
          <w:rStyle w:val="Emphasis"/>
          <w:rFonts w:ascii="Arial" w:hAnsi="Arial" w:cs="Arial"/>
          <w:b/>
          <w:bCs/>
          <w:i w:val="0"/>
          <w:iCs w:val="0"/>
          <w:color w:val="000000"/>
          <w:bdr w:val="none" w:sz="0" w:space="0" w:color="auto" w:frame="1"/>
        </w:rPr>
        <w:lastRenderedPageBreak/>
        <w:t>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75103E01" w:rsidR="00F85C16" w:rsidRPr="007221D8" w:rsidRDefault="00BB73BD" w:rsidP="00F85C16">
      <w:pPr>
        <w:pStyle w:val="NormalWeb"/>
        <w:ind w:left="720"/>
        <w:jc w:val="both"/>
        <w:rPr>
          <w:rFonts w:ascii="Arial" w:eastAsia="Arial" w:hAnsi="Arial" w:cs="Arial"/>
          <w:b/>
          <w:bCs/>
          <w:color w:val="000000"/>
        </w:rPr>
      </w:pPr>
      <w:r>
        <w:rPr>
          <w:rFonts w:ascii="Arial" w:hAnsi="Arial" w:cs="Arial"/>
          <w:b/>
          <w:bCs/>
          <w:szCs w:val="20"/>
        </w:rPr>
        <w:t>None noted.</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3F9CF73E"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581E7B79" w14:textId="77777777" w:rsidR="00C5563B" w:rsidRPr="00C5563B" w:rsidRDefault="00EC1E97" w:rsidP="00C5563B">
      <w:pPr>
        <w:numPr>
          <w:ilvl w:val="0"/>
          <w:numId w:val="2"/>
        </w:numPr>
        <w:pBdr>
          <w:top w:val="nil"/>
          <w:left w:val="nil"/>
          <w:bottom w:val="nil"/>
          <w:right w:val="nil"/>
          <w:between w:val="nil"/>
        </w:pBdr>
        <w:spacing w:before="240"/>
        <w:jc w:val="both"/>
        <w:rPr>
          <w:rFonts w:ascii="Arial" w:hAnsi="Arial" w:cs="Arial"/>
          <w:b/>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8E57B2F"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588E526A"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0" w:name="_Hlk78875498"/>
    </w:p>
    <w:bookmarkEnd w:id="0"/>
    <w:p w14:paraId="385020AC"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506101B7"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any new developments or effects on intangible products such as brand names, circulation lists, copyrights, franchises, licenses, patents, software, subscription lists and trade-marks.</w:t>
      </w:r>
    </w:p>
    <w:p w14:paraId="216F7BA8"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71FB4691" w14:textId="77777777" w:rsidR="00BB73BD" w:rsidRPr="00D77BA1" w:rsidRDefault="00BB73BD" w:rsidP="00BB73BD">
      <w:pPr>
        <w:pStyle w:val="NormalWeb"/>
        <w:ind w:left="720"/>
        <w:jc w:val="both"/>
        <w:rPr>
          <w:rFonts w:ascii="Arial" w:eastAsia="Arial" w:hAnsi="Arial" w:cs="Arial"/>
          <w:b/>
          <w:bCs/>
          <w:color w:val="000000"/>
          <w:lang w:val="en-CA"/>
        </w:rPr>
      </w:pPr>
      <w:r>
        <w:rPr>
          <w:rFonts w:ascii="Arial" w:hAnsi="Arial" w:cs="Arial"/>
          <w:b/>
          <w:bCs/>
          <w:szCs w:val="20"/>
        </w:rPr>
        <w:t>None noted.</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19DF6BBF"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4D93BCE"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6A18BC01" w14:textId="696A7EC1" w:rsidR="0051212D" w:rsidRPr="0051212D" w:rsidRDefault="00713301" w:rsidP="0051212D">
      <w:pPr>
        <w:pBdr>
          <w:top w:val="nil"/>
          <w:left w:val="nil"/>
          <w:bottom w:val="nil"/>
          <w:right w:val="nil"/>
          <w:between w:val="nil"/>
        </w:pBdr>
        <w:spacing w:before="240" w:after="240"/>
        <w:ind w:left="720"/>
        <w:jc w:val="both"/>
        <w:rPr>
          <w:rFonts w:ascii="Arial" w:eastAsia="Arial" w:hAnsi="Arial" w:cs="Arial"/>
          <w:b/>
          <w:bCs/>
          <w:color w:val="000000"/>
          <w:sz w:val="24"/>
          <w:szCs w:val="24"/>
        </w:rPr>
      </w:pPr>
      <w:r>
        <w:rPr>
          <w:rFonts w:ascii="Arial" w:eastAsia="Arial" w:hAnsi="Arial" w:cs="Arial"/>
          <w:b/>
          <w:bCs/>
          <w:color w:val="000000"/>
          <w:sz w:val="24"/>
          <w:szCs w:val="24"/>
        </w:rPr>
        <w:t>None noted.</w:t>
      </w:r>
    </w:p>
    <w:p w14:paraId="068D2218" w14:textId="0AE764F5"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205D42F0" w:rsidR="008F2AF2" w:rsidRDefault="00AD6BA4"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N/A</w:t>
            </w:r>
          </w:p>
        </w:tc>
        <w:tc>
          <w:tcPr>
            <w:tcW w:w="1938" w:type="dxa"/>
          </w:tcPr>
          <w:p w14:paraId="1358FC3D" w14:textId="34DDC628"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B07C59F"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4353D7A"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79844D8E"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63A0316D"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139511B8"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8D581A1"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1870FF9D"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44A3BB5B" w14:textId="77777777" w:rsidR="00BB73BD" w:rsidRPr="007221D8" w:rsidRDefault="00BB73BD" w:rsidP="00BB73BD">
      <w:pPr>
        <w:pStyle w:val="NormalWeb"/>
        <w:ind w:left="720"/>
        <w:jc w:val="both"/>
        <w:rPr>
          <w:rFonts w:ascii="Arial" w:eastAsia="Arial" w:hAnsi="Arial" w:cs="Arial"/>
          <w:b/>
          <w:bCs/>
          <w:color w:val="000000"/>
        </w:rPr>
      </w:pPr>
      <w:r>
        <w:rPr>
          <w:rFonts w:ascii="Arial" w:hAnsi="Arial" w:cs="Arial"/>
          <w:b/>
          <w:bCs/>
          <w:szCs w:val="20"/>
        </w:rPr>
        <w:t>None noted.</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A4103CA"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 xml:space="preserve">Canada has consistently shown leadership in helping cannabis and now psychedelics emerge from false stigmas. Canada was the first G7 country to </w:t>
      </w:r>
      <w:r w:rsidRPr="0081289F">
        <w:rPr>
          <w:rFonts w:ascii="Arial" w:hAnsi="Arial" w:cs="Arial"/>
          <w:b/>
          <w:bCs/>
          <w:sz w:val="24"/>
          <w:szCs w:val="24"/>
        </w:rPr>
        <w:lastRenderedPageBreak/>
        <w:t xml:space="preserve">legalize cannabis, and as psychedelics further gain ground on what </w:t>
      </w:r>
      <w:r w:rsidR="00D51827">
        <w:rPr>
          <w:rFonts w:ascii="Arial" w:hAnsi="Arial" w:cs="Arial"/>
          <w:b/>
          <w:bCs/>
          <w:sz w:val="24"/>
          <w:szCs w:val="24"/>
        </w:rPr>
        <w:t>may</w:t>
      </w:r>
      <w:r w:rsidRPr="0081289F">
        <w:rPr>
          <w:rFonts w:ascii="Arial" w:hAnsi="Arial" w:cs="Arial"/>
          <w:b/>
          <w:bCs/>
          <w:sz w:val="24"/>
          <w:szCs w:val="24"/>
        </w:rPr>
        <w:t xml:space="preserve">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4A36FFC8"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2F5306">
        <w:rPr>
          <w:rFonts w:ascii="Arial" w:eastAsia="Arial" w:hAnsi="Arial" w:cs="Arial"/>
          <w:color w:val="000000"/>
          <w:sz w:val="24"/>
          <w:szCs w:val="24"/>
          <w:u w:val="single"/>
        </w:rPr>
        <w:t>February</w:t>
      </w:r>
      <w:r w:rsidR="00BD2618">
        <w:rPr>
          <w:rFonts w:ascii="Arial" w:eastAsia="Arial" w:hAnsi="Arial" w:cs="Arial"/>
          <w:color w:val="000000"/>
          <w:sz w:val="24"/>
          <w:szCs w:val="24"/>
          <w:u w:val="single"/>
        </w:rPr>
        <w:t xml:space="preserve"> </w:t>
      </w:r>
      <w:r w:rsidR="002F5306">
        <w:rPr>
          <w:rFonts w:ascii="Arial" w:eastAsia="Arial" w:hAnsi="Arial" w:cs="Arial"/>
          <w:color w:val="000000"/>
          <w:sz w:val="24"/>
          <w:szCs w:val="24"/>
          <w:u w:val="single"/>
        </w:rPr>
        <w:t>1</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810E14">
        <w:rPr>
          <w:rFonts w:ascii="Arial" w:eastAsia="Arial" w:hAnsi="Arial" w:cs="Arial"/>
          <w:color w:val="000000"/>
          <w:sz w:val="24"/>
          <w:szCs w:val="24"/>
          <w:u w:val="single"/>
        </w:rPr>
        <w:t>3</w:t>
      </w:r>
    </w:p>
    <w:p w14:paraId="626F39D8" w14:textId="33908DFF"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F40642" w:rsidRPr="00F40642">
        <w:rPr>
          <w:rFonts w:ascii="Arial" w:eastAsia="Arial" w:hAnsi="Arial" w:cs="Arial"/>
          <w:color w:val="000000"/>
          <w:sz w:val="24"/>
          <w:szCs w:val="24"/>
          <w:u w:val="single"/>
        </w:rPr>
        <w:t>Mat</w:t>
      </w:r>
      <w:r w:rsidR="00037313">
        <w:rPr>
          <w:rFonts w:ascii="Arial" w:eastAsia="Arial" w:hAnsi="Arial" w:cs="Arial"/>
          <w:color w:val="000000"/>
          <w:sz w:val="24"/>
          <w:szCs w:val="24"/>
          <w:u w:val="single"/>
        </w:rPr>
        <w: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5AE1C2B"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w:t>
      </w:r>
      <w:r w:rsidR="00F40642">
        <w:rPr>
          <w:rFonts w:ascii="Arial" w:eastAsia="Arial" w:hAnsi="Arial" w:cs="Arial"/>
          <w:i/>
          <w:iCs/>
          <w:color w:val="000000"/>
          <w:sz w:val="24"/>
          <w:szCs w:val="24"/>
          <w:u w:val="single"/>
        </w:rPr>
        <w:t>t</w:t>
      </w:r>
      <w:r w:rsidR="00037313">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0C9C5F00"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037313">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509400DF" w:rsidR="004979E1" w:rsidRDefault="002F5306">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January 2023</w:t>
            </w:r>
          </w:p>
        </w:tc>
        <w:tc>
          <w:tcPr>
            <w:tcW w:w="2701" w:type="dxa"/>
            <w:tcBorders>
              <w:top w:val="single" w:sz="18" w:space="0" w:color="000000"/>
              <w:left w:val="single" w:sz="18" w:space="0" w:color="000000"/>
              <w:bottom w:val="nil"/>
            </w:tcBorders>
          </w:tcPr>
          <w:p w14:paraId="1930C87B" w14:textId="60B87A1E"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w:t>
            </w:r>
            <w:r w:rsidR="005B007E">
              <w:rPr>
                <w:rFonts w:ascii="Arial" w:eastAsia="Arial" w:hAnsi="Arial" w:cs="Arial"/>
                <w:color w:val="000000"/>
                <w:sz w:val="24"/>
                <w:szCs w:val="24"/>
              </w:rPr>
              <w:t>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006DEE6D"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810E14">
              <w:rPr>
                <w:rFonts w:ascii="Arial" w:eastAsia="Arial" w:hAnsi="Arial" w:cs="Arial"/>
                <w:color w:val="000000"/>
                <w:sz w:val="24"/>
                <w:szCs w:val="24"/>
              </w:rPr>
              <w:t>3</w:t>
            </w:r>
            <w:r w:rsidRPr="0015253F">
              <w:rPr>
                <w:rFonts w:ascii="Arial" w:eastAsia="Arial" w:hAnsi="Arial" w:cs="Arial"/>
                <w:color w:val="000000"/>
                <w:sz w:val="24"/>
                <w:szCs w:val="24"/>
              </w:rPr>
              <w:t>/</w:t>
            </w:r>
            <w:r w:rsidR="00810E14">
              <w:rPr>
                <w:rFonts w:ascii="Arial" w:eastAsia="Arial" w:hAnsi="Arial" w:cs="Arial"/>
                <w:color w:val="000000"/>
                <w:sz w:val="24"/>
                <w:szCs w:val="24"/>
              </w:rPr>
              <w:t>0</w:t>
            </w:r>
            <w:r w:rsidR="002F5306">
              <w:rPr>
                <w:rFonts w:ascii="Arial" w:eastAsia="Arial" w:hAnsi="Arial" w:cs="Arial"/>
                <w:color w:val="000000"/>
                <w:sz w:val="24"/>
                <w:szCs w:val="24"/>
              </w:rPr>
              <w:t>2</w:t>
            </w:r>
            <w:r w:rsidR="00BA3DB6">
              <w:rPr>
                <w:rFonts w:ascii="Arial" w:eastAsia="Arial" w:hAnsi="Arial" w:cs="Arial"/>
                <w:color w:val="000000"/>
                <w:sz w:val="24"/>
                <w:szCs w:val="24"/>
              </w:rPr>
              <w:t>/0</w:t>
            </w:r>
            <w:r w:rsidR="002F5306">
              <w:rPr>
                <w:rFonts w:ascii="Arial" w:eastAsia="Arial" w:hAnsi="Arial" w:cs="Arial"/>
                <w:color w:val="000000"/>
                <w:sz w:val="24"/>
                <w:szCs w:val="24"/>
              </w:rPr>
              <w:t>1</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000000">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000000">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37B1" w14:textId="77777777" w:rsidR="00416FF8" w:rsidRDefault="00416FF8">
      <w:r>
        <w:separator/>
      </w:r>
    </w:p>
  </w:endnote>
  <w:endnote w:type="continuationSeparator" w:id="0">
    <w:p w14:paraId="2498C213" w14:textId="77777777" w:rsidR="00416FF8" w:rsidRDefault="0041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31A88A72"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464AEBEF"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9D57" w14:textId="77777777" w:rsidR="00416FF8" w:rsidRDefault="00416FF8">
      <w:r>
        <w:separator/>
      </w:r>
    </w:p>
  </w:footnote>
  <w:footnote w:type="continuationSeparator" w:id="0">
    <w:p w14:paraId="70711A4A" w14:textId="77777777" w:rsidR="00416FF8" w:rsidRDefault="0041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9C"/>
    <w:multiLevelType w:val="hybridMultilevel"/>
    <w:tmpl w:val="A6F6BACA"/>
    <w:lvl w:ilvl="0" w:tplc="29C607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504DD"/>
    <w:multiLevelType w:val="hybridMultilevel"/>
    <w:tmpl w:val="B204DD1C"/>
    <w:lvl w:ilvl="0" w:tplc="594C267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38353002">
    <w:abstractNumId w:val="2"/>
  </w:num>
  <w:num w:numId="2" w16cid:durableId="1469278247">
    <w:abstractNumId w:val="9"/>
  </w:num>
  <w:num w:numId="3" w16cid:durableId="490830742">
    <w:abstractNumId w:val="3"/>
  </w:num>
  <w:num w:numId="4" w16cid:durableId="1251961887">
    <w:abstractNumId w:val="8"/>
  </w:num>
  <w:num w:numId="5" w16cid:durableId="141700586">
    <w:abstractNumId w:val="1"/>
  </w:num>
  <w:num w:numId="6" w16cid:durableId="429812059">
    <w:abstractNumId w:val="6"/>
  </w:num>
  <w:num w:numId="7" w16cid:durableId="917447445">
    <w:abstractNumId w:val="5"/>
  </w:num>
  <w:num w:numId="8" w16cid:durableId="1287002307">
    <w:abstractNumId w:val="4"/>
  </w:num>
  <w:num w:numId="9" w16cid:durableId="2075199701">
    <w:abstractNumId w:val="0"/>
  </w:num>
  <w:num w:numId="10" w16cid:durableId="1847862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47AE"/>
    <w:rsid w:val="00026265"/>
    <w:rsid w:val="0003086D"/>
    <w:rsid w:val="00032A5C"/>
    <w:rsid w:val="00037313"/>
    <w:rsid w:val="00067EFA"/>
    <w:rsid w:val="00076A5B"/>
    <w:rsid w:val="00096A05"/>
    <w:rsid w:val="000B69D5"/>
    <w:rsid w:val="000C51C5"/>
    <w:rsid w:val="000C5E1A"/>
    <w:rsid w:val="000C6561"/>
    <w:rsid w:val="000C695C"/>
    <w:rsid w:val="000D2F51"/>
    <w:rsid w:val="000D4E5C"/>
    <w:rsid w:val="000F3921"/>
    <w:rsid w:val="00113A4E"/>
    <w:rsid w:val="0011405B"/>
    <w:rsid w:val="0011409C"/>
    <w:rsid w:val="00135C56"/>
    <w:rsid w:val="00143A53"/>
    <w:rsid w:val="0015253F"/>
    <w:rsid w:val="00165EA8"/>
    <w:rsid w:val="00186A34"/>
    <w:rsid w:val="00187BD0"/>
    <w:rsid w:val="001A1DE7"/>
    <w:rsid w:val="001A1FDA"/>
    <w:rsid w:val="001B24A6"/>
    <w:rsid w:val="001C37C4"/>
    <w:rsid w:val="001E7106"/>
    <w:rsid w:val="001F2EB4"/>
    <w:rsid w:val="00212B2A"/>
    <w:rsid w:val="00236019"/>
    <w:rsid w:val="002554C3"/>
    <w:rsid w:val="002628E1"/>
    <w:rsid w:val="002665EF"/>
    <w:rsid w:val="0027632F"/>
    <w:rsid w:val="002803EC"/>
    <w:rsid w:val="00290665"/>
    <w:rsid w:val="002A5414"/>
    <w:rsid w:val="002C0697"/>
    <w:rsid w:val="002E29E9"/>
    <w:rsid w:val="002F3847"/>
    <w:rsid w:val="002F5306"/>
    <w:rsid w:val="002F5E7D"/>
    <w:rsid w:val="00310721"/>
    <w:rsid w:val="00311B6E"/>
    <w:rsid w:val="003314B8"/>
    <w:rsid w:val="00334291"/>
    <w:rsid w:val="00382A38"/>
    <w:rsid w:val="003861F8"/>
    <w:rsid w:val="00392F4D"/>
    <w:rsid w:val="00396E64"/>
    <w:rsid w:val="003A3571"/>
    <w:rsid w:val="003B753E"/>
    <w:rsid w:val="003C25F5"/>
    <w:rsid w:val="003C6226"/>
    <w:rsid w:val="00413DD8"/>
    <w:rsid w:val="00416FF8"/>
    <w:rsid w:val="00440DB6"/>
    <w:rsid w:val="00455F51"/>
    <w:rsid w:val="00463D5F"/>
    <w:rsid w:val="004924CA"/>
    <w:rsid w:val="004979E1"/>
    <w:rsid w:val="00497FDD"/>
    <w:rsid w:val="004B0088"/>
    <w:rsid w:val="004C3588"/>
    <w:rsid w:val="004C36D4"/>
    <w:rsid w:val="004E0FB4"/>
    <w:rsid w:val="004E436B"/>
    <w:rsid w:val="004E6921"/>
    <w:rsid w:val="004F0E3B"/>
    <w:rsid w:val="00500A5B"/>
    <w:rsid w:val="0050710B"/>
    <w:rsid w:val="0051212D"/>
    <w:rsid w:val="00513DCB"/>
    <w:rsid w:val="005167BE"/>
    <w:rsid w:val="00567B94"/>
    <w:rsid w:val="005802D6"/>
    <w:rsid w:val="00583D96"/>
    <w:rsid w:val="005937F4"/>
    <w:rsid w:val="00594E17"/>
    <w:rsid w:val="00597ED5"/>
    <w:rsid w:val="005A5507"/>
    <w:rsid w:val="005B007E"/>
    <w:rsid w:val="005B5937"/>
    <w:rsid w:val="00602275"/>
    <w:rsid w:val="006103AE"/>
    <w:rsid w:val="00626B75"/>
    <w:rsid w:val="0064411F"/>
    <w:rsid w:val="00661527"/>
    <w:rsid w:val="006654D6"/>
    <w:rsid w:val="006A3B94"/>
    <w:rsid w:val="006B4AC7"/>
    <w:rsid w:val="006C2AA6"/>
    <w:rsid w:val="006C6E37"/>
    <w:rsid w:val="006F3DEF"/>
    <w:rsid w:val="00701FE0"/>
    <w:rsid w:val="00713301"/>
    <w:rsid w:val="007221D8"/>
    <w:rsid w:val="00760037"/>
    <w:rsid w:val="00767287"/>
    <w:rsid w:val="00773D0B"/>
    <w:rsid w:val="007864C6"/>
    <w:rsid w:val="00787F3A"/>
    <w:rsid w:val="007A2CFF"/>
    <w:rsid w:val="007A5E20"/>
    <w:rsid w:val="007A74F3"/>
    <w:rsid w:val="007B3C75"/>
    <w:rsid w:val="007C4E3C"/>
    <w:rsid w:val="007D106D"/>
    <w:rsid w:val="007D60AF"/>
    <w:rsid w:val="007E0749"/>
    <w:rsid w:val="007E16E9"/>
    <w:rsid w:val="007F38BA"/>
    <w:rsid w:val="008005B9"/>
    <w:rsid w:val="00810E14"/>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44251"/>
    <w:rsid w:val="00951BDB"/>
    <w:rsid w:val="00963619"/>
    <w:rsid w:val="0097311F"/>
    <w:rsid w:val="00992346"/>
    <w:rsid w:val="009B1489"/>
    <w:rsid w:val="009F34B8"/>
    <w:rsid w:val="009F421B"/>
    <w:rsid w:val="009F5BF6"/>
    <w:rsid w:val="00A05EF0"/>
    <w:rsid w:val="00A13B6D"/>
    <w:rsid w:val="00A16987"/>
    <w:rsid w:val="00A17395"/>
    <w:rsid w:val="00A20E41"/>
    <w:rsid w:val="00A3206A"/>
    <w:rsid w:val="00A35FE8"/>
    <w:rsid w:val="00A6113B"/>
    <w:rsid w:val="00A63869"/>
    <w:rsid w:val="00A64F3A"/>
    <w:rsid w:val="00A7513B"/>
    <w:rsid w:val="00A75219"/>
    <w:rsid w:val="00A7742D"/>
    <w:rsid w:val="00A811CF"/>
    <w:rsid w:val="00A81A1E"/>
    <w:rsid w:val="00A93CC5"/>
    <w:rsid w:val="00A96CBC"/>
    <w:rsid w:val="00AA6916"/>
    <w:rsid w:val="00AB36A5"/>
    <w:rsid w:val="00AB4175"/>
    <w:rsid w:val="00AB60D9"/>
    <w:rsid w:val="00AB61F8"/>
    <w:rsid w:val="00AC3F1B"/>
    <w:rsid w:val="00AD3462"/>
    <w:rsid w:val="00AD4675"/>
    <w:rsid w:val="00AD56AE"/>
    <w:rsid w:val="00AD6BA4"/>
    <w:rsid w:val="00AE561E"/>
    <w:rsid w:val="00AE5F24"/>
    <w:rsid w:val="00AE602B"/>
    <w:rsid w:val="00AF0A44"/>
    <w:rsid w:val="00AF0D79"/>
    <w:rsid w:val="00B06255"/>
    <w:rsid w:val="00B0718C"/>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B73BD"/>
    <w:rsid w:val="00BD2618"/>
    <w:rsid w:val="00BD2902"/>
    <w:rsid w:val="00BE49A6"/>
    <w:rsid w:val="00C078F0"/>
    <w:rsid w:val="00C33865"/>
    <w:rsid w:val="00C54A28"/>
    <w:rsid w:val="00C5563B"/>
    <w:rsid w:val="00C65842"/>
    <w:rsid w:val="00CA0DB9"/>
    <w:rsid w:val="00CA571B"/>
    <w:rsid w:val="00CB61E8"/>
    <w:rsid w:val="00CD1070"/>
    <w:rsid w:val="00D03399"/>
    <w:rsid w:val="00D050F2"/>
    <w:rsid w:val="00D07445"/>
    <w:rsid w:val="00D113A9"/>
    <w:rsid w:val="00D213C9"/>
    <w:rsid w:val="00D3615C"/>
    <w:rsid w:val="00D51827"/>
    <w:rsid w:val="00D622C4"/>
    <w:rsid w:val="00D67D90"/>
    <w:rsid w:val="00D77BA1"/>
    <w:rsid w:val="00DF1D42"/>
    <w:rsid w:val="00DF6459"/>
    <w:rsid w:val="00E02523"/>
    <w:rsid w:val="00E067DF"/>
    <w:rsid w:val="00E135E6"/>
    <w:rsid w:val="00E32757"/>
    <w:rsid w:val="00E363A8"/>
    <w:rsid w:val="00E401E3"/>
    <w:rsid w:val="00E5661C"/>
    <w:rsid w:val="00E7017E"/>
    <w:rsid w:val="00E956BA"/>
    <w:rsid w:val="00E958D8"/>
    <w:rsid w:val="00EB41FF"/>
    <w:rsid w:val="00EC1E97"/>
    <w:rsid w:val="00EC2E8E"/>
    <w:rsid w:val="00F02342"/>
    <w:rsid w:val="00F02B6B"/>
    <w:rsid w:val="00F061D9"/>
    <w:rsid w:val="00F222E6"/>
    <w:rsid w:val="00F40642"/>
    <w:rsid w:val="00F4624A"/>
    <w:rsid w:val="00F5244C"/>
    <w:rsid w:val="00F55F5D"/>
    <w:rsid w:val="00F6396B"/>
    <w:rsid w:val="00F77184"/>
    <w:rsid w:val="00F834E7"/>
    <w:rsid w:val="00F85C16"/>
    <w:rsid w:val="00FA61FB"/>
    <w:rsid w:val="00FE36D9"/>
    <w:rsid w:val="00FE4666"/>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112</cp:revision>
  <dcterms:created xsi:type="dcterms:W3CDTF">2020-05-04T19:10:00Z</dcterms:created>
  <dcterms:modified xsi:type="dcterms:W3CDTF">2023-02-02T04:05:00Z</dcterms:modified>
</cp:coreProperties>
</file>