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EC85" w14:textId="2E48AEB2" w:rsidR="002C2B82" w:rsidRPr="00BE2341" w:rsidRDefault="00BD1257" w:rsidP="00745AFE">
      <w:pPr>
        <w:pStyle w:val="Heading1"/>
        <w:spacing w:before="120" w:beforeAutospacing="0" w:after="60" w:afterAutospacing="0" w:line="276" w:lineRule="auto"/>
        <w:jc w:val="center"/>
        <w:rPr>
          <w:rFonts w:ascii="Calibri" w:hAnsi="Calibri" w:cs="Calibri"/>
          <w:color w:val="000000"/>
          <w:sz w:val="22"/>
          <w:szCs w:val="22"/>
        </w:rPr>
      </w:pPr>
      <w:r w:rsidRPr="00BE2341">
        <w:rPr>
          <w:rFonts w:ascii="Calibri" w:hAnsi="Calibri" w:cs="Calibri"/>
          <w:color w:val="000000"/>
          <w:sz w:val="22"/>
          <w:szCs w:val="22"/>
        </w:rPr>
        <w:t>Getchell Gold Corp.</w:t>
      </w:r>
      <w:r w:rsidR="005D2CC1" w:rsidRPr="00BE2341">
        <w:rPr>
          <w:rFonts w:ascii="Calibri" w:hAnsi="Calibri" w:cs="Calibri"/>
          <w:color w:val="000000"/>
          <w:sz w:val="22"/>
          <w:szCs w:val="22"/>
        </w:rPr>
        <w:t xml:space="preserve"> </w:t>
      </w:r>
      <w:r w:rsidR="00213B10">
        <w:rPr>
          <w:rFonts w:ascii="Calibri" w:hAnsi="Calibri" w:cs="Calibri"/>
          <w:color w:val="000000"/>
          <w:sz w:val="22"/>
          <w:szCs w:val="22"/>
        </w:rPr>
        <w:t xml:space="preserve">Intersects </w:t>
      </w:r>
      <w:r w:rsidR="004800E1">
        <w:rPr>
          <w:rFonts w:ascii="Calibri" w:hAnsi="Calibri" w:cs="Calibri"/>
          <w:color w:val="000000"/>
          <w:sz w:val="22"/>
          <w:szCs w:val="22"/>
        </w:rPr>
        <w:t>1.8 g/t Au over 107.5 m at the North Fork Zone</w:t>
      </w:r>
      <w:r w:rsidR="00535E8F" w:rsidRPr="00BE2341">
        <w:rPr>
          <w:rFonts w:ascii="Calibri" w:hAnsi="Calibri" w:cs="Calibri"/>
          <w:color w:val="000000"/>
          <w:sz w:val="22"/>
          <w:szCs w:val="22"/>
        </w:rPr>
        <w:t>,</w:t>
      </w:r>
      <w:r w:rsidR="00103CCD" w:rsidRPr="00BE2341">
        <w:rPr>
          <w:rFonts w:ascii="Calibri" w:hAnsi="Calibri" w:cs="Calibri"/>
          <w:color w:val="000000"/>
          <w:sz w:val="22"/>
          <w:szCs w:val="22"/>
        </w:rPr>
        <w:t xml:space="preserve"> Fondaway Canyon, NV</w:t>
      </w:r>
      <w:r w:rsidR="009D0070" w:rsidRPr="00BE2341">
        <w:rPr>
          <w:rFonts w:ascii="Calibri" w:hAnsi="Calibri" w:cs="Calibri"/>
          <w:color w:val="000000"/>
          <w:sz w:val="22"/>
          <w:szCs w:val="22"/>
        </w:rPr>
        <w:t xml:space="preserve"> </w:t>
      </w:r>
    </w:p>
    <w:p w14:paraId="12FCA9BF" w14:textId="5DFC64FC" w:rsidR="00EB102A" w:rsidRPr="00BE2341" w:rsidRDefault="0013525B" w:rsidP="002E19FF">
      <w:pPr>
        <w:spacing w:before="360" w:after="180"/>
        <w:jc w:val="both"/>
        <w:rPr>
          <w:color w:val="000000"/>
        </w:rPr>
      </w:pPr>
      <w:r w:rsidRPr="00BE2341">
        <w:rPr>
          <w:b/>
          <w:bCs/>
          <w:color w:val="000000"/>
        </w:rPr>
        <w:t>Vancouver</w:t>
      </w:r>
      <w:r w:rsidR="00BD1257" w:rsidRPr="00BE2341">
        <w:rPr>
          <w:b/>
          <w:bCs/>
          <w:color w:val="000000"/>
        </w:rPr>
        <w:t xml:space="preserve">, </w:t>
      </w:r>
      <w:r w:rsidRPr="00BE2341">
        <w:rPr>
          <w:b/>
          <w:bCs/>
          <w:color w:val="000000"/>
        </w:rPr>
        <w:t>BC</w:t>
      </w:r>
      <w:r w:rsidR="00BD1257" w:rsidRPr="00BE2341">
        <w:rPr>
          <w:b/>
          <w:bCs/>
          <w:color w:val="000000"/>
        </w:rPr>
        <w:t xml:space="preserve"> – </w:t>
      </w:r>
      <w:r w:rsidR="004800E1">
        <w:rPr>
          <w:b/>
          <w:bCs/>
          <w:color w:val="000000"/>
        </w:rPr>
        <w:t>September</w:t>
      </w:r>
      <w:r w:rsidR="0098622D" w:rsidRPr="00BE2341">
        <w:rPr>
          <w:b/>
          <w:bCs/>
          <w:color w:val="000000"/>
        </w:rPr>
        <w:t xml:space="preserve"> </w:t>
      </w:r>
      <w:r w:rsidR="00E01ADD">
        <w:rPr>
          <w:b/>
          <w:bCs/>
          <w:color w:val="000000"/>
        </w:rPr>
        <w:t>27</w:t>
      </w:r>
      <w:r w:rsidR="00BD1257" w:rsidRPr="00BE2341">
        <w:rPr>
          <w:b/>
          <w:bCs/>
          <w:color w:val="000000"/>
        </w:rPr>
        <w:t>, 202</w:t>
      </w:r>
      <w:r w:rsidR="00A83F04" w:rsidRPr="00BE2341">
        <w:rPr>
          <w:b/>
          <w:bCs/>
          <w:color w:val="000000"/>
        </w:rPr>
        <w:t>2</w:t>
      </w:r>
      <w:r w:rsidR="00BD1257" w:rsidRPr="00BE2341">
        <w:rPr>
          <w:b/>
          <w:bCs/>
          <w:color w:val="000000"/>
        </w:rPr>
        <w:t xml:space="preserve"> – Getchell Gold Corp. (CSE: GTCH) (OTCQB: GGLDF) ("Getchell" or the "Company")</w:t>
      </w:r>
      <w:r w:rsidR="00BD1257" w:rsidRPr="00BE2341">
        <w:rPr>
          <w:color w:val="000000"/>
        </w:rPr>
        <w:t xml:space="preserve"> is pleased to </w:t>
      </w:r>
      <w:r w:rsidR="002A3ACF" w:rsidRPr="00BE2341">
        <w:rPr>
          <w:color w:val="000000"/>
        </w:rPr>
        <w:t>provide</w:t>
      </w:r>
      <w:r w:rsidR="00594504" w:rsidRPr="00BE2341">
        <w:rPr>
          <w:color w:val="000000"/>
        </w:rPr>
        <w:t xml:space="preserve"> </w:t>
      </w:r>
      <w:r w:rsidR="007C4AC7">
        <w:rPr>
          <w:color w:val="000000"/>
        </w:rPr>
        <w:t>assay</w:t>
      </w:r>
      <w:r w:rsidR="007C4AC7" w:rsidRPr="00BE2341">
        <w:rPr>
          <w:color w:val="000000"/>
        </w:rPr>
        <w:t xml:space="preserve"> </w:t>
      </w:r>
      <w:r w:rsidR="003259BB" w:rsidRPr="00BE2341">
        <w:rPr>
          <w:color w:val="000000"/>
        </w:rPr>
        <w:t>results for drill hole FCG2</w:t>
      </w:r>
      <w:r w:rsidR="00594504" w:rsidRPr="00BE2341">
        <w:rPr>
          <w:color w:val="000000"/>
        </w:rPr>
        <w:t>2</w:t>
      </w:r>
      <w:r w:rsidR="003259BB" w:rsidRPr="00BE2341">
        <w:rPr>
          <w:color w:val="000000"/>
        </w:rPr>
        <w:t>-</w:t>
      </w:r>
      <w:r w:rsidR="009241E5" w:rsidRPr="00BE2341">
        <w:rPr>
          <w:color w:val="000000"/>
        </w:rPr>
        <w:t>1</w:t>
      </w:r>
      <w:r w:rsidR="004800E1">
        <w:rPr>
          <w:color w:val="000000"/>
        </w:rPr>
        <w:t>9</w:t>
      </w:r>
      <w:r w:rsidR="00E72DA0" w:rsidRPr="00BE2341">
        <w:rPr>
          <w:color w:val="000000"/>
        </w:rPr>
        <w:t xml:space="preserve"> that </w:t>
      </w:r>
      <w:r w:rsidR="000400CD">
        <w:rPr>
          <w:color w:val="000000"/>
        </w:rPr>
        <w:t xml:space="preserve">successfully intersected and extended </w:t>
      </w:r>
      <w:r w:rsidR="00E72DA0" w:rsidRPr="00BE2341">
        <w:rPr>
          <w:color w:val="000000"/>
        </w:rPr>
        <w:t>the</w:t>
      </w:r>
      <w:r w:rsidR="00594504" w:rsidRPr="00BE2341">
        <w:rPr>
          <w:color w:val="000000"/>
        </w:rPr>
        <w:t xml:space="preserve"> </w:t>
      </w:r>
      <w:r w:rsidR="00E72DA0" w:rsidRPr="00BE2341">
        <w:rPr>
          <w:color w:val="000000"/>
        </w:rPr>
        <w:t xml:space="preserve">North Fork </w:t>
      </w:r>
      <w:r w:rsidR="00A9030D" w:rsidRPr="00BE2341">
        <w:rPr>
          <w:color w:val="000000"/>
        </w:rPr>
        <w:t>z</w:t>
      </w:r>
      <w:r w:rsidR="00E72DA0" w:rsidRPr="00BE2341">
        <w:rPr>
          <w:color w:val="000000"/>
        </w:rPr>
        <w:t>one</w:t>
      </w:r>
      <w:r w:rsidR="000400CD">
        <w:rPr>
          <w:color w:val="000000"/>
        </w:rPr>
        <w:t xml:space="preserve"> gold mineralization</w:t>
      </w:r>
      <w:r w:rsidR="002A3ACF" w:rsidRPr="00BE2341">
        <w:rPr>
          <w:color w:val="000000"/>
        </w:rPr>
        <w:t xml:space="preserve"> at the Fondaway Canyon </w:t>
      </w:r>
      <w:r w:rsidR="00A9030D" w:rsidRPr="00BE2341">
        <w:rPr>
          <w:color w:val="000000"/>
        </w:rPr>
        <w:t>g</w:t>
      </w:r>
      <w:r w:rsidR="002A3ACF" w:rsidRPr="00BE2341">
        <w:rPr>
          <w:color w:val="000000"/>
        </w:rPr>
        <w:t>old project</w:t>
      </w:r>
      <w:r w:rsidR="002B6E9F" w:rsidRPr="00BE2341">
        <w:rPr>
          <w:color w:val="000000"/>
        </w:rPr>
        <w:t xml:space="preserve"> in Nevada</w:t>
      </w:r>
      <w:r w:rsidR="00EB102A" w:rsidRPr="00BE2341">
        <w:rPr>
          <w:color w:val="000000"/>
        </w:rPr>
        <w:t>.</w:t>
      </w:r>
    </w:p>
    <w:p w14:paraId="0BAF1D3B" w14:textId="060C7380" w:rsidR="00C06AE3" w:rsidRPr="00BE2341" w:rsidRDefault="00C06AE3" w:rsidP="009B5124">
      <w:pPr>
        <w:spacing w:before="180" w:after="120" w:line="252" w:lineRule="auto"/>
        <w:jc w:val="both"/>
        <w:rPr>
          <w:b/>
          <w:bCs/>
          <w:color w:val="000000"/>
        </w:rPr>
      </w:pPr>
      <w:r w:rsidRPr="00BE2341">
        <w:rPr>
          <w:b/>
          <w:bCs/>
          <w:color w:val="000000"/>
        </w:rPr>
        <w:t>Key Highlights</w:t>
      </w:r>
    </w:p>
    <w:p w14:paraId="19341D49" w14:textId="33953ABC" w:rsidR="006360D1" w:rsidRDefault="006360D1" w:rsidP="00361BDD">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 xml:space="preserve">Extensive </w:t>
      </w:r>
      <w:r w:rsidR="004800E1">
        <w:rPr>
          <w:rFonts w:ascii="Calibri" w:hAnsi="Calibri" w:cs="Calibri"/>
          <w:color w:val="auto"/>
          <w:lang w:val="en-CA"/>
        </w:rPr>
        <w:t xml:space="preserve">zone of </w:t>
      </w:r>
      <w:r>
        <w:rPr>
          <w:rFonts w:ascii="Calibri" w:hAnsi="Calibri" w:cs="Calibri"/>
          <w:color w:val="auto"/>
          <w:lang w:val="en-CA"/>
        </w:rPr>
        <w:t>g</w:t>
      </w:r>
      <w:r w:rsidR="00427844" w:rsidRPr="00BE2341">
        <w:rPr>
          <w:rFonts w:ascii="Calibri" w:hAnsi="Calibri" w:cs="Calibri"/>
          <w:color w:val="auto"/>
          <w:lang w:val="en-CA"/>
        </w:rPr>
        <w:t>old mineraliz</w:t>
      </w:r>
      <w:r w:rsidR="004800E1">
        <w:rPr>
          <w:rFonts w:ascii="Calibri" w:hAnsi="Calibri" w:cs="Calibri"/>
          <w:color w:val="auto"/>
          <w:lang w:val="en-CA"/>
        </w:rPr>
        <w:t>ation</w:t>
      </w:r>
      <w:r w:rsidR="00535E8F" w:rsidRPr="00BE2341">
        <w:rPr>
          <w:rFonts w:ascii="Calibri" w:hAnsi="Calibri" w:cs="Calibri"/>
          <w:color w:val="auto"/>
          <w:lang w:val="en-CA"/>
        </w:rPr>
        <w:t xml:space="preserve"> </w:t>
      </w:r>
      <w:r w:rsidR="00427844" w:rsidRPr="00BE2341">
        <w:rPr>
          <w:rFonts w:ascii="Calibri" w:hAnsi="Calibri" w:cs="Calibri"/>
          <w:color w:val="auto"/>
          <w:lang w:val="en-CA"/>
        </w:rPr>
        <w:t>encountered</w:t>
      </w:r>
      <w:r w:rsidR="004800E1">
        <w:rPr>
          <w:rFonts w:ascii="Calibri" w:hAnsi="Calibri" w:cs="Calibri"/>
          <w:color w:val="auto"/>
          <w:lang w:val="en-CA"/>
        </w:rPr>
        <w:t xml:space="preserve"> grading </w:t>
      </w:r>
      <w:r w:rsidR="004800E1" w:rsidRPr="004800E1">
        <w:rPr>
          <w:rFonts w:ascii="Calibri" w:hAnsi="Calibri" w:cs="Calibri"/>
          <w:b/>
          <w:bCs/>
          <w:color w:val="auto"/>
          <w:lang w:val="en-CA"/>
        </w:rPr>
        <w:t>1.8 g/t Au</w:t>
      </w:r>
      <w:r w:rsidR="004800E1">
        <w:rPr>
          <w:rFonts w:ascii="Calibri" w:hAnsi="Calibri" w:cs="Calibri"/>
          <w:color w:val="auto"/>
          <w:lang w:val="en-CA"/>
        </w:rPr>
        <w:t xml:space="preserve"> over </w:t>
      </w:r>
      <w:r w:rsidR="004800E1" w:rsidRPr="004800E1">
        <w:rPr>
          <w:rFonts w:ascii="Calibri" w:hAnsi="Calibri" w:cs="Calibri"/>
          <w:b/>
          <w:bCs/>
          <w:color w:val="auto"/>
          <w:lang w:val="en-CA"/>
        </w:rPr>
        <w:t>107.5 m</w:t>
      </w:r>
      <w:r w:rsidR="000400CD">
        <w:rPr>
          <w:rFonts w:ascii="Calibri" w:hAnsi="Calibri" w:cs="Calibri"/>
          <w:color w:val="auto"/>
          <w:lang w:val="en-CA"/>
        </w:rPr>
        <w:t xml:space="preserve"> including</w:t>
      </w:r>
      <w:r w:rsidR="00031857">
        <w:rPr>
          <w:rFonts w:ascii="Calibri" w:hAnsi="Calibri" w:cs="Calibri"/>
          <w:color w:val="auto"/>
          <w:lang w:val="en-CA"/>
        </w:rPr>
        <w:br/>
      </w:r>
      <w:r w:rsidR="000400CD" w:rsidRPr="000400CD">
        <w:rPr>
          <w:rFonts w:ascii="Calibri" w:hAnsi="Calibri" w:cs="Calibri"/>
          <w:b/>
          <w:bCs/>
          <w:color w:val="auto"/>
          <w:lang w:val="en-CA"/>
        </w:rPr>
        <w:t>2.9 g/t Au</w:t>
      </w:r>
      <w:r w:rsidR="000400CD">
        <w:rPr>
          <w:rFonts w:ascii="Calibri" w:hAnsi="Calibri" w:cs="Calibri"/>
          <w:color w:val="auto"/>
          <w:lang w:val="en-CA"/>
        </w:rPr>
        <w:t xml:space="preserve"> over </w:t>
      </w:r>
      <w:r w:rsidR="000400CD" w:rsidRPr="000400CD">
        <w:rPr>
          <w:rFonts w:ascii="Calibri" w:hAnsi="Calibri" w:cs="Calibri"/>
          <w:b/>
          <w:bCs/>
          <w:color w:val="auto"/>
          <w:lang w:val="en-CA"/>
        </w:rPr>
        <w:t>32.9 m</w:t>
      </w:r>
      <w:r>
        <w:rPr>
          <w:rFonts w:ascii="Calibri" w:hAnsi="Calibri" w:cs="Calibri"/>
          <w:color w:val="auto"/>
          <w:lang w:val="en-CA"/>
        </w:rPr>
        <w:t>;</w:t>
      </w:r>
    </w:p>
    <w:p w14:paraId="5E9D4E7F" w14:textId="7AE9003C" w:rsidR="004800E1" w:rsidRPr="004800E1" w:rsidRDefault="007C4AC7" w:rsidP="004800E1">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Drilling c</w:t>
      </w:r>
      <w:r w:rsidR="004800E1">
        <w:rPr>
          <w:rFonts w:ascii="Calibri" w:hAnsi="Calibri" w:cs="Calibri"/>
          <w:color w:val="auto"/>
          <w:lang w:val="en-CA"/>
        </w:rPr>
        <w:t xml:space="preserve">ontinues to expand </w:t>
      </w:r>
      <w:r w:rsidR="00591B9E">
        <w:rPr>
          <w:rFonts w:ascii="Calibri" w:hAnsi="Calibri" w:cs="Calibri"/>
          <w:color w:val="auto"/>
          <w:lang w:val="en-CA"/>
        </w:rPr>
        <w:t xml:space="preserve">the </w:t>
      </w:r>
      <w:r w:rsidR="004800E1">
        <w:rPr>
          <w:rFonts w:ascii="Calibri" w:hAnsi="Calibri" w:cs="Calibri"/>
          <w:color w:val="auto"/>
          <w:lang w:val="en-CA"/>
        </w:rPr>
        <w:t>North Fork zone</w:t>
      </w:r>
      <w:r w:rsidR="004800E1" w:rsidRPr="00BE2341">
        <w:rPr>
          <w:rFonts w:ascii="Calibri" w:hAnsi="Calibri" w:cs="Calibri"/>
          <w:color w:val="auto"/>
          <w:lang w:val="en-CA"/>
        </w:rPr>
        <w:t>;</w:t>
      </w:r>
    </w:p>
    <w:p w14:paraId="4D9325EB" w14:textId="229ADEB4" w:rsidR="009D1DCA" w:rsidRDefault="007C4AC7" w:rsidP="00361BDD">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Assay r</w:t>
      </w:r>
      <w:r w:rsidR="009D1DCA">
        <w:rPr>
          <w:rFonts w:ascii="Calibri" w:hAnsi="Calibri" w:cs="Calibri"/>
          <w:color w:val="auto"/>
          <w:lang w:val="en-CA"/>
        </w:rPr>
        <w:t>esults from FCG22-1</w:t>
      </w:r>
      <w:r w:rsidR="00C01FAE">
        <w:rPr>
          <w:rFonts w:ascii="Calibri" w:hAnsi="Calibri" w:cs="Calibri"/>
          <w:color w:val="auto"/>
          <w:lang w:val="en-CA"/>
        </w:rPr>
        <w:t>9</w:t>
      </w:r>
      <w:r w:rsidR="009D1DCA">
        <w:rPr>
          <w:rFonts w:ascii="Calibri" w:hAnsi="Calibri" w:cs="Calibri"/>
          <w:color w:val="auto"/>
          <w:lang w:val="en-CA"/>
        </w:rPr>
        <w:t xml:space="preserve"> will be incorporated into the forthcoming </w:t>
      </w:r>
      <w:r w:rsidR="00954515">
        <w:rPr>
          <w:rFonts w:ascii="Calibri" w:hAnsi="Calibri" w:cs="Calibri"/>
          <w:color w:val="auto"/>
          <w:lang w:val="en-CA"/>
        </w:rPr>
        <w:t xml:space="preserve">Mineral </w:t>
      </w:r>
      <w:r w:rsidR="009D1DCA">
        <w:rPr>
          <w:rFonts w:ascii="Calibri" w:hAnsi="Calibri" w:cs="Calibri"/>
          <w:color w:val="auto"/>
          <w:lang w:val="en-CA"/>
        </w:rPr>
        <w:t>Resources estimate;</w:t>
      </w:r>
    </w:p>
    <w:p w14:paraId="076E363F" w14:textId="012C2AAE" w:rsidR="00535E8F" w:rsidRPr="00BE2341" w:rsidRDefault="005373ED" w:rsidP="00361BDD">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North Fork</w:t>
      </w:r>
      <w:r w:rsidR="001674E0" w:rsidRPr="00BE2341">
        <w:rPr>
          <w:rFonts w:ascii="Calibri" w:hAnsi="Calibri" w:cs="Calibri"/>
          <w:color w:val="auto"/>
          <w:lang w:val="en-CA"/>
        </w:rPr>
        <w:t xml:space="preserve"> </w:t>
      </w:r>
      <w:r>
        <w:rPr>
          <w:rFonts w:ascii="Calibri" w:hAnsi="Calibri" w:cs="Calibri"/>
          <w:color w:val="auto"/>
          <w:lang w:val="en-CA"/>
        </w:rPr>
        <w:t>gold zone remains open in most directions;</w:t>
      </w:r>
    </w:p>
    <w:p w14:paraId="592975E5" w14:textId="6B2BFAE6" w:rsidR="00031857" w:rsidRDefault="00715BCD" w:rsidP="00C01FAE">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D</w:t>
      </w:r>
      <w:r w:rsidR="00306F6B">
        <w:rPr>
          <w:rFonts w:ascii="Calibri" w:hAnsi="Calibri" w:cs="Calibri"/>
          <w:color w:val="auto"/>
          <w:lang w:val="en-CA"/>
        </w:rPr>
        <w:t xml:space="preserve">rilling </w:t>
      </w:r>
      <w:r w:rsidR="00C01FAE">
        <w:rPr>
          <w:rFonts w:ascii="Calibri" w:hAnsi="Calibri" w:cs="Calibri"/>
          <w:color w:val="auto"/>
          <w:lang w:val="en-CA"/>
        </w:rPr>
        <w:t>remains</w:t>
      </w:r>
      <w:r w:rsidR="00306F6B">
        <w:rPr>
          <w:rFonts w:ascii="Calibri" w:hAnsi="Calibri" w:cs="Calibri"/>
          <w:color w:val="auto"/>
          <w:lang w:val="en-CA"/>
        </w:rPr>
        <w:t xml:space="preserve"> underway to </w:t>
      </w:r>
      <w:r w:rsidR="00404DF8">
        <w:rPr>
          <w:rFonts w:ascii="Calibri" w:hAnsi="Calibri" w:cs="Calibri"/>
          <w:color w:val="auto"/>
          <w:lang w:val="en-CA"/>
        </w:rPr>
        <w:t>further</w:t>
      </w:r>
      <w:r w:rsidR="00306F6B">
        <w:rPr>
          <w:rFonts w:ascii="Calibri" w:hAnsi="Calibri" w:cs="Calibri"/>
          <w:color w:val="auto"/>
          <w:lang w:val="en-CA"/>
        </w:rPr>
        <w:t xml:space="preserve"> delineate</w:t>
      </w:r>
      <w:r w:rsidR="005A1506">
        <w:rPr>
          <w:rFonts w:ascii="Calibri" w:hAnsi="Calibri" w:cs="Calibri"/>
          <w:color w:val="auto"/>
          <w:lang w:val="en-CA"/>
        </w:rPr>
        <w:t xml:space="preserve"> the North Fork</w:t>
      </w:r>
      <w:r w:rsidR="00051B96">
        <w:rPr>
          <w:rFonts w:ascii="Calibri" w:hAnsi="Calibri" w:cs="Calibri"/>
          <w:color w:val="auto"/>
          <w:lang w:val="en-CA"/>
        </w:rPr>
        <w:t xml:space="preserve"> </w:t>
      </w:r>
      <w:r w:rsidR="00404DF8">
        <w:rPr>
          <w:rFonts w:ascii="Calibri" w:hAnsi="Calibri" w:cs="Calibri"/>
          <w:color w:val="auto"/>
          <w:lang w:val="en-CA"/>
        </w:rPr>
        <w:t xml:space="preserve">and Colorado SW </w:t>
      </w:r>
      <w:r w:rsidR="009878D9">
        <w:rPr>
          <w:rFonts w:ascii="Calibri" w:hAnsi="Calibri" w:cs="Calibri"/>
          <w:color w:val="auto"/>
          <w:lang w:val="en-CA"/>
        </w:rPr>
        <w:t xml:space="preserve">gold </w:t>
      </w:r>
      <w:r w:rsidR="00031857">
        <w:rPr>
          <w:rFonts w:ascii="Calibri" w:hAnsi="Calibri" w:cs="Calibri"/>
          <w:color w:val="auto"/>
          <w:lang w:val="en-CA"/>
        </w:rPr>
        <w:t>zone</w:t>
      </w:r>
      <w:r w:rsidR="00404DF8">
        <w:rPr>
          <w:rFonts w:ascii="Calibri" w:hAnsi="Calibri" w:cs="Calibri"/>
          <w:color w:val="auto"/>
          <w:lang w:val="en-CA"/>
        </w:rPr>
        <w:t>s</w:t>
      </w:r>
      <w:r w:rsidR="00031857">
        <w:rPr>
          <w:rFonts w:ascii="Calibri" w:hAnsi="Calibri" w:cs="Calibri"/>
          <w:color w:val="auto"/>
          <w:lang w:val="en-CA"/>
        </w:rPr>
        <w:t>; and</w:t>
      </w:r>
    </w:p>
    <w:p w14:paraId="4015B667" w14:textId="08571C57" w:rsidR="0084224A" w:rsidRPr="00C01FAE" w:rsidRDefault="00031857" w:rsidP="00C01FAE">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 xml:space="preserve">Assays are pending </w:t>
      </w:r>
      <w:r w:rsidRPr="00031857">
        <w:rPr>
          <w:rFonts w:ascii="Calibri" w:hAnsi="Calibri" w:cs="Calibri"/>
          <w:color w:val="auto"/>
          <w:lang w:val="en-CA"/>
        </w:rPr>
        <w:t>for holes FCG22-20 through FCG22-25</w:t>
      </w:r>
      <w:r w:rsidR="0084224A" w:rsidRPr="00C01FAE">
        <w:rPr>
          <w:rFonts w:ascii="Calibri" w:hAnsi="Calibri" w:cs="Calibri"/>
          <w:color w:val="auto"/>
          <w:lang w:val="en-CA"/>
        </w:rPr>
        <w:t>.</w:t>
      </w:r>
    </w:p>
    <w:p w14:paraId="747C4206" w14:textId="29D2BB81" w:rsidR="007C39F0" w:rsidRDefault="003F0C0B" w:rsidP="00361BDD">
      <w:pPr>
        <w:spacing w:before="240" w:after="0" w:line="252" w:lineRule="auto"/>
        <w:jc w:val="both"/>
        <w:rPr>
          <w:rFonts w:eastAsia="Times New Roman" w:cstheme="minorHAnsi"/>
        </w:rPr>
      </w:pPr>
      <w:r w:rsidRPr="002E5FF4">
        <w:rPr>
          <w:rFonts w:eastAsia="Times New Roman" w:cstheme="minorHAnsi"/>
        </w:rPr>
        <w:t>“</w:t>
      </w:r>
      <w:r w:rsidR="00B83E88">
        <w:rPr>
          <w:rFonts w:eastAsia="Times New Roman" w:cstheme="minorHAnsi"/>
        </w:rPr>
        <w:t xml:space="preserve">The North Fork zone continues to produce </w:t>
      </w:r>
      <w:r w:rsidR="00981D80">
        <w:rPr>
          <w:rFonts w:eastAsia="Times New Roman" w:cstheme="minorHAnsi"/>
        </w:rPr>
        <w:t>remarkable</w:t>
      </w:r>
      <w:r w:rsidR="00B83E88">
        <w:rPr>
          <w:rFonts w:eastAsia="Times New Roman" w:cstheme="minorHAnsi"/>
        </w:rPr>
        <w:t xml:space="preserve"> grades and thicknesses as we step out from </w:t>
      </w:r>
      <w:r w:rsidR="009878D9">
        <w:rPr>
          <w:rFonts w:eastAsia="Times New Roman" w:cstheme="minorHAnsi"/>
        </w:rPr>
        <w:t xml:space="preserve">our </w:t>
      </w:r>
      <w:r w:rsidR="00B83E88">
        <w:rPr>
          <w:rFonts w:eastAsia="Times New Roman" w:cstheme="minorHAnsi"/>
        </w:rPr>
        <w:t>discovery hole</w:t>
      </w:r>
      <w:r w:rsidR="00EC485A" w:rsidRPr="002E5FF4">
        <w:rPr>
          <w:rFonts w:eastAsia="Times New Roman" w:cstheme="minorHAnsi"/>
        </w:rPr>
        <w:t>.</w:t>
      </w:r>
      <w:r w:rsidR="009E7907" w:rsidRPr="002E5FF4">
        <w:rPr>
          <w:rFonts w:eastAsia="Times New Roman" w:cstheme="minorHAnsi"/>
        </w:rPr>
        <w:t>” states Mike Sieb, President, Getchell Gold Corp.</w:t>
      </w:r>
      <w:r w:rsidR="00EC485A" w:rsidRPr="002E5FF4">
        <w:rPr>
          <w:rFonts w:eastAsia="Times New Roman" w:cstheme="minorHAnsi"/>
        </w:rPr>
        <w:t xml:space="preserve"> “</w:t>
      </w:r>
      <w:r w:rsidR="00B83E88">
        <w:rPr>
          <w:rFonts w:eastAsia="Times New Roman" w:cstheme="minorHAnsi"/>
        </w:rPr>
        <w:t xml:space="preserve">The North Fork zone is developing into a major </w:t>
      </w:r>
      <w:r w:rsidR="00981D80">
        <w:rPr>
          <w:rFonts w:eastAsia="Times New Roman" w:cstheme="minorHAnsi"/>
        </w:rPr>
        <w:t>region</w:t>
      </w:r>
      <w:r w:rsidR="00B83E88">
        <w:rPr>
          <w:rFonts w:eastAsia="Times New Roman" w:cstheme="minorHAnsi"/>
        </w:rPr>
        <w:t xml:space="preserve"> of </w:t>
      </w:r>
      <w:r w:rsidR="00981D80">
        <w:rPr>
          <w:rFonts w:eastAsia="Times New Roman" w:cstheme="minorHAnsi"/>
        </w:rPr>
        <w:t xml:space="preserve">concentrated </w:t>
      </w:r>
      <w:r w:rsidR="00B83E88">
        <w:rPr>
          <w:rFonts w:eastAsia="Times New Roman" w:cstheme="minorHAnsi"/>
        </w:rPr>
        <w:t xml:space="preserve">gold </w:t>
      </w:r>
      <w:r w:rsidR="005D6BC8">
        <w:rPr>
          <w:rFonts w:eastAsia="Times New Roman" w:cstheme="minorHAnsi"/>
        </w:rPr>
        <w:t>mineralization,</w:t>
      </w:r>
      <w:r w:rsidR="00B83E88">
        <w:rPr>
          <w:rFonts w:eastAsia="Times New Roman" w:cstheme="minorHAnsi"/>
        </w:rPr>
        <w:t xml:space="preserve"> and I expect will contribute greatly to the gold model</w:t>
      </w:r>
      <w:r w:rsidR="00A41ABB">
        <w:rPr>
          <w:rFonts w:eastAsia="Times New Roman" w:cstheme="minorHAnsi"/>
        </w:rPr>
        <w:t xml:space="preserve"> currently being</w:t>
      </w:r>
      <w:r w:rsidR="00A41ABB" w:rsidRPr="00A41ABB">
        <w:rPr>
          <w:rFonts w:eastAsia="Times New Roman" w:cstheme="minorHAnsi"/>
        </w:rPr>
        <w:t xml:space="preserve"> </w:t>
      </w:r>
      <w:r w:rsidR="00A41ABB">
        <w:rPr>
          <w:rFonts w:eastAsia="Times New Roman" w:cstheme="minorHAnsi"/>
        </w:rPr>
        <w:t>generated</w:t>
      </w:r>
      <w:r w:rsidR="002A370A" w:rsidRPr="002E5FF4">
        <w:rPr>
          <w:rFonts w:eastAsia="Times New Roman" w:cstheme="minorHAnsi"/>
        </w:rPr>
        <w:t>.”</w:t>
      </w:r>
    </w:p>
    <w:p w14:paraId="147010D1" w14:textId="0E099490" w:rsidR="00167DF3" w:rsidRPr="00BE2341" w:rsidRDefault="002D6F87" w:rsidP="00361BDD">
      <w:pPr>
        <w:spacing w:before="240" w:after="0" w:line="252" w:lineRule="auto"/>
        <w:jc w:val="both"/>
        <w:rPr>
          <w:rFonts w:eastAsia="Times New Roman" w:cstheme="minorHAnsi"/>
        </w:rPr>
      </w:pPr>
      <w:r w:rsidRPr="002D6F87">
        <w:rPr>
          <w:rFonts w:eastAsia="Times New Roman" w:cstheme="minorHAnsi"/>
        </w:rPr>
        <w:t>To watch a video that provides</w:t>
      </w:r>
      <w:r>
        <w:rPr>
          <w:rFonts w:eastAsia="Times New Roman" w:cstheme="minorHAnsi"/>
        </w:rPr>
        <w:t xml:space="preserve"> </w:t>
      </w:r>
      <w:r w:rsidRPr="002D6F87">
        <w:rPr>
          <w:rFonts w:eastAsia="Times New Roman" w:cstheme="minorHAnsi"/>
        </w:rPr>
        <w:t xml:space="preserve">a </w:t>
      </w:r>
      <w:r>
        <w:rPr>
          <w:rFonts w:eastAsia="Times New Roman" w:cstheme="minorHAnsi"/>
        </w:rPr>
        <w:t xml:space="preserve">detailed </w:t>
      </w:r>
      <w:r w:rsidRPr="002D6F87">
        <w:rPr>
          <w:rFonts w:eastAsia="Times New Roman" w:cstheme="minorHAnsi"/>
        </w:rPr>
        <w:t>summary</w:t>
      </w:r>
      <w:r>
        <w:rPr>
          <w:rFonts w:eastAsia="Times New Roman" w:cstheme="minorHAnsi"/>
        </w:rPr>
        <w:t xml:space="preserve"> of the key </w:t>
      </w:r>
      <w:r w:rsidRPr="002D6F87">
        <w:rPr>
          <w:rFonts w:eastAsia="Times New Roman" w:cstheme="minorHAnsi"/>
        </w:rPr>
        <w:t xml:space="preserve">highlights </w:t>
      </w:r>
      <w:r>
        <w:rPr>
          <w:rFonts w:eastAsia="Times New Roman" w:cstheme="minorHAnsi"/>
        </w:rPr>
        <w:t>from</w:t>
      </w:r>
      <w:r w:rsidRPr="002D6F87">
        <w:rPr>
          <w:rFonts w:eastAsia="Times New Roman" w:cstheme="minorHAnsi"/>
        </w:rPr>
        <w:t xml:space="preserve"> the </w:t>
      </w:r>
      <w:r>
        <w:rPr>
          <w:rFonts w:eastAsia="Times New Roman" w:cstheme="minorHAnsi"/>
        </w:rPr>
        <w:t xml:space="preserve">2020 to </w:t>
      </w:r>
      <w:r w:rsidRPr="002D6F87">
        <w:rPr>
          <w:rFonts w:eastAsia="Times New Roman" w:cstheme="minorHAnsi"/>
        </w:rPr>
        <w:t>202</w:t>
      </w:r>
      <w:r>
        <w:rPr>
          <w:rFonts w:eastAsia="Times New Roman" w:cstheme="minorHAnsi"/>
        </w:rPr>
        <w:t>2</w:t>
      </w:r>
      <w:r w:rsidRPr="002D6F87">
        <w:rPr>
          <w:rFonts w:eastAsia="Times New Roman" w:cstheme="minorHAnsi"/>
        </w:rPr>
        <w:t xml:space="preserve"> </w:t>
      </w:r>
      <w:r>
        <w:rPr>
          <w:rFonts w:eastAsia="Times New Roman" w:cstheme="minorHAnsi"/>
        </w:rPr>
        <w:t>drill</w:t>
      </w:r>
      <w:r w:rsidRPr="002D6F87">
        <w:rPr>
          <w:rFonts w:eastAsia="Times New Roman" w:cstheme="minorHAnsi"/>
        </w:rPr>
        <w:t xml:space="preserve"> </w:t>
      </w:r>
      <w:r>
        <w:rPr>
          <w:rFonts w:eastAsia="Times New Roman" w:cstheme="minorHAnsi"/>
        </w:rPr>
        <w:t xml:space="preserve">programs </w:t>
      </w:r>
      <w:r w:rsidRPr="002D6F87">
        <w:rPr>
          <w:rFonts w:eastAsia="Times New Roman" w:cstheme="minorHAnsi"/>
        </w:rPr>
        <w:t xml:space="preserve">at Fondaway Canyon, click here: </w:t>
      </w:r>
      <w:hyperlink r:id="rId8" w:history="1">
        <w:r w:rsidR="00423C64" w:rsidRPr="00423C64">
          <w:rPr>
            <w:rStyle w:val="Hyperlink"/>
            <w:rFonts w:eastAsia="Times New Roman" w:cstheme="minorHAnsi"/>
          </w:rPr>
          <w:t>https://yout</w:t>
        </w:r>
        <w:r w:rsidR="00423C64" w:rsidRPr="00423C64">
          <w:rPr>
            <w:rStyle w:val="Hyperlink"/>
            <w:rFonts w:eastAsia="Times New Roman" w:cstheme="minorHAnsi"/>
          </w:rPr>
          <w:t>u</w:t>
        </w:r>
        <w:r w:rsidR="00423C64" w:rsidRPr="00423C64">
          <w:rPr>
            <w:rStyle w:val="Hyperlink"/>
            <w:rFonts w:eastAsia="Times New Roman" w:cstheme="minorHAnsi"/>
          </w:rPr>
          <w:t>.be/jCVNIxheGNM</w:t>
        </w:r>
      </w:hyperlink>
    </w:p>
    <w:p w14:paraId="16874ECA" w14:textId="442E7ABE" w:rsidR="000660BF" w:rsidRPr="00BE2341" w:rsidRDefault="00A9030D" w:rsidP="004E23FD">
      <w:pPr>
        <w:spacing w:before="240" w:after="0" w:line="252" w:lineRule="auto"/>
        <w:jc w:val="both"/>
        <w:rPr>
          <w:rFonts w:eastAsia="Times New Roman" w:cstheme="minorHAnsi"/>
          <w:b/>
          <w:bCs/>
        </w:rPr>
      </w:pPr>
      <w:r w:rsidRPr="00BE2341">
        <w:rPr>
          <w:rFonts w:eastAsia="Times New Roman" w:cstheme="minorHAnsi"/>
          <w:b/>
          <w:bCs/>
        </w:rPr>
        <w:t>Drill Hole FCG21-1</w:t>
      </w:r>
      <w:r w:rsidR="00C01FAE">
        <w:rPr>
          <w:rFonts w:eastAsia="Times New Roman" w:cstheme="minorHAnsi"/>
          <w:b/>
          <w:bCs/>
        </w:rPr>
        <w:t>9</w:t>
      </w:r>
    </w:p>
    <w:p w14:paraId="3A986B4F" w14:textId="5B7A025C" w:rsidR="006A405D" w:rsidRDefault="00093B4B" w:rsidP="00455096">
      <w:pPr>
        <w:spacing w:before="240" w:after="0" w:line="252" w:lineRule="auto"/>
        <w:jc w:val="both"/>
        <w:rPr>
          <w:rFonts w:eastAsia="Times New Roman" w:cstheme="minorHAnsi"/>
        </w:rPr>
      </w:pPr>
      <w:r w:rsidRPr="00BE2341">
        <w:rPr>
          <w:rFonts w:eastAsia="Times New Roman" w:cstheme="minorHAnsi"/>
        </w:rPr>
        <w:t>Drill hole FCG22-1</w:t>
      </w:r>
      <w:r w:rsidR="00C01FAE">
        <w:rPr>
          <w:rFonts w:eastAsia="Times New Roman" w:cstheme="minorHAnsi"/>
        </w:rPr>
        <w:t>9</w:t>
      </w:r>
      <w:r w:rsidRPr="00BE2341">
        <w:rPr>
          <w:rFonts w:eastAsia="Times New Roman" w:cstheme="minorHAnsi"/>
        </w:rPr>
        <w:t xml:space="preserve">, the </w:t>
      </w:r>
      <w:r w:rsidR="00C01FAE">
        <w:rPr>
          <w:rFonts w:eastAsia="Times New Roman" w:cstheme="minorHAnsi"/>
        </w:rPr>
        <w:t>third</w:t>
      </w:r>
      <w:r w:rsidRPr="00BE2341">
        <w:rPr>
          <w:rFonts w:eastAsia="Times New Roman" w:cstheme="minorHAnsi"/>
        </w:rPr>
        <w:t xml:space="preserve"> drill hole of the 2022 drill program</w:t>
      </w:r>
      <w:r w:rsidR="008E73A7" w:rsidRPr="00BE2341">
        <w:rPr>
          <w:rFonts w:eastAsia="Times New Roman" w:cstheme="minorHAnsi"/>
        </w:rPr>
        <w:t xml:space="preserve"> at Fondaway Canyon (the “Project”)</w:t>
      </w:r>
      <w:r w:rsidRPr="00BE2341">
        <w:rPr>
          <w:rFonts w:eastAsia="Times New Roman" w:cstheme="minorHAnsi"/>
        </w:rPr>
        <w:t xml:space="preserve">, </w:t>
      </w:r>
      <w:r w:rsidR="00B5484E">
        <w:rPr>
          <w:rFonts w:eastAsia="Times New Roman" w:cstheme="minorHAnsi"/>
        </w:rPr>
        <w:t>was designed</w:t>
      </w:r>
      <w:r w:rsidR="00455096" w:rsidRPr="00BE2341">
        <w:rPr>
          <w:rFonts w:eastAsia="Times New Roman" w:cstheme="minorHAnsi"/>
        </w:rPr>
        <w:t xml:space="preserve"> </w:t>
      </w:r>
      <w:r w:rsidR="00B5484E">
        <w:rPr>
          <w:rFonts w:eastAsia="Times New Roman" w:cstheme="minorHAnsi"/>
        </w:rPr>
        <w:t>to follow up on</w:t>
      </w:r>
      <w:r w:rsidR="00455096" w:rsidRPr="00BE2341">
        <w:rPr>
          <w:rFonts w:eastAsia="Times New Roman" w:cstheme="minorHAnsi"/>
        </w:rPr>
        <w:t xml:space="preserve"> the high-grade gold discovered by FCG21-16</w:t>
      </w:r>
      <w:r w:rsidR="0016450B">
        <w:rPr>
          <w:rFonts w:eastAsia="Times New Roman" w:cstheme="minorHAnsi"/>
        </w:rPr>
        <w:t xml:space="preserve"> that returned</w:t>
      </w:r>
      <w:r w:rsidR="006A405D">
        <w:rPr>
          <w:rFonts w:eastAsia="Times New Roman" w:cstheme="minorHAnsi"/>
        </w:rPr>
        <w:t xml:space="preserve"> </w:t>
      </w:r>
      <w:r w:rsidR="006A405D" w:rsidRPr="00BE2341">
        <w:rPr>
          <w:rFonts w:eastAsia="Times New Roman" w:cstheme="minorHAnsi"/>
          <w:b/>
          <w:bCs/>
        </w:rPr>
        <w:t>10.4 g/t Au over 25.0 m</w:t>
      </w:r>
      <w:r w:rsidR="006A405D">
        <w:rPr>
          <w:rFonts w:eastAsia="Times New Roman" w:cstheme="minorHAnsi"/>
          <w:b/>
          <w:bCs/>
        </w:rPr>
        <w:t xml:space="preserve"> </w:t>
      </w:r>
      <w:r w:rsidR="006A405D" w:rsidRPr="006A405D">
        <w:rPr>
          <w:rFonts w:eastAsia="Times New Roman" w:cstheme="minorHAnsi"/>
        </w:rPr>
        <w:t>within a broader interval grading</w:t>
      </w:r>
      <w:r w:rsidR="0016450B">
        <w:rPr>
          <w:rFonts w:eastAsia="Times New Roman" w:cstheme="minorHAnsi"/>
        </w:rPr>
        <w:t xml:space="preserve"> </w:t>
      </w:r>
      <w:r w:rsidR="0016450B" w:rsidRPr="00BE2341">
        <w:rPr>
          <w:rFonts w:eastAsia="Times New Roman" w:cstheme="minorHAnsi"/>
          <w:b/>
          <w:bCs/>
        </w:rPr>
        <w:t>6.3 g/t Au over 50.7 m</w:t>
      </w:r>
      <w:r w:rsidR="00864F78">
        <w:rPr>
          <w:rFonts w:eastAsia="Times New Roman" w:cstheme="minorHAnsi"/>
        </w:rPr>
        <w:t xml:space="preserve"> </w:t>
      </w:r>
      <w:r w:rsidR="006A1158" w:rsidRPr="00BE2341">
        <w:rPr>
          <w:rFonts w:eastAsia="Times New Roman" w:cstheme="minorHAnsi"/>
        </w:rPr>
        <w:t>(</w:t>
      </w:r>
      <w:hyperlink r:id="rId9" w:history="1">
        <w:r w:rsidR="006A1158" w:rsidRPr="00423C64">
          <w:rPr>
            <w:rStyle w:val="Hyperlink"/>
            <w:rFonts w:eastAsia="Times New Roman" w:cstheme="minorHAnsi"/>
          </w:rPr>
          <w:t>Company news release dated February 15, 2022</w:t>
        </w:r>
      </w:hyperlink>
      <w:r w:rsidR="006A1158" w:rsidRPr="00BE2341">
        <w:rPr>
          <w:rFonts w:eastAsia="Times New Roman" w:cstheme="minorHAnsi"/>
        </w:rPr>
        <w:t>)</w:t>
      </w:r>
      <w:r w:rsidR="00455096" w:rsidRPr="00BE2341">
        <w:rPr>
          <w:rFonts w:eastAsia="Times New Roman" w:cstheme="minorHAnsi"/>
        </w:rPr>
        <w:t>.</w:t>
      </w:r>
    </w:p>
    <w:p w14:paraId="50EF5F3F" w14:textId="6D431127" w:rsidR="00455096" w:rsidRPr="00BE2341" w:rsidRDefault="00455096" w:rsidP="00455096">
      <w:pPr>
        <w:spacing w:before="240" w:after="0" w:line="252" w:lineRule="auto"/>
        <w:jc w:val="both"/>
        <w:rPr>
          <w:rFonts w:eastAsia="Times New Roman" w:cstheme="minorHAnsi"/>
        </w:rPr>
      </w:pPr>
      <w:r w:rsidRPr="00BE2341">
        <w:rPr>
          <w:rFonts w:eastAsia="Times New Roman" w:cstheme="minorHAnsi"/>
        </w:rPr>
        <w:t>FCG22-1</w:t>
      </w:r>
      <w:r w:rsidR="00954515">
        <w:rPr>
          <w:rFonts w:eastAsia="Times New Roman" w:cstheme="minorHAnsi"/>
        </w:rPr>
        <w:t>9</w:t>
      </w:r>
      <w:r w:rsidR="006A405D">
        <w:rPr>
          <w:rFonts w:eastAsia="Times New Roman" w:cstheme="minorHAnsi"/>
        </w:rPr>
        <w:t>,</w:t>
      </w:r>
      <w:r w:rsidR="00864F78">
        <w:rPr>
          <w:rFonts w:eastAsia="Times New Roman" w:cstheme="minorHAnsi"/>
        </w:rPr>
        <w:t xml:space="preserve"> drilled vertically from the</w:t>
      </w:r>
      <w:r w:rsidRPr="00BE2341">
        <w:rPr>
          <w:rFonts w:eastAsia="Times New Roman" w:cstheme="minorHAnsi"/>
        </w:rPr>
        <w:t xml:space="preserve"> same drill pad as hole FCG21-16</w:t>
      </w:r>
      <w:r w:rsidR="00393130" w:rsidRPr="00BE2341">
        <w:rPr>
          <w:rFonts w:eastAsia="Times New Roman" w:cstheme="minorHAnsi"/>
        </w:rPr>
        <w:t xml:space="preserve"> (Figure 1)</w:t>
      </w:r>
      <w:r w:rsidR="006A405D">
        <w:rPr>
          <w:rFonts w:eastAsia="Times New Roman" w:cstheme="minorHAnsi"/>
        </w:rPr>
        <w:t>,</w:t>
      </w:r>
      <w:r w:rsidR="00864F78">
        <w:rPr>
          <w:rFonts w:eastAsia="Times New Roman" w:cstheme="minorHAnsi"/>
        </w:rPr>
        <w:t xml:space="preserve"> </w:t>
      </w:r>
      <w:r w:rsidRPr="00BE2341">
        <w:rPr>
          <w:rFonts w:eastAsia="Times New Roman" w:cstheme="minorHAnsi"/>
        </w:rPr>
        <w:t>target</w:t>
      </w:r>
      <w:r w:rsidR="00B5484E">
        <w:rPr>
          <w:rFonts w:eastAsia="Times New Roman" w:cstheme="minorHAnsi"/>
        </w:rPr>
        <w:t xml:space="preserve">ed </w:t>
      </w:r>
      <w:r w:rsidRPr="00BE2341">
        <w:rPr>
          <w:rFonts w:eastAsia="Times New Roman" w:cstheme="minorHAnsi"/>
        </w:rPr>
        <w:t xml:space="preserve">the North Fork mineralized zone as a </w:t>
      </w:r>
      <w:r w:rsidR="00C01E1C">
        <w:rPr>
          <w:rFonts w:eastAsia="Times New Roman" w:cstheme="minorHAnsi"/>
        </w:rPr>
        <w:t>3</w:t>
      </w:r>
      <w:r w:rsidR="00D43213">
        <w:rPr>
          <w:rFonts w:eastAsia="Times New Roman" w:cstheme="minorHAnsi"/>
        </w:rPr>
        <w:t>0</w:t>
      </w:r>
      <w:r w:rsidRPr="00BE2341">
        <w:rPr>
          <w:rFonts w:eastAsia="Times New Roman" w:cstheme="minorHAnsi"/>
        </w:rPr>
        <w:t>m step out to the</w:t>
      </w:r>
      <w:r w:rsidR="00267BB3" w:rsidRPr="00BE2341">
        <w:rPr>
          <w:rFonts w:eastAsia="Times New Roman" w:cstheme="minorHAnsi"/>
        </w:rPr>
        <w:t xml:space="preserve"> </w:t>
      </w:r>
      <w:r w:rsidR="00954515">
        <w:rPr>
          <w:rFonts w:eastAsia="Times New Roman" w:cstheme="minorHAnsi"/>
        </w:rPr>
        <w:t>south</w:t>
      </w:r>
      <w:r w:rsidR="00E67990">
        <w:rPr>
          <w:rFonts w:eastAsia="Times New Roman" w:cstheme="minorHAnsi"/>
        </w:rPr>
        <w:t>west</w:t>
      </w:r>
      <w:r w:rsidRPr="00BE2341">
        <w:rPr>
          <w:rFonts w:eastAsia="Times New Roman" w:cstheme="minorHAnsi"/>
        </w:rPr>
        <w:t>.</w:t>
      </w:r>
    </w:p>
    <w:p w14:paraId="148E1FC6" w14:textId="31A31CBE" w:rsidR="003E6CAA" w:rsidRDefault="003E25C0" w:rsidP="00E009D8">
      <w:pPr>
        <w:spacing w:before="240" w:after="60"/>
        <w:jc w:val="both"/>
        <w:rPr>
          <w:color w:val="000000"/>
        </w:rPr>
      </w:pPr>
      <w:r w:rsidRPr="00BE2341">
        <w:rPr>
          <w:color w:val="000000"/>
        </w:rPr>
        <w:t>FCG2</w:t>
      </w:r>
      <w:r w:rsidR="005F4046" w:rsidRPr="00BE2341">
        <w:rPr>
          <w:color w:val="000000"/>
        </w:rPr>
        <w:t>2</w:t>
      </w:r>
      <w:r w:rsidRPr="00BE2341">
        <w:rPr>
          <w:color w:val="000000"/>
        </w:rPr>
        <w:t>-1</w:t>
      </w:r>
      <w:r w:rsidR="00954515">
        <w:rPr>
          <w:color w:val="000000"/>
        </w:rPr>
        <w:t>9</w:t>
      </w:r>
      <w:r w:rsidRPr="00BE2341">
        <w:rPr>
          <w:color w:val="000000"/>
        </w:rPr>
        <w:t xml:space="preserve"> intersected</w:t>
      </w:r>
      <w:r w:rsidR="00EB7DCA" w:rsidRPr="00BE2341">
        <w:rPr>
          <w:color w:val="000000"/>
        </w:rPr>
        <w:t xml:space="preserve"> </w:t>
      </w:r>
      <w:r w:rsidR="00D43213">
        <w:rPr>
          <w:color w:val="000000"/>
        </w:rPr>
        <w:t xml:space="preserve">multiple </w:t>
      </w:r>
      <w:r w:rsidR="00EB7DCA" w:rsidRPr="00BE2341">
        <w:rPr>
          <w:color w:val="000000"/>
        </w:rPr>
        <w:t>significant</w:t>
      </w:r>
      <w:r w:rsidR="00D43213">
        <w:rPr>
          <w:color w:val="000000"/>
        </w:rPr>
        <w:t xml:space="preserve"> intervals of</w:t>
      </w:r>
      <w:r w:rsidRPr="00BE2341">
        <w:rPr>
          <w:color w:val="000000"/>
        </w:rPr>
        <w:t xml:space="preserve"> gold mineralization</w:t>
      </w:r>
      <w:r w:rsidR="00954515">
        <w:rPr>
          <w:color w:val="000000"/>
        </w:rPr>
        <w:t xml:space="preserve"> along a 145.1 m drill length</w:t>
      </w:r>
      <w:r w:rsidR="00D43213">
        <w:rPr>
          <w:color w:val="000000"/>
        </w:rPr>
        <w:t xml:space="preserve">, </w:t>
      </w:r>
      <w:r w:rsidR="00954515">
        <w:rPr>
          <w:color w:val="000000"/>
        </w:rPr>
        <w:t>f</w:t>
      </w:r>
      <w:r w:rsidR="00D43213">
        <w:rPr>
          <w:color w:val="000000"/>
        </w:rPr>
        <w:t>rom 1</w:t>
      </w:r>
      <w:r w:rsidR="00954515">
        <w:rPr>
          <w:color w:val="000000"/>
        </w:rPr>
        <w:t>05</w:t>
      </w:r>
      <w:r w:rsidR="00D43213">
        <w:rPr>
          <w:color w:val="000000"/>
        </w:rPr>
        <w:t>.</w:t>
      </w:r>
      <w:r w:rsidR="00954515">
        <w:rPr>
          <w:color w:val="000000"/>
        </w:rPr>
        <w:t>8</w:t>
      </w:r>
      <w:r w:rsidR="00D43213">
        <w:rPr>
          <w:color w:val="000000"/>
        </w:rPr>
        <w:t xml:space="preserve"> to </w:t>
      </w:r>
      <w:r w:rsidR="00954515">
        <w:rPr>
          <w:color w:val="000000"/>
        </w:rPr>
        <w:t xml:space="preserve">250.9 </w:t>
      </w:r>
      <w:r w:rsidR="00D43213">
        <w:rPr>
          <w:color w:val="000000"/>
        </w:rPr>
        <w:t xml:space="preserve">metres down hole </w:t>
      </w:r>
      <w:r w:rsidR="00C01E1C">
        <w:rPr>
          <w:color w:val="000000"/>
        </w:rPr>
        <w:t xml:space="preserve">with a core mineralized zone grading </w:t>
      </w:r>
      <w:r w:rsidR="00C01E1C" w:rsidRPr="00D31980">
        <w:rPr>
          <w:b/>
          <w:bCs/>
          <w:color w:val="000000"/>
        </w:rPr>
        <w:t>1.8 g/t Au</w:t>
      </w:r>
      <w:r w:rsidR="00C01E1C">
        <w:rPr>
          <w:color w:val="000000"/>
        </w:rPr>
        <w:t xml:space="preserve"> </w:t>
      </w:r>
      <w:r w:rsidR="00C01E1C" w:rsidRPr="00D31980">
        <w:rPr>
          <w:b/>
          <w:bCs/>
          <w:color w:val="000000"/>
        </w:rPr>
        <w:t>over</w:t>
      </w:r>
      <w:r w:rsidR="00D31980" w:rsidRPr="00D31980">
        <w:rPr>
          <w:b/>
          <w:bCs/>
          <w:color w:val="000000"/>
        </w:rPr>
        <w:t xml:space="preserve"> 107.5 m</w:t>
      </w:r>
      <w:r w:rsidR="00D31980">
        <w:rPr>
          <w:color w:val="000000"/>
        </w:rPr>
        <w:t xml:space="preserve"> from 120.0 to 227.5 m down hole</w:t>
      </w:r>
      <w:r w:rsidR="00C01E1C">
        <w:rPr>
          <w:color w:val="000000"/>
        </w:rPr>
        <w:t xml:space="preserve"> </w:t>
      </w:r>
      <w:r w:rsidR="00E009D8">
        <w:rPr>
          <w:rFonts w:ascii="Calibri" w:hAnsi="Calibri"/>
          <w:color w:val="auto"/>
          <w:lang w:val="en-CA"/>
        </w:rPr>
        <w:t>(detailed in</w:t>
      </w:r>
      <w:r w:rsidR="00D31980">
        <w:rPr>
          <w:rFonts w:ascii="Calibri" w:hAnsi="Calibri"/>
          <w:color w:val="auto"/>
          <w:lang w:val="en-CA"/>
        </w:rPr>
        <w:t xml:space="preserve"> </w:t>
      </w:r>
      <w:r w:rsidR="00D31980">
        <w:rPr>
          <w:color w:val="000000"/>
        </w:rPr>
        <w:t xml:space="preserve">Figure </w:t>
      </w:r>
      <w:r w:rsidR="00BD09BD">
        <w:rPr>
          <w:color w:val="000000"/>
        </w:rPr>
        <w:t>2</w:t>
      </w:r>
      <w:r w:rsidR="00D31980">
        <w:rPr>
          <w:color w:val="000000"/>
        </w:rPr>
        <w:t xml:space="preserve"> and</w:t>
      </w:r>
      <w:r w:rsidR="00E009D8">
        <w:rPr>
          <w:rFonts w:ascii="Calibri" w:hAnsi="Calibri"/>
          <w:color w:val="auto"/>
          <w:lang w:val="en-CA"/>
        </w:rPr>
        <w:t xml:space="preserve"> Table 1)</w:t>
      </w:r>
      <w:r w:rsidR="001C72F1" w:rsidRPr="00BE2341">
        <w:rPr>
          <w:color w:val="000000"/>
        </w:rPr>
        <w:t>.</w:t>
      </w:r>
    </w:p>
    <w:p w14:paraId="547DEFB2" w14:textId="2967629A" w:rsidR="001E78E0" w:rsidRPr="001E78E0" w:rsidRDefault="001E78E0" w:rsidP="001E78E0">
      <w:pPr>
        <w:spacing w:before="240" w:after="0" w:line="252" w:lineRule="auto"/>
        <w:jc w:val="both"/>
        <w:rPr>
          <w:rFonts w:eastAsia="Times New Roman" w:cstheme="minorHAnsi"/>
          <w:b/>
          <w:bCs/>
        </w:rPr>
      </w:pPr>
      <w:r w:rsidRPr="001E78E0">
        <w:rPr>
          <w:rFonts w:eastAsia="Times New Roman" w:cstheme="minorHAnsi"/>
          <w:b/>
          <w:bCs/>
        </w:rPr>
        <w:t>North Fork Delineation</w:t>
      </w:r>
    </w:p>
    <w:p w14:paraId="7E3E64A4" w14:textId="79A6F567" w:rsidR="001E78E0" w:rsidRDefault="00315FC4" w:rsidP="00E009D8">
      <w:pPr>
        <w:spacing w:before="240" w:after="60"/>
        <w:jc w:val="both"/>
        <w:rPr>
          <w:color w:val="000000"/>
        </w:rPr>
      </w:pPr>
      <w:r>
        <w:rPr>
          <w:color w:val="000000"/>
        </w:rPr>
        <w:t xml:space="preserve">Combined with FCG22-17 that intersected </w:t>
      </w:r>
      <w:r w:rsidRPr="00315FC4">
        <w:rPr>
          <w:b/>
          <w:bCs/>
          <w:color w:val="000000"/>
        </w:rPr>
        <w:t>3.8 g/t Au over 85.9 m</w:t>
      </w:r>
      <w:r w:rsidR="00E67990">
        <w:rPr>
          <w:b/>
          <w:bCs/>
          <w:color w:val="000000"/>
        </w:rPr>
        <w:t xml:space="preserve"> </w:t>
      </w:r>
      <w:r w:rsidR="00E67990" w:rsidRPr="00E67990">
        <w:rPr>
          <w:color w:val="000000"/>
        </w:rPr>
        <w:t xml:space="preserve">(Figure </w:t>
      </w:r>
      <w:r w:rsidR="00BD09BD">
        <w:rPr>
          <w:color w:val="000000"/>
        </w:rPr>
        <w:t>2</w:t>
      </w:r>
      <w:r w:rsidR="00E67990" w:rsidRPr="00E67990">
        <w:rPr>
          <w:color w:val="000000"/>
        </w:rPr>
        <w:t>)</w:t>
      </w:r>
      <w:r>
        <w:rPr>
          <w:color w:val="000000"/>
        </w:rPr>
        <w:t xml:space="preserve"> and FCG22-18 that intersected </w:t>
      </w:r>
      <w:r w:rsidR="00E67990">
        <w:rPr>
          <w:b/>
          <w:bCs/>
          <w:color w:val="000000"/>
        </w:rPr>
        <w:t>2.5</w:t>
      </w:r>
      <w:r w:rsidRPr="00315FC4">
        <w:rPr>
          <w:b/>
          <w:bCs/>
          <w:color w:val="000000"/>
        </w:rPr>
        <w:t xml:space="preserve"> g/t Au over </w:t>
      </w:r>
      <w:r w:rsidR="00E67990">
        <w:rPr>
          <w:b/>
          <w:bCs/>
          <w:color w:val="000000"/>
        </w:rPr>
        <w:t>43.4</w:t>
      </w:r>
      <w:r w:rsidRPr="00315FC4">
        <w:rPr>
          <w:b/>
          <w:bCs/>
          <w:color w:val="000000"/>
        </w:rPr>
        <w:t xml:space="preserve"> m</w:t>
      </w:r>
      <w:r w:rsidR="00E67990">
        <w:rPr>
          <w:color w:val="000000"/>
        </w:rPr>
        <w:t xml:space="preserve"> and </w:t>
      </w:r>
      <w:r w:rsidR="00E67990">
        <w:rPr>
          <w:b/>
          <w:bCs/>
          <w:color w:val="000000"/>
        </w:rPr>
        <w:t>2.1</w:t>
      </w:r>
      <w:r w:rsidR="00E67990" w:rsidRPr="00315FC4">
        <w:rPr>
          <w:b/>
          <w:bCs/>
          <w:color w:val="000000"/>
        </w:rPr>
        <w:t xml:space="preserve"> g/t Au over </w:t>
      </w:r>
      <w:r w:rsidR="00E67990">
        <w:rPr>
          <w:b/>
          <w:bCs/>
          <w:color w:val="000000"/>
        </w:rPr>
        <w:t>46.5</w:t>
      </w:r>
      <w:r w:rsidR="00E67990" w:rsidRPr="00315FC4">
        <w:rPr>
          <w:b/>
          <w:bCs/>
          <w:color w:val="000000"/>
        </w:rPr>
        <w:t xml:space="preserve"> m</w:t>
      </w:r>
      <w:r w:rsidR="00E67990">
        <w:rPr>
          <w:b/>
          <w:bCs/>
          <w:color w:val="000000"/>
        </w:rPr>
        <w:t xml:space="preserve"> </w:t>
      </w:r>
      <w:r w:rsidR="00AC607D" w:rsidRPr="00BE2341">
        <w:rPr>
          <w:rFonts w:eastAsia="Times New Roman" w:cstheme="minorHAnsi"/>
        </w:rPr>
        <w:t>(</w:t>
      </w:r>
      <w:hyperlink r:id="rId10" w:history="1">
        <w:r w:rsidR="00AC607D" w:rsidRPr="00004AB4">
          <w:rPr>
            <w:rStyle w:val="Hyperlink"/>
            <w:rFonts w:eastAsia="Times New Roman" w:cstheme="minorHAnsi"/>
          </w:rPr>
          <w:t>Company news release dated Aug. 17, 2022</w:t>
        </w:r>
      </w:hyperlink>
      <w:r w:rsidR="00AC607D" w:rsidRPr="00BE2341">
        <w:rPr>
          <w:rFonts w:eastAsia="Times New Roman" w:cstheme="minorHAnsi"/>
        </w:rPr>
        <w:t>)</w:t>
      </w:r>
      <w:r w:rsidR="00025B0E" w:rsidRPr="00025B0E">
        <w:rPr>
          <w:color w:val="000000"/>
        </w:rPr>
        <w:t>,</w:t>
      </w:r>
      <w:r w:rsidR="00E67990">
        <w:rPr>
          <w:color w:val="000000"/>
        </w:rPr>
        <w:t xml:space="preserve"> with respective step-outs of 15</w:t>
      </w:r>
      <w:r w:rsidR="00AC607D">
        <w:rPr>
          <w:color w:val="000000"/>
        </w:rPr>
        <w:t xml:space="preserve"> </w:t>
      </w:r>
      <w:r w:rsidR="00E67990">
        <w:rPr>
          <w:color w:val="000000"/>
        </w:rPr>
        <w:t>m</w:t>
      </w:r>
      <w:r w:rsidR="00AC607D">
        <w:rPr>
          <w:color w:val="000000"/>
        </w:rPr>
        <w:t>etres</w:t>
      </w:r>
      <w:r w:rsidR="00E67990">
        <w:rPr>
          <w:color w:val="000000"/>
        </w:rPr>
        <w:t xml:space="preserve"> to the northwest and 50 m</w:t>
      </w:r>
      <w:r w:rsidR="00AC607D">
        <w:rPr>
          <w:color w:val="000000"/>
        </w:rPr>
        <w:t>etres</w:t>
      </w:r>
      <w:r w:rsidR="00E67990">
        <w:rPr>
          <w:color w:val="000000"/>
        </w:rPr>
        <w:t xml:space="preserve"> to the east,</w:t>
      </w:r>
      <w:r>
        <w:rPr>
          <w:color w:val="000000"/>
        </w:rPr>
        <w:t xml:space="preserve"> </w:t>
      </w:r>
      <w:r w:rsidR="001E78E0">
        <w:rPr>
          <w:color w:val="000000"/>
        </w:rPr>
        <w:t xml:space="preserve">FCG22-19 represents the third </w:t>
      </w:r>
      <w:r w:rsidR="0080655D">
        <w:rPr>
          <w:color w:val="000000"/>
        </w:rPr>
        <w:t xml:space="preserve">successful </w:t>
      </w:r>
      <w:r w:rsidR="001E78E0">
        <w:rPr>
          <w:color w:val="000000"/>
        </w:rPr>
        <w:t>step</w:t>
      </w:r>
      <w:r w:rsidR="0080655D">
        <w:rPr>
          <w:color w:val="000000"/>
        </w:rPr>
        <w:t>-</w:t>
      </w:r>
      <w:r w:rsidR="001E78E0">
        <w:rPr>
          <w:color w:val="000000"/>
        </w:rPr>
        <w:t>out hole</w:t>
      </w:r>
      <w:r w:rsidR="0080655D">
        <w:rPr>
          <w:color w:val="000000"/>
        </w:rPr>
        <w:t xml:space="preserve"> from the 2021 North </w:t>
      </w:r>
      <w:r w:rsidR="005E2D2E">
        <w:rPr>
          <w:color w:val="000000"/>
        </w:rPr>
        <w:t>F</w:t>
      </w:r>
      <w:r w:rsidR="0080655D">
        <w:rPr>
          <w:color w:val="000000"/>
        </w:rPr>
        <w:t>ork high-grade discovery.</w:t>
      </w:r>
    </w:p>
    <w:p w14:paraId="2E8EFA32" w14:textId="77777777" w:rsidR="00836CDF" w:rsidRDefault="00836CDF" w:rsidP="00836CDF">
      <w:pPr>
        <w:spacing w:before="240" w:after="60"/>
        <w:jc w:val="both"/>
        <w:rPr>
          <w:rFonts w:ascii="Calibri" w:hAnsi="Calibri" w:cs="Calibri"/>
          <w:color w:val="auto"/>
          <w:lang w:val="en-CA"/>
        </w:rPr>
      </w:pPr>
      <w:r>
        <w:rPr>
          <w:rFonts w:ascii="Calibri" w:hAnsi="Calibri" w:cs="Calibri"/>
          <w:color w:val="auto"/>
          <w:lang w:val="en-CA"/>
        </w:rPr>
        <w:t>The gold mineralized intervals encountered in hole FCG22-19 will be incorporated and will be the cut off point for data inclusion into the forthcoming Mineral Resources estimate scheduled for completion this Fall.</w:t>
      </w:r>
    </w:p>
    <w:p w14:paraId="4D56A845" w14:textId="58E0B4D2" w:rsidR="00836CDF" w:rsidRDefault="00836CDF" w:rsidP="00E009D8">
      <w:pPr>
        <w:spacing w:before="240" w:after="60"/>
        <w:jc w:val="both"/>
        <w:rPr>
          <w:color w:val="000000"/>
        </w:rPr>
      </w:pPr>
      <w:r>
        <w:rPr>
          <w:color w:val="000000"/>
        </w:rPr>
        <w:t xml:space="preserve">The </w:t>
      </w:r>
      <w:r w:rsidRPr="00E009D8">
        <w:rPr>
          <w:color w:val="000000"/>
        </w:rPr>
        <w:t>North Fork gold zone remains open in most directions and</w:t>
      </w:r>
      <w:r>
        <w:rPr>
          <w:color w:val="000000"/>
        </w:rPr>
        <w:t xml:space="preserve"> f</w:t>
      </w:r>
      <w:r w:rsidRPr="00E009D8">
        <w:rPr>
          <w:color w:val="000000"/>
        </w:rPr>
        <w:t xml:space="preserve">ollow up drilling </w:t>
      </w:r>
      <w:r w:rsidR="00E33D83">
        <w:rPr>
          <w:color w:val="000000"/>
        </w:rPr>
        <w:t>is</w:t>
      </w:r>
      <w:r w:rsidRPr="00E009D8">
        <w:rPr>
          <w:color w:val="000000"/>
        </w:rPr>
        <w:t xml:space="preserve"> underway to</w:t>
      </w:r>
      <w:r>
        <w:rPr>
          <w:color w:val="000000"/>
        </w:rPr>
        <w:t xml:space="preserve"> continue to</w:t>
      </w:r>
      <w:r w:rsidRPr="00E009D8">
        <w:rPr>
          <w:color w:val="000000"/>
        </w:rPr>
        <w:t xml:space="preserve"> step out</w:t>
      </w:r>
      <w:r>
        <w:rPr>
          <w:color w:val="000000"/>
        </w:rPr>
        <w:t>, further</w:t>
      </w:r>
      <w:r w:rsidRPr="00E009D8">
        <w:rPr>
          <w:color w:val="000000"/>
        </w:rPr>
        <w:t xml:space="preserve"> delineate</w:t>
      </w:r>
      <w:r>
        <w:rPr>
          <w:color w:val="000000"/>
        </w:rPr>
        <w:t>, and model</w:t>
      </w:r>
      <w:r w:rsidRPr="00E009D8">
        <w:rPr>
          <w:color w:val="000000"/>
        </w:rPr>
        <w:t xml:space="preserve"> the rapidly expanding North Fork zone</w:t>
      </w:r>
      <w:r w:rsidRPr="00BE2341">
        <w:rPr>
          <w:color w:val="000000"/>
        </w:rPr>
        <w:t>.</w:t>
      </w:r>
    </w:p>
    <w:p w14:paraId="45D0E6DA" w14:textId="77777777" w:rsidR="002B0ACD" w:rsidRPr="00BE2341" w:rsidRDefault="002B0ACD" w:rsidP="00F240EB">
      <w:pPr>
        <w:spacing w:before="120" w:after="0"/>
        <w:ind w:left="-851"/>
        <w:jc w:val="both"/>
        <w:rPr>
          <w:color w:val="000000"/>
        </w:rPr>
      </w:pPr>
      <w:r w:rsidRPr="00BE2341">
        <w:rPr>
          <w:noProof/>
          <w:color w:val="000000"/>
        </w:rPr>
        <w:drawing>
          <wp:inline distT="0" distB="0" distL="0" distR="0" wp14:anchorId="602DFD31" wp14:editId="2245157D">
            <wp:extent cx="6938772" cy="3906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8772" cy="3906529"/>
                    </a:xfrm>
                    <a:prstGeom prst="rect">
                      <a:avLst/>
                    </a:prstGeom>
                  </pic:spPr>
                </pic:pic>
              </a:graphicData>
            </a:graphic>
          </wp:inline>
        </w:drawing>
      </w:r>
    </w:p>
    <w:p w14:paraId="7A350C83" w14:textId="0BB7C3D1" w:rsidR="002B0ACD" w:rsidRDefault="002B0ACD" w:rsidP="00F240EB">
      <w:pPr>
        <w:pStyle w:val="Caption"/>
        <w:spacing w:after="120"/>
        <w:jc w:val="both"/>
        <w:rPr>
          <w:color w:val="7F7F7F" w:themeColor="text1" w:themeTint="80"/>
        </w:rPr>
      </w:pPr>
      <w:r w:rsidRPr="00BE2341">
        <w:rPr>
          <w:color w:val="7F7F7F" w:themeColor="text1" w:themeTint="80"/>
        </w:rPr>
        <w:t xml:space="preserve">Figure </w:t>
      </w:r>
      <w:r w:rsidR="00BD09BD">
        <w:rPr>
          <w:color w:val="7F7F7F" w:themeColor="text1" w:themeTint="80"/>
        </w:rPr>
        <w:t>1</w:t>
      </w:r>
      <w:r w:rsidRPr="00BE2341">
        <w:rPr>
          <w:color w:val="7F7F7F" w:themeColor="text1" w:themeTint="80"/>
        </w:rPr>
        <w:t xml:space="preserve">:  Fondaway Canyon </w:t>
      </w:r>
      <w:r w:rsidR="00213B10">
        <w:rPr>
          <w:color w:val="7F7F7F" w:themeColor="text1" w:themeTint="80"/>
        </w:rPr>
        <w:t>p</w:t>
      </w:r>
      <w:r w:rsidRPr="00BE2341">
        <w:rPr>
          <w:color w:val="7F7F7F" w:themeColor="text1" w:themeTint="80"/>
        </w:rPr>
        <w:t xml:space="preserve">lan </w:t>
      </w:r>
      <w:r w:rsidR="00213B10">
        <w:rPr>
          <w:color w:val="7F7F7F" w:themeColor="text1" w:themeTint="80"/>
        </w:rPr>
        <w:t>m</w:t>
      </w:r>
      <w:r w:rsidRPr="00BE2341">
        <w:rPr>
          <w:color w:val="7F7F7F" w:themeColor="text1" w:themeTint="80"/>
        </w:rPr>
        <w:t xml:space="preserve">ap </w:t>
      </w:r>
      <w:r w:rsidR="00AF1D76" w:rsidRPr="00BE2341">
        <w:rPr>
          <w:color w:val="7F7F7F" w:themeColor="text1" w:themeTint="80"/>
        </w:rPr>
        <w:t>highlighting Getchell’s 2020, 2021, and 2022 drilling.</w:t>
      </w:r>
    </w:p>
    <w:p w14:paraId="02547083" w14:textId="25EA91D7" w:rsidR="007028D6" w:rsidRPr="00BE2341" w:rsidRDefault="007028D6" w:rsidP="007028D6">
      <w:pPr>
        <w:spacing w:before="240" w:after="20"/>
        <w:jc w:val="both"/>
        <w:rPr>
          <w:iCs/>
          <w:color w:val="595959" w:themeColor="text1" w:themeTint="A6"/>
          <w:szCs w:val="18"/>
        </w:rPr>
      </w:pPr>
      <w:r w:rsidRPr="00BE2341">
        <w:rPr>
          <w:iCs/>
          <w:color w:val="595959" w:themeColor="text1" w:themeTint="A6"/>
          <w:szCs w:val="18"/>
        </w:rPr>
        <w:t>Table 1: Drill Hole FCG22-1</w:t>
      </w:r>
      <w:r>
        <w:rPr>
          <w:iCs/>
          <w:color w:val="595959" w:themeColor="text1" w:themeTint="A6"/>
          <w:szCs w:val="18"/>
        </w:rPr>
        <w:t>9</w:t>
      </w:r>
      <w:r w:rsidRPr="00BE2341">
        <w:rPr>
          <w:iCs/>
          <w:color w:val="595959" w:themeColor="text1" w:themeTint="A6"/>
          <w:szCs w:val="18"/>
        </w:rPr>
        <w:t xml:space="preserve"> Notable </w:t>
      </w:r>
      <w:r>
        <w:rPr>
          <w:iCs/>
          <w:color w:val="595959" w:themeColor="text1" w:themeTint="A6"/>
          <w:szCs w:val="18"/>
        </w:rPr>
        <w:t xml:space="preserve">North Fork </w:t>
      </w:r>
      <w:r w:rsidRPr="00BE2341">
        <w:rPr>
          <w:iCs/>
          <w:color w:val="595959" w:themeColor="text1" w:themeTint="A6"/>
          <w:szCs w:val="18"/>
        </w:rPr>
        <w:t>Gold Intervals</w:t>
      </w:r>
    </w:p>
    <w:p w14:paraId="7C6CFA92" w14:textId="41F5BA61" w:rsidR="007028D6" w:rsidRPr="00BE2341" w:rsidRDefault="00993B77" w:rsidP="007028D6">
      <w:pPr>
        <w:spacing w:after="180"/>
        <w:jc w:val="both"/>
        <w:rPr>
          <w:color w:val="000000"/>
        </w:rPr>
      </w:pPr>
      <w:r>
        <w:rPr>
          <w:noProof/>
          <w:color w:val="000000"/>
        </w:rPr>
        <w:drawing>
          <wp:inline distT="0" distB="0" distL="0" distR="0" wp14:anchorId="0AFBE08D" wp14:editId="4769DB37">
            <wp:extent cx="3876776" cy="2498982"/>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281" cy="2539273"/>
                    </a:xfrm>
                    <a:prstGeom prst="rect">
                      <a:avLst/>
                    </a:prstGeom>
                  </pic:spPr>
                </pic:pic>
              </a:graphicData>
            </a:graphic>
          </wp:inline>
        </w:drawing>
      </w:r>
    </w:p>
    <w:p w14:paraId="492C65A4" w14:textId="7B5ADE1A" w:rsidR="00055233" w:rsidRPr="00BE2341" w:rsidRDefault="00055233" w:rsidP="00B45A1E">
      <w:pPr>
        <w:spacing w:before="240" w:after="60"/>
        <w:ind w:left="-284"/>
        <w:jc w:val="both"/>
        <w:rPr>
          <w:color w:val="000000"/>
        </w:rPr>
      </w:pPr>
      <w:r w:rsidRPr="00BE2341">
        <w:rPr>
          <w:noProof/>
          <w:color w:val="000000"/>
        </w:rPr>
        <w:drawing>
          <wp:inline distT="0" distB="0" distL="0" distR="0" wp14:anchorId="7F45D325" wp14:editId="10ACEC5B">
            <wp:extent cx="5971775" cy="772941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1775" cy="7729419"/>
                    </a:xfrm>
                    <a:prstGeom prst="rect">
                      <a:avLst/>
                    </a:prstGeom>
                  </pic:spPr>
                </pic:pic>
              </a:graphicData>
            </a:graphic>
          </wp:inline>
        </w:drawing>
      </w:r>
    </w:p>
    <w:p w14:paraId="055D3C73" w14:textId="51EE4BCE" w:rsidR="00055233" w:rsidRPr="00BE2341" w:rsidRDefault="00055233" w:rsidP="00B45A1E">
      <w:pPr>
        <w:pStyle w:val="Caption"/>
        <w:spacing w:before="20" w:after="60"/>
        <w:jc w:val="both"/>
        <w:rPr>
          <w:color w:val="7F7F7F" w:themeColor="text1" w:themeTint="80"/>
        </w:rPr>
      </w:pPr>
      <w:r w:rsidRPr="00BE2341">
        <w:rPr>
          <w:color w:val="7F7F7F" w:themeColor="text1" w:themeTint="80"/>
        </w:rPr>
        <w:t xml:space="preserve">Figure </w:t>
      </w:r>
      <w:r w:rsidR="00040A89">
        <w:rPr>
          <w:color w:val="7F7F7F" w:themeColor="text1" w:themeTint="80"/>
        </w:rPr>
        <w:t>2</w:t>
      </w:r>
      <w:r w:rsidRPr="00BE2341">
        <w:rPr>
          <w:color w:val="7F7F7F" w:themeColor="text1" w:themeTint="80"/>
        </w:rPr>
        <w:t>:  Cross-section highlighting gold intervals in drill holes FCG21-16</w:t>
      </w:r>
      <w:r w:rsidR="0028049D">
        <w:rPr>
          <w:color w:val="7F7F7F" w:themeColor="text1" w:themeTint="80"/>
        </w:rPr>
        <w:t>, FCG22-17,</w:t>
      </w:r>
      <w:r w:rsidRPr="00BE2341">
        <w:rPr>
          <w:color w:val="7F7F7F" w:themeColor="text1" w:themeTint="80"/>
        </w:rPr>
        <w:t xml:space="preserve"> and FCG22-1</w:t>
      </w:r>
      <w:r w:rsidR="00E33D83">
        <w:rPr>
          <w:color w:val="7F7F7F" w:themeColor="text1" w:themeTint="80"/>
        </w:rPr>
        <w:t>9</w:t>
      </w:r>
      <w:r w:rsidRPr="00BE2341">
        <w:rPr>
          <w:color w:val="7F7F7F" w:themeColor="text1" w:themeTint="80"/>
        </w:rPr>
        <w:t>.</w:t>
      </w:r>
    </w:p>
    <w:p w14:paraId="422B831C" w14:textId="78C1A0E5" w:rsidR="00F82448" w:rsidRPr="00F82448" w:rsidRDefault="00F82448" w:rsidP="00F82448">
      <w:pPr>
        <w:spacing w:before="240" w:after="0" w:line="252" w:lineRule="auto"/>
        <w:jc w:val="both"/>
        <w:rPr>
          <w:rFonts w:eastAsia="Times New Roman" w:cstheme="minorHAnsi"/>
          <w:b/>
          <w:bCs/>
        </w:rPr>
      </w:pPr>
      <w:r w:rsidRPr="00F82448">
        <w:rPr>
          <w:rFonts w:eastAsia="Times New Roman" w:cstheme="minorHAnsi"/>
          <w:b/>
          <w:bCs/>
        </w:rPr>
        <w:t>2022 Fondaway Canyon Drill Program Update</w:t>
      </w:r>
    </w:p>
    <w:p w14:paraId="27DD131F" w14:textId="19ED0E1D" w:rsidR="006D5DCB" w:rsidRPr="00BE2341" w:rsidRDefault="00704036" w:rsidP="005B147F">
      <w:pPr>
        <w:spacing w:before="240" w:after="60"/>
        <w:jc w:val="both"/>
        <w:rPr>
          <w:rFonts w:ascii="Calibri" w:hAnsi="Calibri" w:cs="Calibri"/>
          <w:color w:val="auto"/>
          <w:lang w:val="en-CA"/>
        </w:rPr>
      </w:pPr>
      <w:r>
        <w:rPr>
          <w:rFonts w:ascii="Calibri" w:hAnsi="Calibri" w:cs="Calibri"/>
          <w:color w:val="auto"/>
          <w:lang w:val="en-CA"/>
        </w:rPr>
        <w:t>Eight</w:t>
      </w:r>
      <w:r w:rsidR="006D5DCB" w:rsidRPr="00BE2341">
        <w:rPr>
          <w:rFonts w:ascii="Calibri" w:hAnsi="Calibri" w:cs="Calibri"/>
          <w:color w:val="auto"/>
          <w:lang w:val="en-CA"/>
        </w:rPr>
        <w:t xml:space="preserve"> holes have been completed (FCG22-17 to 2</w:t>
      </w:r>
      <w:r>
        <w:rPr>
          <w:rFonts w:ascii="Calibri" w:hAnsi="Calibri" w:cs="Calibri"/>
          <w:color w:val="auto"/>
          <w:lang w:val="en-CA"/>
        </w:rPr>
        <w:t>3 and FCG22-25</w:t>
      </w:r>
      <w:r w:rsidR="006D5DCB" w:rsidRPr="00BE2341">
        <w:rPr>
          <w:rFonts w:ascii="Calibri" w:hAnsi="Calibri" w:cs="Calibri"/>
          <w:color w:val="auto"/>
          <w:lang w:val="en-CA"/>
        </w:rPr>
        <w:t>)</w:t>
      </w:r>
      <w:r w:rsidR="001521BC" w:rsidRPr="00BE2341">
        <w:rPr>
          <w:rFonts w:ascii="Calibri" w:hAnsi="Calibri" w:cs="Calibri"/>
          <w:color w:val="auto"/>
          <w:lang w:val="en-CA"/>
        </w:rPr>
        <w:t xml:space="preserve"> to date</w:t>
      </w:r>
      <w:r>
        <w:rPr>
          <w:rFonts w:ascii="Calibri" w:hAnsi="Calibri" w:cs="Calibri"/>
          <w:color w:val="auto"/>
          <w:lang w:val="en-CA"/>
        </w:rPr>
        <w:t xml:space="preserve"> in the Central Area</w:t>
      </w:r>
      <w:r w:rsidR="00F63591">
        <w:rPr>
          <w:rFonts w:ascii="Calibri" w:hAnsi="Calibri" w:cs="Calibri"/>
          <w:color w:val="auto"/>
          <w:lang w:val="en-CA"/>
        </w:rPr>
        <w:t xml:space="preserve"> </w:t>
      </w:r>
      <w:r w:rsidR="00F63591" w:rsidRPr="00BE2341">
        <w:rPr>
          <w:rFonts w:ascii="Calibri" w:hAnsi="Calibri" w:cs="Calibri"/>
          <w:color w:val="auto"/>
          <w:lang w:val="en-CA"/>
        </w:rPr>
        <w:t>during the 2022 drill program at Fondaway Canyon</w:t>
      </w:r>
      <w:r w:rsidR="001521BC" w:rsidRPr="00BE2341">
        <w:rPr>
          <w:rFonts w:ascii="Calibri" w:hAnsi="Calibri" w:cs="Calibri"/>
          <w:color w:val="auto"/>
          <w:lang w:val="en-CA"/>
        </w:rPr>
        <w:t xml:space="preserve">, totalling </w:t>
      </w:r>
      <w:r w:rsidR="007C4AC7">
        <w:rPr>
          <w:rFonts w:ascii="Calibri" w:hAnsi="Calibri" w:cs="Calibri"/>
          <w:color w:val="auto"/>
          <w:lang w:val="en-CA"/>
        </w:rPr>
        <w:t xml:space="preserve">3,260 </w:t>
      </w:r>
      <w:r w:rsidR="001521BC" w:rsidRPr="00BE2341">
        <w:rPr>
          <w:rFonts w:ascii="Calibri" w:hAnsi="Calibri" w:cs="Calibri"/>
          <w:color w:val="auto"/>
          <w:lang w:val="en-CA"/>
        </w:rPr>
        <w:t>m</w:t>
      </w:r>
      <w:r w:rsidR="006D5DCB" w:rsidRPr="00BE2341">
        <w:rPr>
          <w:rFonts w:ascii="Calibri" w:hAnsi="Calibri" w:cs="Calibri"/>
          <w:color w:val="auto"/>
          <w:lang w:val="en-CA"/>
        </w:rPr>
        <w:t>.</w:t>
      </w:r>
      <w:r w:rsidR="00A500CF">
        <w:rPr>
          <w:rFonts w:ascii="Calibri" w:hAnsi="Calibri" w:cs="Calibri"/>
          <w:color w:val="auto"/>
          <w:lang w:val="en-CA"/>
        </w:rPr>
        <w:t xml:space="preserve">  </w:t>
      </w:r>
      <w:r w:rsidR="00A500CF" w:rsidRPr="00A500CF">
        <w:rPr>
          <w:rFonts w:ascii="Calibri" w:hAnsi="Calibri" w:cs="Calibri"/>
          <w:color w:val="auto"/>
          <w:lang w:val="en-CA"/>
        </w:rPr>
        <w:t>Assay results have been released for three of those holes (FCG22-17 to 19) and assays are pending for holes FCG22-20 through FCG22-25.</w:t>
      </w:r>
    </w:p>
    <w:p w14:paraId="6EBEBC0E" w14:textId="0B953733" w:rsidR="00450713" w:rsidRDefault="005B147F" w:rsidP="004F6458">
      <w:pPr>
        <w:spacing w:before="240" w:after="60"/>
        <w:jc w:val="both"/>
        <w:rPr>
          <w:rFonts w:ascii="Calibri" w:hAnsi="Calibri" w:cs="Calibri"/>
          <w:color w:val="auto"/>
          <w:lang w:val="en-CA"/>
        </w:rPr>
      </w:pPr>
      <w:r w:rsidRPr="00BE2341">
        <w:rPr>
          <w:rFonts w:ascii="Calibri" w:hAnsi="Calibri" w:cs="Calibri"/>
          <w:color w:val="auto"/>
          <w:lang w:val="en-CA"/>
        </w:rPr>
        <w:t>Hole</w:t>
      </w:r>
      <w:r w:rsidR="006D5DCB" w:rsidRPr="00BE2341">
        <w:rPr>
          <w:rFonts w:ascii="Calibri" w:hAnsi="Calibri" w:cs="Calibri"/>
          <w:color w:val="auto"/>
          <w:lang w:val="en-CA"/>
        </w:rPr>
        <w:t>s</w:t>
      </w:r>
      <w:r w:rsidRPr="00BE2341">
        <w:rPr>
          <w:rFonts w:ascii="Calibri" w:hAnsi="Calibri" w:cs="Calibri"/>
          <w:color w:val="auto"/>
          <w:lang w:val="en-CA"/>
        </w:rPr>
        <w:t xml:space="preserve"> FCG22-1</w:t>
      </w:r>
      <w:r w:rsidR="00E11F82">
        <w:rPr>
          <w:rFonts w:ascii="Calibri" w:hAnsi="Calibri" w:cs="Calibri"/>
          <w:color w:val="auto"/>
          <w:lang w:val="en-CA"/>
        </w:rPr>
        <w:t>7, 18, 1</w:t>
      </w:r>
      <w:r w:rsidR="006D5DCB" w:rsidRPr="00BE2341">
        <w:rPr>
          <w:rFonts w:ascii="Calibri" w:hAnsi="Calibri" w:cs="Calibri"/>
          <w:color w:val="auto"/>
          <w:lang w:val="en-CA"/>
        </w:rPr>
        <w:t>9</w:t>
      </w:r>
      <w:r w:rsidR="00F63591">
        <w:rPr>
          <w:rFonts w:ascii="Calibri" w:hAnsi="Calibri" w:cs="Calibri"/>
          <w:color w:val="auto"/>
          <w:lang w:val="en-CA"/>
        </w:rPr>
        <w:t>,</w:t>
      </w:r>
      <w:r w:rsidR="00F7138C">
        <w:rPr>
          <w:rFonts w:ascii="Calibri" w:hAnsi="Calibri" w:cs="Calibri"/>
          <w:color w:val="auto"/>
          <w:lang w:val="en-CA"/>
        </w:rPr>
        <w:t xml:space="preserve"> 22</w:t>
      </w:r>
      <w:r w:rsidRPr="00BE2341">
        <w:rPr>
          <w:rFonts w:ascii="Calibri" w:hAnsi="Calibri" w:cs="Calibri"/>
          <w:color w:val="auto"/>
          <w:lang w:val="en-CA"/>
        </w:rPr>
        <w:t>,</w:t>
      </w:r>
      <w:r w:rsidR="00F63591">
        <w:rPr>
          <w:rFonts w:ascii="Calibri" w:hAnsi="Calibri" w:cs="Calibri"/>
          <w:color w:val="auto"/>
          <w:lang w:val="en-CA"/>
        </w:rPr>
        <w:t xml:space="preserve"> 23, and 25</w:t>
      </w:r>
      <w:r w:rsidRPr="00BE2341">
        <w:rPr>
          <w:rFonts w:ascii="Calibri" w:hAnsi="Calibri" w:cs="Calibri"/>
          <w:color w:val="auto"/>
          <w:lang w:val="en-CA"/>
        </w:rPr>
        <w:t xml:space="preserve"> collared on the same pad as FCG2</w:t>
      </w:r>
      <w:r w:rsidR="0083071E">
        <w:rPr>
          <w:rFonts w:ascii="Calibri" w:hAnsi="Calibri" w:cs="Calibri"/>
          <w:color w:val="auto"/>
          <w:lang w:val="en-CA"/>
        </w:rPr>
        <w:t>1</w:t>
      </w:r>
      <w:r w:rsidRPr="00BE2341">
        <w:rPr>
          <w:rFonts w:ascii="Calibri" w:hAnsi="Calibri" w:cs="Calibri"/>
          <w:color w:val="auto"/>
          <w:lang w:val="en-CA"/>
        </w:rPr>
        <w:t>-1</w:t>
      </w:r>
      <w:r w:rsidR="00F7138C">
        <w:rPr>
          <w:rFonts w:ascii="Calibri" w:hAnsi="Calibri" w:cs="Calibri"/>
          <w:color w:val="auto"/>
          <w:lang w:val="en-CA"/>
        </w:rPr>
        <w:t>6</w:t>
      </w:r>
      <w:r w:rsidRPr="00BE2341">
        <w:rPr>
          <w:rFonts w:ascii="Calibri" w:hAnsi="Calibri" w:cs="Calibri"/>
          <w:color w:val="auto"/>
          <w:lang w:val="en-CA"/>
        </w:rPr>
        <w:t xml:space="preserve">, </w:t>
      </w:r>
      <w:r w:rsidR="00D11D06" w:rsidRPr="00BE2341">
        <w:rPr>
          <w:rFonts w:ascii="Calibri" w:hAnsi="Calibri" w:cs="Calibri"/>
          <w:color w:val="auto"/>
          <w:lang w:val="en-CA"/>
        </w:rPr>
        <w:t>were</w:t>
      </w:r>
      <w:r w:rsidR="001B3BB3" w:rsidRPr="00BE2341">
        <w:rPr>
          <w:rFonts w:ascii="Calibri" w:hAnsi="Calibri" w:cs="Calibri"/>
          <w:color w:val="auto"/>
          <w:lang w:val="en-CA"/>
        </w:rPr>
        <w:t xml:space="preserve"> </w:t>
      </w:r>
      <w:r w:rsidRPr="00BE2341">
        <w:rPr>
          <w:rFonts w:ascii="Calibri" w:hAnsi="Calibri" w:cs="Calibri"/>
          <w:color w:val="auto"/>
          <w:lang w:val="en-CA"/>
        </w:rPr>
        <w:t xml:space="preserve">designed </w:t>
      </w:r>
      <w:r w:rsidR="00F63591">
        <w:rPr>
          <w:rFonts w:ascii="Calibri" w:hAnsi="Calibri" w:cs="Calibri"/>
          <w:color w:val="auto"/>
          <w:lang w:val="en-CA"/>
        </w:rPr>
        <w:t>as step outs</w:t>
      </w:r>
      <w:r w:rsidRPr="00BE2341">
        <w:rPr>
          <w:rFonts w:ascii="Calibri" w:hAnsi="Calibri" w:cs="Calibri"/>
          <w:color w:val="auto"/>
          <w:lang w:val="en-CA"/>
        </w:rPr>
        <w:t xml:space="preserve"> </w:t>
      </w:r>
      <w:r w:rsidR="00F63591">
        <w:rPr>
          <w:rFonts w:ascii="Calibri" w:hAnsi="Calibri" w:cs="Calibri"/>
          <w:color w:val="auto"/>
          <w:lang w:val="en-CA"/>
        </w:rPr>
        <w:t>to test the</w:t>
      </w:r>
      <w:r w:rsidRPr="00BE2341">
        <w:rPr>
          <w:rFonts w:ascii="Calibri" w:hAnsi="Calibri" w:cs="Calibri"/>
          <w:color w:val="auto"/>
          <w:lang w:val="en-CA"/>
        </w:rPr>
        <w:t xml:space="preserve"> extent</w:t>
      </w:r>
      <w:r w:rsidR="004F6458" w:rsidRPr="00BE2341">
        <w:rPr>
          <w:rFonts w:ascii="Calibri" w:hAnsi="Calibri" w:cs="Calibri"/>
          <w:color w:val="auto"/>
          <w:lang w:val="en-CA"/>
        </w:rPr>
        <w:t xml:space="preserve"> </w:t>
      </w:r>
      <w:r w:rsidRPr="00BE2341">
        <w:rPr>
          <w:rFonts w:ascii="Calibri" w:hAnsi="Calibri" w:cs="Calibri"/>
          <w:color w:val="auto"/>
          <w:lang w:val="en-CA"/>
        </w:rPr>
        <w:t xml:space="preserve">of the </w:t>
      </w:r>
      <w:r w:rsidR="00F63591">
        <w:rPr>
          <w:rFonts w:ascii="Calibri" w:hAnsi="Calibri" w:cs="Calibri"/>
          <w:color w:val="auto"/>
          <w:lang w:val="en-CA"/>
        </w:rPr>
        <w:t xml:space="preserve">North Fork </w:t>
      </w:r>
      <w:r w:rsidRPr="00BE2341">
        <w:rPr>
          <w:rFonts w:ascii="Calibri" w:hAnsi="Calibri" w:cs="Calibri"/>
          <w:color w:val="auto"/>
          <w:lang w:val="en-CA"/>
        </w:rPr>
        <w:t>mineralization encountered in hole FCG21-16</w:t>
      </w:r>
      <w:r w:rsidR="00E11F82">
        <w:rPr>
          <w:rFonts w:ascii="Calibri" w:hAnsi="Calibri" w:cs="Calibri"/>
          <w:color w:val="auto"/>
          <w:lang w:val="en-CA"/>
        </w:rPr>
        <w:t>.</w:t>
      </w:r>
      <w:r w:rsidR="00F63591">
        <w:rPr>
          <w:rFonts w:ascii="Calibri" w:hAnsi="Calibri" w:cs="Calibri"/>
          <w:color w:val="auto"/>
          <w:lang w:val="en-CA"/>
        </w:rPr>
        <w:t xml:space="preserve">  Holes FCG 22, 23, and 25 were additionally designed as step outs to test the extent of the </w:t>
      </w:r>
      <w:r w:rsidR="00616F8B">
        <w:rPr>
          <w:rFonts w:ascii="Calibri" w:hAnsi="Calibri" w:cs="Calibri"/>
          <w:color w:val="auto"/>
          <w:lang w:val="en-CA"/>
        </w:rPr>
        <w:t xml:space="preserve">lower North Fork gold zone discovered in FCG22-18 that graded </w:t>
      </w:r>
      <w:r w:rsidR="00616F8B" w:rsidRPr="005874DE">
        <w:rPr>
          <w:rFonts w:ascii="Calibri" w:hAnsi="Calibri" w:cs="Calibri"/>
          <w:b/>
          <w:bCs/>
          <w:color w:val="auto"/>
          <w:lang w:val="en-CA"/>
        </w:rPr>
        <w:t>1.9 g/t Au over 72.6 m</w:t>
      </w:r>
      <w:r w:rsidR="00616F8B">
        <w:rPr>
          <w:rFonts w:ascii="Calibri" w:hAnsi="Calibri" w:cs="Calibri"/>
          <w:color w:val="auto"/>
          <w:lang w:val="en-CA"/>
        </w:rPr>
        <w:t>.</w:t>
      </w:r>
    </w:p>
    <w:p w14:paraId="69443A92" w14:textId="0B63D714" w:rsidR="004A314B" w:rsidRDefault="00D11D06" w:rsidP="004A314B">
      <w:pPr>
        <w:spacing w:before="240" w:after="60"/>
        <w:jc w:val="both"/>
        <w:rPr>
          <w:rFonts w:ascii="Calibri" w:hAnsi="Calibri" w:cs="Calibri"/>
          <w:color w:val="auto"/>
          <w:lang w:val="en-CA"/>
        </w:rPr>
      </w:pPr>
      <w:r w:rsidRPr="00BE2341">
        <w:rPr>
          <w:rFonts w:ascii="Calibri" w:hAnsi="Calibri" w:cs="Calibri"/>
          <w:color w:val="auto"/>
          <w:lang w:val="en-CA"/>
        </w:rPr>
        <w:t xml:space="preserve">FCG22-20, </w:t>
      </w:r>
      <w:r w:rsidR="00E77323" w:rsidRPr="00BE2341">
        <w:rPr>
          <w:rFonts w:ascii="Calibri" w:hAnsi="Calibri" w:cs="Calibri"/>
          <w:color w:val="auto"/>
          <w:lang w:val="en-CA"/>
        </w:rPr>
        <w:t>a vertical drill hole,</w:t>
      </w:r>
      <w:r w:rsidRPr="00BE2341">
        <w:rPr>
          <w:rFonts w:ascii="Calibri" w:hAnsi="Calibri" w:cs="Calibri"/>
          <w:color w:val="auto"/>
          <w:lang w:val="en-CA"/>
        </w:rPr>
        <w:t xml:space="preserve"> was designed to </w:t>
      </w:r>
      <w:r w:rsidR="00E77323" w:rsidRPr="00BE2341">
        <w:rPr>
          <w:rFonts w:ascii="Calibri" w:hAnsi="Calibri" w:cs="Calibri"/>
          <w:color w:val="auto"/>
          <w:lang w:val="en-CA"/>
        </w:rPr>
        <w:t>test the mineralization directly below the Colorado Pit</w:t>
      </w:r>
      <w:r w:rsidR="001B3BB3" w:rsidRPr="00BE2341">
        <w:rPr>
          <w:rFonts w:ascii="Calibri" w:hAnsi="Calibri" w:cs="Calibri"/>
          <w:color w:val="auto"/>
          <w:lang w:val="en-CA"/>
        </w:rPr>
        <w:t xml:space="preserve"> in an area relatively absent of drilling</w:t>
      </w:r>
      <w:r w:rsidR="004A314B" w:rsidRPr="00BE2341">
        <w:rPr>
          <w:rFonts w:ascii="Calibri" w:hAnsi="Calibri" w:cs="Calibri"/>
          <w:color w:val="auto"/>
          <w:lang w:val="en-CA"/>
        </w:rPr>
        <w:t>.</w:t>
      </w:r>
    </w:p>
    <w:p w14:paraId="47779060" w14:textId="77777777" w:rsidR="00A66E82" w:rsidRDefault="00F56806" w:rsidP="00F56806">
      <w:pPr>
        <w:spacing w:before="240" w:after="60"/>
        <w:jc w:val="both"/>
        <w:rPr>
          <w:rFonts w:ascii="Calibri" w:hAnsi="Calibri" w:cs="Calibri"/>
          <w:color w:val="auto"/>
          <w:lang w:val="en-CA"/>
        </w:rPr>
      </w:pPr>
      <w:r w:rsidRPr="00BE2341">
        <w:rPr>
          <w:rFonts w:ascii="Calibri" w:hAnsi="Calibri" w:cs="Calibri"/>
          <w:color w:val="auto"/>
          <w:lang w:val="en-CA"/>
        </w:rPr>
        <w:t>FCG22-21, stationed midway up the north slope of Fondaway Canyon, was designed to crosscut the Colorado SW zone of mineralization to assist with modelling and to test the extents of the mineralization to the northwest.</w:t>
      </w:r>
      <w:r w:rsidR="00BE5483">
        <w:rPr>
          <w:rFonts w:ascii="Calibri" w:hAnsi="Calibri" w:cs="Calibri"/>
          <w:color w:val="auto"/>
          <w:lang w:val="en-CA"/>
        </w:rPr>
        <w:t xml:space="preserve">  </w:t>
      </w:r>
    </w:p>
    <w:p w14:paraId="103ED024" w14:textId="469F3899" w:rsidR="00F56806" w:rsidRDefault="00BE5483" w:rsidP="004A314B">
      <w:pPr>
        <w:spacing w:before="240" w:after="60"/>
        <w:jc w:val="both"/>
        <w:rPr>
          <w:rFonts w:ascii="Calibri" w:hAnsi="Calibri" w:cs="Calibri"/>
          <w:color w:val="auto"/>
          <w:lang w:val="en-CA"/>
        </w:rPr>
      </w:pPr>
      <w:r w:rsidRPr="00F01EC2">
        <w:rPr>
          <w:rFonts w:ascii="Calibri" w:hAnsi="Calibri" w:cs="Calibri"/>
          <w:color w:val="auto"/>
          <w:lang w:val="en-CA"/>
        </w:rPr>
        <w:t>FCG22-26</w:t>
      </w:r>
      <w:r w:rsidR="000562A0" w:rsidRPr="00F01EC2">
        <w:rPr>
          <w:rFonts w:ascii="Calibri" w:hAnsi="Calibri" w:cs="Calibri"/>
          <w:color w:val="auto"/>
          <w:lang w:val="en-CA"/>
        </w:rPr>
        <w:t xml:space="preserve">, </w:t>
      </w:r>
      <w:r w:rsidR="00991617" w:rsidRPr="00F01EC2">
        <w:rPr>
          <w:rFonts w:ascii="Calibri" w:hAnsi="Calibri" w:cs="Calibri"/>
          <w:color w:val="auto"/>
          <w:lang w:val="en-CA"/>
        </w:rPr>
        <w:t xml:space="preserve">stationed near the canyon floor </w:t>
      </w:r>
      <w:r w:rsidR="000562A0" w:rsidRPr="00F01EC2">
        <w:rPr>
          <w:rFonts w:ascii="Calibri" w:hAnsi="Calibri" w:cs="Calibri"/>
          <w:color w:val="auto"/>
          <w:lang w:val="en-CA"/>
        </w:rPr>
        <w:t>on the same pad as FCG2</w:t>
      </w:r>
      <w:r w:rsidR="00991617" w:rsidRPr="00F01EC2">
        <w:rPr>
          <w:rFonts w:ascii="Calibri" w:hAnsi="Calibri" w:cs="Calibri"/>
          <w:color w:val="auto"/>
          <w:lang w:val="en-CA"/>
        </w:rPr>
        <w:t>1-12 and 15</w:t>
      </w:r>
      <w:r w:rsidR="000562A0" w:rsidRPr="00F01EC2">
        <w:rPr>
          <w:rFonts w:ascii="Calibri" w:hAnsi="Calibri" w:cs="Calibri"/>
          <w:color w:val="auto"/>
          <w:lang w:val="en-CA"/>
        </w:rPr>
        <w:t>, is in progress and is designed to target the eastern extent of the Colorado SW zone.</w:t>
      </w:r>
    </w:p>
    <w:p w14:paraId="654B3214" w14:textId="6A1EB448" w:rsidR="00423AE5" w:rsidRDefault="00423AE5" w:rsidP="004A314B">
      <w:pPr>
        <w:spacing w:before="240" w:after="60"/>
        <w:jc w:val="both"/>
        <w:rPr>
          <w:rFonts w:ascii="Calibri" w:hAnsi="Calibri" w:cs="Calibri"/>
          <w:color w:val="auto"/>
          <w:lang w:val="en-CA"/>
        </w:rPr>
      </w:pPr>
      <w:r>
        <w:rPr>
          <w:rFonts w:ascii="Calibri" w:hAnsi="Calibri" w:cs="Calibri"/>
          <w:color w:val="auto"/>
          <w:lang w:val="en-CA"/>
        </w:rPr>
        <w:t>Drilling is ongoing with plans to drill through to the end of the 2022 field season.</w:t>
      </w:r>
    </w:p>
    <w:p w14:paraId="1A456BF2" w14:textId="64345017" w:rsidR="00BF36FA" w:rsidRDefault="00BF36FA" w:rsidP="00242B3B">
      <w:pPr>
        <w:pStyle w:val="NormalWeb"/>
        <w:shd w:val="clear" w:color="auto" w:fill="FFFFFF"/>
        <w:spacing w:before="240" w:beforeAutospacing="0" w:after="0" w:afterAutospacing="0" w:line="276" w:lineRule="auto"/>
        <w:jc w:val="both"/>
        <w:rPr>
          <w:rFonts w:asciiTheme="minorHAnsi" w:hAnsiTheme="minorHAnsi" w:cstheme="minorHAnsi"/>
          <w:b/>
          <w:bCs/>
          <w:sz w:val="23"/>
          <w:szCs w:val="23"/>
        </w:rPr>
      </w:pPr>
      <w:r>
        <w:rPr>
          <w:rFonts w:cstheme="minorHAnsi"/>
          <w:b/>
          <w:bCs/>
          <w:noProof/>
          <w:sz w:val="23"/>
          <w:szCs w:val="23"/>
        </w:rPr>
        <w:drawing>
          <wp:inline distT="0" distB="0" distL="0" distR="0" wp14:anchorId="7E4C0DB1" wp14:editId="6EDF4234">
            <wp:extent cx="5781734" cy="385448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4763" cy="3869842"/>
                    </a:xfrm>
                    <a:prstGeom prst="rect">
                      <a:avLst/>
                    </a:prstGeom>
                  </pic:spPr>
                </pic:pic>
              </a:graphicData>
            </a:graphic>
          </wp:inline>
        </w:drawing>
      </w:r>
    </w:p>
    <w:p w14:paraId="7873D073" w14:textId="2C9447BF" w:rsidR="00BF36FA" w:rsidRPr="00BF36FA" w:rsidRDefault="00BF36FA" w:rsidP="00BF36FA">
      <w:pPr>
        <w:pStyle w:val="Caption"/>
        <w:spacing w:before="20" w:after="60"/>
        <w:jc w:val="both"/>
        <w:rPr>
          <w:color w:val="7F7F7F" w:themeColor="text1" w:themeTint="80"/>
        </w:rPr>
      </w:pPr>
      <w:r w:rsidRPr="00BF36FA">
        <w:rPr>
          <w:color w:val="7F7F7F" w:themeColor="text1" w:themeTint="80"/>
        </w:rPr>
        <w:t xml:space="preserve">Figure </w:t>
      </w:r>
      <w:r w:rsidR="00040A89">
        <w:rPr>
          <w:color w:val="7F7F7F" w:themeColor="text1" w:themeTint="80"/>
        </w:rPr>
        <w:t>3</w:t>
      </w:r>
      <w:r w:rsidRPr="00BF36FA">
        <w:rPr>
          <w:color w:val="7F7F7F" w:themeColor="text1" w:themeTint="80"/>
        </w:rPr>
        <w:t>:</w:t>
      </w:r>
      <w:r>
        <w:rPr>
          <w:color w:val="7F7F7F" w:themeColor="text1" w:themeTint="80"/>
        </w:rPr>
        <w:t xml:space="preserve"> Fondaway Canyon </w:t>
      </w:r>
      <w:r w:rsidR="00242B3B">
        <w:rPr>
          <w:color w:val="7F7F7F" w:themeColor="text1" w:themeTint="80"/>
        </w:rPr>
        <w:t>Central Area –</w:t>
      </w:r>
      <w:r>
        <w:rPr>
          <w:color w:val="7F7F7F" w:themeColor="text1" w:themeTint="80"/>
        </w:rPr>
        <w:t xml:space="preserve"> </w:t>
      </w:r>
      <w:r w:rsidR="00242B3B">
        <w:rPr>
          <w:color w:val="7F7F7F" w:themeColor="text1" w:themeTint="80"/>
        </w:rPr>
        <w:t>Drill H</w:t>
      </w:r>
      <w:r w:rsidR="000A6850">
        <w:rPr>
          <w:color w:val="7F7F7F" w:themeColor="text1" w:themeTint="80"/>
        </w:rPr>
        <w:t>ole FCG22-23</w:t>
      </w:r>
      <w:r w:rsidR="00242B3B">
        <w:rPr>
          <w:color w:val="7F7F7F" w:themeColor="text1" w:themeTint="80"/>
        </w:rPr>
        <w:t xml:space="preserve"> Targeting the North Fork Zone (looking NE)</w:t>
      </w:r>
      <w:r>
        <w:rPr>
          <w:color w:val="7F7F7F" w:themeColor="text1" w:themeTint="80"/>
        </w:rPr>
        <w:t xml:space="preserve"> </w:t>
      </w:r>
    </w:p>
    <w:p w14:paraId="449B5BE9" w14:textId="0B3E1E07" w:rsidR="00356DA6" w:rsidRPr="00F01EC2" w:rsidRDefault="00356DA6" w:rsidP="00356DA6">
      <w:pPr>
        <w:pStyle w:val="NormalWeb"/>
        <w:shd w:val="clear" w:color="auto" w:fill="FFFFFF"/>
        <w:spacing w:before="240" w:beforeAutospacing="0" w:after="180" w:afterAutospacing="0" w:line="276" w:lineRule="auto"/>
        <w:jc w:val="both"/>
        <w:rPr>
          <w:rFonts w:asciiTheme="minorHAnsi" w:hAnsiTheme="minorHAnsi" w:cstheme="minorHAnsi"/>
          <w:b/>
          <w:bCs/>
          <w:sz w:val="23"/>
          <w:szCs w:val="23"/>
        </w:rPr>
      </w:pPr>
      <w:r w:rsidRPr="00F01EC2">
        <w:rPr>
          <w:rFonts w:asciiTheme="minorHAnsi" w:hAnsiTheme="minorHAnsi" w:cstheme="minorHAnsi"/>
          <w:b/>
          <w:bCs/>
          <w:sz w:val="23"/>
          <w:szCs w:val="23"/>
        </w:rPr>
        <w:t xml:space="preserve">Pediment Target Area </w:t>
      </w:r>
      <w:r w:rsidR="00404DF8">
        <w:rPr>
          <w:rFonts w:asciiTheme="minorHAnsi" w:hAnsiTheme="minorHAnsi" w:cstheme="minorHAnsi"/>
          <w:b/>
          <w:bCs/>
          <w:sz w:val="23"/>
          <w:szCs w:val="23"/>
        </w:rPr>
        <w:t>Drilling</w:t>
      </w:r>
    </w:p>
    <w:p w14:paraId="37D2D2B3" w14:textId="65BAD4F7" w:rsidR="00356DA6" w:rsidRPr="00F01EC2" w:rsidRDefault="00404DF8" w:rsidP="00356DA6">
      <w:pPr>
        <w:spacing w:before="240" w:after="60"/>
        <w:jc w:val="both"/>
        <w:rPr>
          <w:rFonts w:ascii="Calibri" w:hAnsi="Calibri" w:cs="Calibri"/>
          <w:color w:val="auto"/>
          <w:lang w:val="en-CA"/>
        </w:rPr>
      </w:pPr>
      <w:r w:rsidRPr="00C50383">
        <w:rPr>
          <w:rFonts w:ascii="Calibri" w:hAnsi="Calibri" w:cs="Calibri"/>
          <w:color w:val="auto"/>
          <w:lang w:val="en-CA"/>
        </w:rPr>
        <w:t xml:space="preserve">A second drill rig </w:t>
      </w:r>
      <w:r>
        <w:rPr>
          <w:rFonts w:ascii="Calibri" w:hAnsi="Calibri" w:cs="Calibri"/>
          <w:color w:val="auto"/>
          <w:lang w:val="en-CA"/>
        </w:rPr>
        <w:t xml:space="preserve">has </w:t>
      </w:r>
      <w:r w:rsidRPr="00C50383">
        <w:rPr>
          <w:rFonts w:ascii="Calibri" w:hAnsi="Calibri" w:cs="Calibri"/>
          <w:color w:val="auto"/>
          <w:lang w:val="en-CA"/>
        </w:rPr>
        <w:t xml:space="preserve">commenced drilling the Pediment target zone at Fondaway Canyon with hole FCG22-24.  </w:t>
      </w:r>
      <w:r w:rsidR="00356DA6" w:rsidRPr="00F01EC2">
        <w:rPr>
          <w:rFonts w:ascii="Calibri" w:hAnsi="Calibri" w:cs="Calibri"/>
          <w:color w:val="auto"/>
          <w:lang w:val="en-CA"/>
        </w:rPr>
        <w:t>The Pediment Target is the westernmost known gold mineralized occurrence along the 3.5 km long E-W trending Fondaway Canyon gold mineralization corridor.  The area is completely blanketed by a broad alluvium cover which is typical of the range and basin geomorphology for the area.</w:t>
      </w:r>
    </w:p>
    <w:p w14:paraId="2DE9F61E" w14:textId="4B88E624" w:rsidR="00356DA6" w:rsidRPr="00F01EC2" w:rsidRDefault="00356DA6" w:rsidP="00356DA6">
      <w:pPr>
        <w:spacing w:before="240" w:after="60"/>
        <w:jc w:val="both"/>
        <w:rPr>
          <w:rFonts w:ascii="Calibri" w:hAnsi="Calibri" w:cs="Calibri"/>
          <w:color w:val="auto"/>
          <w:lang w:val="en-CA"/>
        </w:rPr>
      </w:pPr>
      <w:r w:rsidRPr="00F01EC2">
        <w:rPr>
          <w:rFonts w:ascii="Calibri" w:hAnsi="Calibri" w:cs="Calibri"/>
          <w:color w:val="auto"/>
          <w:lang w:val="en-CA"/>
        </w:rPr>
        <w:t>Two vertical drill holes completed in 2002, 02FC-10 and 02FC-11, were collared 185 metres apart and designed to test potential gold mineralization beneath the sediment cover on trend with the Fondaway Canyon E-W gold corridor.  Both holes successfully intersected thick lower grade gold intersections with hole 02FC-10 intersecting 27.4 m grading 0.82 g/t Au and 02FC-11 intersecting 36.6 m grading 0.52 g/t Au.</w:t>
      </w:r>
    </w:p>
    <w:p w14:paraId="27208521" w14:textId="7BBC1AD1"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Scott Frostad, P.Geo., is the Qualified Person (as defined in NI 43-101) who reviewed and approved the content and scientific and technical information in the news release.</w:t>
      </w:r>
    </w:p>
    <w:p w14:paraId="259FF9EA" w14:textId="4BE09EC6"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The 202</w:t>
      </w:r>
      <w:r w:rsidR="009A4BF9" w:rsidRPr="00BE2341">
        <w:rPr>
          <w:rFonts w:ascii="Calibri" w:hAnsi="Calibri" w:cs="Calibri"/>
          <w:color w:val="auto"/>
          <w:lang w:val="en-CA"/>
        </w:rPr>
        <w:t>2</w:t>
      </w:r>
      <w:r w:rsidRPr="00BE2341">
        <w:rPr>
          <w:rFonts w:ascii="Calibri" w:hAnsi="Calibri" w:cs="Calibri"/>
          <w:color w:val="auto"/>
          <w:lang w:val="en-CA"/>
        </w:rPr>
        <w:t xml:space="preserve"> drill core is being processed using the same methods as the 2020</w:t>
      </w:r>
      <w:r w:rsidR="009A4BF9" w:rsidRPr="00BE2341">
        <w:rPr>
          <w:rFonts w:ascii="Calibri" w:hAnsi="Calibri" w:cs="Calibri"/>
          <w:color w:val="auto"/>
          <w:lang w:val="en-CA"/>
        </w:rPr>
        <w:t xml:space="preserve"> and 2021</w:t>
      </w:r>
      <w:r w:rsidRPr="00BE2341">
        <w:rPr>
          <w:rFonts w:ascii="Calibri" w:hAnsi="Calibri" w:cs="Calibri"/>
          <w:color w:val="auto"/>
          <w:lang w:val="en-CA"/>
        </w:rPr>
        <w:t xml:space="preserve"> drill program</w:t>
      </w:r>
      <w:r w:rsidR="009A4BF9" w:rsidRPr="00BE2341">
        <w:rPr>
          <w:rFonts w:ascii="Calibri" w:hAnsi="Calibri" w:cs="Calibri"/>
          <w:color w:val="auto"/>
          <w:lang w:val="en-CA"/>
        </w:rPr>
        <w:t>s</w:t>
      </w:r>
      <w:r w:rsidRPr="00BE2341">
        <w:rPr>
          <w:rFonts w:ascii="Calibri" w:hAnsi="Calibri" w:cs="Calibri"/>
          <w:color w:val="auto"/>
          <w:lang w:val="en-CA"/>
        </w:rPr>
        <w:t>.  The core is cut at Bureau Veritas Laboratories’ (“BVL”) facilities in Sparks, Nevada, with the samples analyzed for gold and multi-element analysis in BVL’s Sparks, Nevada and Vancouver, BC laboratories respectively.  Gold values are produced by fire assay with an Atomic Absorption finish on a 30-gram sample (BV code FA430) with over limits re-analyzed using method FA530 (30g Fire Assay with gravimetric finish).  The multi-element analyses are performed by ICP-MS following aqua regia digestion on a 30g sample (BV code AQ250).  Quality control measures in the field include the systematic insertion of standards and blanks.</w:t>
      </w:r>
    </w:p>
    <w:p w14:paraId="05433EF5" w14:textId="6EF3AB76" w:rsidR="00B62ADE" w:rsidRPr="00BE2341" w:rsidRDefault="0053333A" w:rsidP="00BA66C1">
      <w:pPr>
        <w:spacing w:before="240" w:after="60"/>
        <w:jc w:val="both"/>
        <w:rPr>
          <w:rFonts w:ascii="Calibri" w:hAnsi="Calibri" w:cs="Calibri"/>
          <w:color w:val="auto"/>
          <w:lang w:val="en-CA"/>
        </w:rPr>
      </w:pPr>
      <w:r w:rsidRPr="00C17CC0">
        <w:rPr>
          <w:rFonts w:ascii="Calibri" w:hAnsi="Calibri" w:cs="Calibri"/>
          <w:color w:val="auto"/>
          <w:lang w:val="en-CA"/>
        </w:rPr>
        <w:t xml:space="preserve">Highlighted drill intervals are based on minimum interval lengths of 3.3 metres (10 feet), a 0.25 g/t Au cut-off, and a maximum of 3.3 metres of internal dilution, with no top cut applied.  </w:t>
      </w:r>
      <w:r w:rsidR="00C17CC0">
        <w:rPr>
          <w:rFonts w:ascii="Calibri" w:hAnsi="Calibri" w:cs="Calibri"/>
          <w:color w:val="auto"/>
          <w:lang w:val="en-CA"/>
        </w:rPr>
        <w:t>Broader reported I</w:t>
      </w:r>
      <w:r w:rsidRPr="00C17CC0">
        <w:rPr>
          <w:rFonts w:ascii="Calibri" w:hAnsi="Calibri" w:cs="Calibri"/>
          <w:color w:val="auto"/>
          <w:lang w:val="en-CA"/>
        </w:rPr>
        <w:t>ntervals</w:t>
      </w:r>
      <w:r w:rsidR="00C17CC0">
        <w:rPr>
          <w:rFonts w:ascii="Calibri" w:hAnsi="Calibri" w:cs="Calibri"/>
          <w:color w:val="auto"/>
          <w:lang w:val="en-CA"/>
        </w:rPr>
        <w:t xml:space="preserve"> </w:t>
      </w:r>
      <w:r w:rsidR="00436E99">
        <w:rPr>
          <w:rFonts w:ascii="Calibri" w:hAnsi="Calibri" w:cs="Calibri"/>
          <w:color w:val="auto"/>
          <w:lang w:val="en-CA"/>
        </w:rPr>
        <w:t xml:space="preserve">may include </w:t>
      </w:r>
      <w:r w:rsidRPr="00C17CC0">
        <w:rPr>
          <w:rFonts w:ascii="Calibri" w:hAnsi="Calibri" w:cs="Calibri"/>
          <w:color w:val="auto"/>
          <w:lang w:val="en-CA"/>
        </w:rPr>
        <w:t xml:space="preserve">internal dilution </w:t>
      </w:r>
      <w:r w:rsidR="00690CD3">
        <w:rPr>
          <w:rFonts w:ascii="Calibri" w:hAnsi="Calibri" w:cs="Calibri"/>
          <w:color w:val="auto"/>
          <w:lang w:val="en-CA"/>
        </w:rPr>
        <w:t xml:space="preserve">in the </w:t>
      </w:r>
      <w:r w:rsidR="00436E99">
        <w:rPr>
          <w:rFonts w:ascii="Calibri" w:hAnsi="Calibri" w:cs="Calibri"/>
          <w:color w:val="auto"/>
          <w:lang w:val="en-CA"/>
        </w:rPr>
        <w:t>calculated</w:t>
      </w:r>
      <w:r w:rsidR="00D0000A" w:rsidRPr="00C17CC0">
        <w:rPr>
          <w:rFonts w:ascii="Calibri" w:hAnsi="Calibri" w:cs="Calibri"/>
          <w:color w:val="auto"/>
          <w:lang w:val="en-CA"/>
        </w:rPr>
        <w:t xml:space="preserve"> average weighted grades</w:t>
      </w:r>
      <w:r w:rsidRPr="00C17CC0">
        <w:rPr>
          <w:rFonts w:ascii="Calibri" w:hAnsi="Calibri" w:cs="Calibri"/>
          <w:color w:val="auto"/>
          <w:lang w:val="en-CA"/>
        </w:rPr>
        <w:t>.  All intervals are reported as downhole drill lengths and additional work is required to determine the true widths</w:t>
      </w:r>
      <w:r w:rsidR="00B62ADE" w:rsidRPr="00C17CC0">
        <w:rPr>
          <w:rFonts w:ascii="Calibri" w:hAnsi="Calibri" w:cs="Calibri"/>
          <w:color w:val="auto"/>
          <w:lang w:val="en-CA"/>
        </w:rPr>
        <w:t>.</w:t>
      </w:r>
    </w:p>
    <w:p w14:paraId="670FF114" w14:textId="77777777" w:rsidR="00327FE1" w:rsidRPr="00BE2341" w:rsidRDefault="00327FE1" w:rsidP="00327FE1">
      <w:pPr>
        <w:pStyle w:val="NormalWeb"/>
        <w:shd w:val="clear" w:color="auto" w:fill="FFFFFF"/>
        <w:spacing w:before="240" w:beforeAutospacing="0" w:after="180" w:afterAutospacing="0" w:line="276" w:lineRule="auto"/>
        <w:jc w:val="both"/>
        <w:rPr>
          <w:rFonts w:asciiTheme="minorHAnsi" w:hAnsiTheme="minorHAnsi" w:cstheme="minorHAnsi"/>
          <w:b/>
          <w:bCs/>
          <w:sz w:val="23"/>
          <w:szCs w:val="23"/>
        </w:rPr>
      </w:pPr>
      <w:r w:rsidRPr="00BE2341">
        <w:rPr>
          <w:rFonts w:asciiTheme="minorHAnsi" w:hAnsiTheme="minorHAnsi" w:cstheme="minorHAnsi"/>
          <w:b/>
          <w:bCs/>
          <w:sz w:val="23"/>
          <w:szCs w:val="23"/>
        </w:rPr>
        <w:t>About Getchell Gold Corp.</w:t>
      </w:r>
    </w:p>
    <w:p w14:paraId="69A0680D" w14:textId="77777777"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The Company is a Nevada focused gold and copper exploration company trading on the CSE: GTCH and OTCQB: GGLDF.   Getchell Gold is primarily directing its efforts on its most advanced stage asset, Fondaway Canyon, a past gold producer with a significant in-the-ground historic resource estimate and on the Star project, a past high-grade copper, gold, and silver small-scale producer.  Complementing Getchell’s asset portfolio is Dixie Comstock, a past gold producer with a historic resource and one earlier stage exploration project, Hot Springs Peak (Au).  Getchell has the option to acquire 100% of the Fondaway Canyon and Dixie Comstock properties, Churchill County, Nevada.</w:t>
      </w:r>
    </w:p>
    <w:p w14:paraId="49C4A81E" w14:textId="11E4C8A8"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 xml:space="preserve">For further information please visit the Company’s website at </w:t>
      </w:r>
      <w:hyperlink r:id="rId15" w:history="1">
        <w:r w:rsidRPr="00BE2341">
          <w:rPr>
            <w:rFonts w:ascii="Calibri" w:hAnsi="Calibri" w:cs="Calibri"/>
            <w:color w:val="auto"/>
            <w:lang w:val="en-CA"/>
          </w:rPr>
          <w:t>www.getchellgold.com</w:t>
        </w:r>
      </w:hyperlink>
      <w:r w:rsidRPr="00BE2341">
        <w:rPr>
          <w:rFonts w:ascii="Calibri" w:hAnsi="Calibri" w:cs="Calibri"/>
          <w:color w:val="auto"/>
          <w:lang w:val="en-CA"/>
        </w:rPr>
        <w:t xml:space="preserve"> or contact the Company by e-mail at </w:t>
      </w:r>
      <w:hyperlink r:id="rId16" w:history="1">
        <w:r w:rsidRPr="00BE2341">
          <w:rPr>
            <w:rFonts w:ascii="Calibri" w:hAnsi="Calibri" w:cs="Calibri"/>
            <w:color w:val="auto"/>
            <w:lang w:val="en-CA"/>
          </w:rPr>
          <w:t>info@getchellgold.com</w:t>
        </w:r>
      </w:hyperlink>
      <w:r w:rsidRPr="00BE2341">
        <w:rPr>
          <w:rFonts w:ascii="Calibri" w:hAnsi="Calibri" w:cs="Calibri"/>
          <w:color w:val="auto"/>
          <w:lang w:val="en-CA"/>
        </w:rPr>
        <w:t xml:space="preserve"> or by phone at +1 647 249-4798.</w:t>
      </w:r>
    </w:p>
    <w:p w14:paraId="19BF3FCB" w14:textId="77777777" w:rsidR="00E95321" w:rsidRDefault="00E95321" w:rsidP="00327FE1">
      <w:pPr>
        <w:spacing w:after="180"/>
        <w:rPr>
          <w:rFonts w:eastAsia="Times New Roman" w:cstheme="minorHAnsi"/>
          <w:color w:val="000000"/>
          <w:sz w:val="23"/>
          <w:szCs w:val="23"/>
        </w:rPr>
      </w:pPr>
    </w:p>
    <w:p w14:paraId="78157765" w14:textId="51CBFD3F" w:rsidR="00327FE1" w:rsidRPr="00BE2341" w:rsidRDefault="00327FE1" w:rsidP="00327FE1">
      <w:pPr>
        <w:spacing w:after="180"/>
        <w:rPr>
          <w:rFonts w:eastAsia="Times New Roman" w:cstheme="minorHAnsi"/>
          <w:color w:val="000000"/>
          <w:sz w:val="23"/>
          <w:szCs w:val="23"/>
        </w:rPr>
      </w:pPr>
      <w:r w:rsidRPr="00BE2341">
        <w:rPr>
          <w:rFonts w:eastAsia="Times New Roman" w:cstheme="minorHAnsi"/>
          <w:color w:val="000000"/>
          <w:sz w:val="23"/>
          <w:szCs w:val="23"/>
        </w:rPr>
        <w:t>Mr.  William Wagener, Chairman &amp; CEO</w:t>
      </w:r>
    </w:p>
    <w:p w14:paraId="6A926755" w14:textId="77777777" w:rsidR="00327FE1" w:rsidRPr="00BE2341" w:rsidRDefault="00327FE1" w:rsidP="00327FE1">
      <w:pPr>
        <w:spacing w:after="0"/>
        <w:rPr>
          <w:rFonts w:eastAsia="Times New Roman" w:cstheme="minorHAnsi"/>
          <w:i/>
          <w:iCs/>
          <w:color w:val="000000"/>
          <w:sz w:val="23"/>
          <w:szCs w:val="23"/>
        </w:rPr>
      </w:pPr>
      <w:r w:rsidRPr="00BE2341">
        <w:rPr>
          <w:rFonts w:eastAsia="Times New Roman" w:cstheme="minorHAnsi"/>
          <w:color w:val="000000"/>
          <w:sz w:val="23"/>
          <w:szCs w:val="23"/>
        </w:rPr>
        <w:t>Getchell Gold Corp.</w:t>
      </w:r>
      <w:r w:rsidRPr="00BE2341">
        <w:rPr>
          <w:rFonts w:eastAsia="Times New Roman" w:cstheme="minorHAnsi"/>
          <w:color w:val="000000"/>
          <w:sz w:val="23"/>
          <w:szCs w:val="23"/>
        </w:rPr>
        <w:br/>
      </w:r>
    </w:p>
    <w:p w14:paraId="0D931BA6" w14:textId="3F7D1C25"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The Canadian Securities Exchange has not reviewed this press release and does not accept responsibility for the adequacy or accuracy of this news release.</w:t>
      </w:r>
    </w:p>
    <w:p w14:paraId="5F9854C4" w14:textId="77777777"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p>
    <w:p w14:paraId="153C791D" w14:textId="4600F673" w:rsidR="008D6EF6"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 xml:space="preserve">Certain information contained herein constitutes “forward-looking information” under Canadian securities legislation.  Forward-looking information includes, but is not limited to, statements with respect to the use of proceeds.  Generally, forward-looking information can be identified </w:t>
      </w:r>
      <w:proofErr w:type="gramStart"/>
      <w:r w:rsidRPr="00E12F2E">
        <w:rPr>
          <w:rFonts w:asciiTheme="minorHAnsi" w:hAnsiTheme="minorHAnsi" w:cstheme="minorHAnsi"/>
          <w:i/>
          <w:iCs/>
          <w:color w:val="404040" w:themeColor="text1" w:themeTint="BF"/>
          <w:sz w:val="21"/>
          <w:szCs w:val="21"/>
        </w:rPr>
        <w:t>by the use of</w:t>
      </w:r>
      <w:proofErr w:type="gramEnd"/>
      <w:r w:rsidRPr="00E12F2E">
        <w:rPr>
          <w:rFonts w:asciiTheme="minorHAnsi" w:hAnsiTheme="minorHAnsi" w:cstheme="minorHAnsi"/>
          <w:i/>
          <w:iCs/>
          <w:color w:val="404040" w:themeColor="text1" w:themeTint="BF"/>
          <w:sz w:val="21"/>
          <w:szCs w:val="21"/>
        </w:rPr>
        <w:t xml:space="preserve"> forward-looking terminology such as “will” or variations of such words and phrases or statements that certain actions, events or results “will” occur.  Forward-looking statements are based on the opinions and estimates of management as of the date such statements are </w:t>
      </w:r>
      <w:proofErr w:type="gramStart"/>
      <w:r w:rsidRPr="00E12F2E">
        <w:rPr>
          <w:rFonts w:asciiTheme="minorHAnsi" w:hAnsiTheme="minorHAnsi" w:cstheme="minorHAnsi"/>
          <w:i/>
          <w:iCs/>
          <w:color w:val="404040" w:themeColor="text1" w:themeTint="BF"/>
          <w:sz w:val="21"/>
          <w:szCs w:val="21"/>
        </w:rPr>
        <w:t>made</w:t>
      </w:r>
      <w:proofErr w:type="gramEnd"/>
      <w:r w:rsidRPr="00E12F2E">
        <w:rPr>
          <w:rFonts w:asciiTheme="minorHAnsi" w:hAnsiTheme="minorHAnsi" w:cstheme="minorHAnsi"/>
          <w:i/>
          <w:iCs/>
          <w:color w:val="404040" w:themeColor="text1" w:themeTint="BF"/>
          <w:sz w:val="21"/>
          <w:szCs w:val="21"/>
        </w:rPr>
        <w:t xml:space="preserve"> and they are subject to known and unknown risks, uncertainties and other factors that may cause the actual results to be materially different from those expressed or implied by such forward-looking statements or forward-looking information</w:t>
      </w:r>
      <w:r w:rsidR="00004AB4">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Although management of Getchell have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Accordingly, readers should not place undue reliance on forward-looking statements and forward-looking information.  The Company will not update any forward-looking statements or forward-looking information that are incorporated by reference herein, except as required by applicable securities laws.</w:t>
      </w:r>
    </w:p>
    <w:sectPr w:rsidR="008D6EF6" w:rsidRPr="00E12F2E" w:rsidSect="003C101B">
      <w:headerReference w:type="default" r:id="rId17"/>
      <w:footerReference w:type="even" r:id="rId18"/>
      <w:footerReference w:type="default" r:id="rId19"/>
      <w:footerReference w:type="first" r:id="rId20"/>
      <w:pgSz w:w="12240" w:h="15840"/>
      <w:pgMar w:top="1843" w:right="1440" w:bottom="851" w:left="1440" w:header="426" w:footer="5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04B55" w14:textId="77777777" w:rsidR="00D30140" w:rsidRDefault="00D30140">
      <w:pPr>
        <w:spacing w:after="0" w:line="240" w:lineRule="auto"/>
      </w:pPr>
      <w:r>
        <w:separator/>
      </w:r>
    </w:p>
  </w:endnote>
  <w:endnote w:type="continuationSeparator" w:id="0">
    <w:p w14:paraId="63406661" w14:textId="77777777" w:rsidR="00D30140" w:rsidRDefault="00D30140">
      <w:pPr>
        <w:spacing w:after="0" w:line="240" w:lineRule="auto"/>
      </w:pPr>
      <w:r>
        <w:continuationSeparator/>
      </w:r>
    </w:p>
  </w:endnote>
  <w:endnote w:type="continuationNotice" w:id="1">
    <w:p w14:paraId="1A548E3A" w14:textId="77777777" w:rsidR="00D30140" w:rsidRDefault="00D30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E00"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5165"/>
      <w:docPartObj>
        <w:docPartGallery w:val="Page Numbers (Bottom of Page)"/>
        <w:docPartUnique/>
      </w:docPartObj>
    </w:sdtPr>
    <w:sdtEndPr>
      <w:rPr>
        <w:noProof/>
      </w:rPr>
    </w:sdtEndPr>
    <w:sdtContent>
      <w:p w14:paraId="47490E4F" w14:textId="76ED3603" w:rsidR="008D6EF6" w:rsidRDefault="008D6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B048DD" w14:textId="77777777" w:rsidR="008D6EF6" w:rsidRPr="000C1A9A" w:rsidRDefault="008D6EF6" w:rsidP="008D6EF6">
    <w:pPr>
      <w:pStyle w:val="Footer"/>
      <w:rPr>
        <w:rFonts w:ascii="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2A3"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1B23" w14:textId="77777777" w:rsidR="00D30140" w:rsidRDefault="00D30140">
      <w:pPr>
        <w:spacing w:after="0" w:line="240" w:lineRule="auto"/>
      </w:pPr>
      <w:r>
        <w:separator/>
      </w:r>
    </w:p>
  </w:footnote>
  <w:footnote w:type="continuationSeparator" w:id="0">
    <w:p w14:paraId="3AECE855" w14:textId="77777777" w:rsidR="00D30140" w:rsidRDefault="00D30140">
      <w:pPr>
        <w:spacing w:after="0" w:line="240" w:lineRule="auto"/>
      </w:pPr>
      <w:r>
        <w:continuationSeparator/>
      </w:r>
    </w:p>
  </w:footnote>
  <w:footnote w:type="continuationNotice" w:id="1">
    <w:p w14:paraId="01BEA91B" w14:textId="77777777" w:rsidR="00D30140" w:rsidRDefault="00D30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4AA3" w14:textId="6B22EED0" w:rsidR="008D6EF6" w:rsidRDefault="001E4C11" w:rsidP="008D6EF6">
    <w:pPr>
      <w:pStyle w:val="Header"/>
      <w:jc w:val="center"/>
    </w:pPr>
    <w:r>
      <w:rPr>
        <w:noProof/>
      </w:rPr>
      <w:drawing>
        <wp:anchor distT="0" distB="0" distL="114300" distR="114300" simplePos="0" relativeHeight="251658240" behindDoc="0" locked="0" layoutInCell="1" allowOverlap="1" wp14:anchorId="36308BA9" wp14:editId="39D66DD9">
          <wp:simplePos x="0" y="0"/>
          <wp:positionH relativeFrom="column">
            <wp:posOffset>-421684</wp:posOffset>
          </wp:positionH>
          <wp:positionV relativeFrom="paragraph">
            <wp:posOffset>-116840</wp:posOffset>
          </wp:positionV>
          <wp:extent cx="850456" cy="870662"/>
          <wp:effectExtent l="0" t="0" r="6985" b="571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0456" cy="870662"/>
                  </a:xfrm>
                  <a:prstGeom prst="rect">
                    <a:avLst/>
                  </a:prstGeom>
                </pic:spPr>
              </pic:pic>
            </a:graphicData>
          </a:graphic>
          <wp14:sizeRelH relativeFrom="margin">
            <wp14:pctWidth>0</wp14:pctWidth>
          </wp14:sizeRelH>
          <wp14:sizeRelV relativeFrom="margin">
            <wp14:pctHeight>0</wp14:pctHeight>
          </wp14:sizeRelV>
        </wp:anchor>
      </w:drawing>
    </w:r>
  </w:p>
  <w:p w14:paraId="6CA114BE" w14:textId="4CB6B642" w:rsidR="008D6EF6" w:rsidRPr="0052247D" w:rsidRDefault="0052247D" w:rsidP="0052247D">
    <w:pPr>
      <w:pStyle w:val="Header"/>
      <w:tabs>
        <w:tab w:val="left" w:pos="8193"/>
      </w:tabs>
      <w:jc w:val="center"/>
      <w:rPr>
        <w:b/>
        <w:bCs/>
        <w:color w:val="B49200"/>
      </w:rPr>
    </w:pPr>
    <w:r>
      <w:tab/>
    </w:r>
    <w:r>
      <w:tab/>
    </w:r>
    <w:r w:rsidRPr="0052247D">
      <w:rPr>
        <w:b/>
        <w:bCs/>
        <w:color w:val="B49200"/>
      </w:rPr>
      <w:t>CSE: GTCH</w:t>
    </w:r>
  </w:p>
  <w:p w14:paraId="4AA59FC2" w14:textId="0F46B6E0" w:rsidR="0052247D" w:rsidRDefault="0052247D" w:rsidP="0052247D">
    <w:pPr>
      <w:pStyle w:val="Header"/>
      <w:jc w:val="center"/>
    </w:pPr>
    <w:r>
      <w:tab/>
    </w:r>
    <w:r>
      <w:tab/>
    </w:r>
    <w:r w:rsidRPr="0052247D">
      <w:rPr>
        <w:b/>
        <w:bCs/>
        <w:color w:val="B49200"/>
      </w:rPr>
      <w:t>OTCQB: GGLDF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18"/>
    <w:multiLevelType w:val="hybridMultilevel"/>
    <w:tmpl w:val="68D05EAC"/>
    <w:lvl w:ilvl="0" w:tplc="44C0E1A6">
      <w:start w:val="1"/>
      <w:numFmt w:val="decimal"/>
      <w:lvlText w:val="%1."/>
      <w:lvlJc w:val="left"/>
      <w:pPr>
        <w:ind w:left="720" w:hanging="360"/>
      </w:pPr>
    </w:lvl>
    <w:lvl w:ilvl="1" w:tplc="3FB0C098" w:tentative="1">
      <w:start w:val="1"/>
      <w:numFmt w:val="lowerLetter"/>
      <w:lvlText w:val="%2."/>
      <w:lvlJc w:val="left"/>
      <w:pPr>
        <w:ind w:left="1440" w:hanging="360"/>
      </w:pPr>
    </w:lvl>
    <w:lvl w:ilvl="2" w:tplc="36C458E0" w:tentative="1">
      <w:start w:val="1"/>
      <w:numFmt w:val="lowerRoman"/>
      <w:lvlText w:val="%3."/>
      <w:lvlJc w:val="right"/>
      <w:pPr>
        <w:ind w:left="2160" w:hanging="180"/>
      </w:pPr>
    </w:lvl>
    <w:lvl w:ilvl="3" w:tplc="FC7E24A8" w:tentative="1">
      <w:start w:val="1"/>
      <w:numFmt w:val="decimal"/>
      <w:lvlText w:val="%4."/>
      <w:lvlJc w:val="left"/>
      <w:pPr>
        <w:ind w:left="2880" w:hanging="360"/>
      </w:pPr>
    </w:lvl>
    <w:lvl w:ilvl="4" w:tplc="C9041E88" w:tentative="1">
      <w:start w:val="1"/>
      <w:numFmt w:val="lowerLetter"/>
      <w:lvlText w:val="%5."/>
      <w:lvlJc w:val="left"/>
      <w:pPr>
        <w:ind w:left="3600" w:hanging="360"/>
      </w:pPr>
    </w:lvl>
    <w:lvl w:ilvl="5" w:tplc="BA3E7FB4" w:tentative="1">
      <w:start w:val="1"/>
      <w:numFmt w:val="lowerRoman"/>
      <w:lvlText w:val="%6."/>
      <w:lvlJc w:val="right"/>
      <w:pPr>
        <w:ind w:left="4320" w:hanging="180"/>
      </w:pPr>
    </w:lvl>
    <w:lvl w:ilvl="6" w:tplc="A0DA44B0" w:tentative="1">
      <w:start w:val="1"/>
      <w:numFmt w:val="decimal"/>
      <w:lvlText w:val="%7."/>
      <w:lvlJc w:val="left"/>
      <w:pPr>
        <w:ind w:left="5040" w:hanging="360"/>
      </w:pPr>
    </w:lvl>
    <w:lvl w:ilvl="7" w:tplc="8C4E00B2" w:tentative="1">
      <w:start w:val="1"/>
      <w:numFmt w:val="lowerLetter"/>
      <w:lvlText w:val="%8."/>
      <w:lvlJc w:val="left"/>
      <w:pPr>
        <w:ind w:left="5760" w:hanging="360"/>
      </w:pPr>
    </w:lvl>
    <w:lvl w:ilvl="8" w:tplc="0E7E7E3A" w:tentative="1">
      <w:start w:val="1"/>
      <w:numFmt w:val="lowerRoman"/>
      <w:lvlText w:val="%9."/>
      <w:lvlJc w:val="right"/>
      <w:pPr>
        <w:ind w:left="6480" w:hanging="180"/>
      </w:pPr>
    </w:lvl>
  </w:abstractNum>
  <w:abstractNum w:abstractNumId="1" w15:restartNumberingAfterBreak="0">
    <w:nsid w:val="06BF7EA9"/>
    <w:multiLevelType w:val="hybridMultilevel"/>
    <w:tmpl w:val="6BCC0BF4"/>
    <w:lvl w:ilvl="0" w:tplc="C8E6ADA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913E4"/>
    <w:multiLevelType w:val="hybridMultilevel"/>
    <w:tmpl w:val="16A2CE3A"/>
    <w:lvl w:ilvl="0" w:tplc="35D22C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8A6BA9"/>
    <w:multiLevelType w:val="hybridMultilevel"/>
    <w:tmpl w:val="EB466900"/>
    <w:lvl w:ilvl="0" w:tplc="94C492D2">
      <w:start w:val="1"/>
      <w:numFmt w:val="decimal"/>
      <w:lvlText w:val="%1.)"/>
      <w:lvlJc w:val="left"/>
      <w:pPr>
        <w:ind w:left="720" w:hanging="360"/>
      </w:pPr>
      <w:rPr>
        <w:rFonts w:asciiTheme="minorHAnsi" w:eastAsia="Times New Roman"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D66CBC"/>
    <w:multiLevelType w:val="hybridMultilevel"/>
    <w:tmpl w:val="8032A08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5" w15:restartNumberingAfterBreak="0">
    <w:nsid w:val="0EBF54EB"/>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45D95"/>
    <w:multiLevelType w:val="hybridMultilevel"/>
    <w:tmpl w:val="C6D687BE"/>
    <w:lvl w:ilvl="0" w:tplc="861ECBBC">
      <w:start w:val="1"/>
      <w:numFmt w:val="lowerRoman"/>
      <w:lvlText w:val="%1)"/>
      <w:lvlJc w:val="left"/>
      <w:pPr>
        <w:ind w:left="768" w:hanging="360"/>
      </w:pPr>
      <w:rPr>
        <w:rFonts w:hint="default"/>
        <w:sz w:val="22"/>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7" w15:restartNumberingAfterBreak="0">
    <w:nsid w:val="15407FAE"/>
    <w:multiLevelType w:val="hybridMultilevel"/>
    <w:tmpl w:val="0A420694"/>
    <w:lvl w:ilvl="0" w:tplc="33FA89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D06E52"/>
    <w:multiLevelType w:val="hybridMultilevel"/>
    <w:tmpl w:val="2C285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2743CF"/>
    <w:multiLevelType w:val="hybridMultilevel"/>
    <w:tmpl w:val="657E32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21322D"/>
    <w:multiLevelType w:val="hybridMultilevel"/>
    <w:tmpl w:val="4A260384"/>
    <w:lvl w:ilvl="0" w:tplc="DE9A4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AB2C29"/>
    <w:multiLevelType w:val="hybridMultilevel"/>
    <w:tmpl w:val="DC7067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6530577"/>
    <w:multiLevelType w:val="hybridMultilevel"/>
    <w:tmpl w:val="FD80D17E"/>
    <w:lvl w:ilvl="0" w:tplc="14767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95D1C36"/>
    <w:multiLevelType w:val="hybridMultilevel"/>
    <w:tmpl w:val="E05A7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A9728EE"/>
    <w:multiLevelType w:val="hybridMultilevel"/>
    <w:tmpl w:val="E74A875E"/>
    <w:lvl w:ilvl="0" w:tplc="6E2C0154">
      <w:start w:val="1"/>
      <w:numFmt w:val="decimal"/>
      <w:lvlText w:val="%1."/>
      <w:lvlJc w:val="left"/>
      <w:pPr>
        <w:ind w:left="781" w:hanging="360"/>
      </w:pPr>
    </w:lvl>
    <w:lvl w:ilvl="1" w:tplc="610C7BF4" w:tentative="1">
      <w:start w:val="1"/>
      <w:numFmt w:val="lowerLetter"/>
      <w:lvlText w:val="%2."/>
      <w:lvlJc w:val="left"/>
      <w:pPr>
        <w:ind w:left="1501" w:hanging="360"/>
      </w:pPr>
    </w:lvl>
    <w:lvl w:ilvl="2" w:tplc="E43A0B00" w:tentative="1">
      <w:start w:val="1"/>
      <w:numFmt w:val="lowerRoman"/>
      <w:lvlText w:val="%3."/>
      <w:lvlJc w:val="right"/>
      <w:pPr>
        <w:ind w:left="2221" w:hanging="180"/>
      </w:pPr>
    </w:lvl>
    <w:lvl w:ilvl="3" w:tplc="802CB414" w:tentative="1">
      <w:start w:val="1"/>
      <w:numFmt w:val="decimal"/>
      <w:lvlText w:val="%4."/>
      <w:lvlJc w:val="left"/>
      <w:pPr>
        <w:ind w:left="2941" w:hanging="360"/>
      </w:pPr>
    </w:lvl>
    <w:lvl w:ilvl="4" w:tplc="D152E86A" w:tentative="1">
      <w:start w:val="1"/>
      <w:numFmt w:val="lowerLetter"/>
      <w:lvlText w:val="%5."/>
      <w:lvlJc w:val="left"/>
      <w:pPr>
        <w:ind w:left="3661" w:hanging="360"/>
      </w:pPr>
    </w:lvl>
    <w:lvl w:ilvl="5" w:tplc="D41CC69C" w:tentative="1">
      <w:start w:val="1"/>
      <w:numFmt w:val="lowerRoman"/>
      <w:lvlText w:val="%6."/>
      <w:lvlJc w:val="right"/>
      <w:pPr>
        <w:ind w:left="4381" w:hanging="180"/>
      </w:pPr>
    </w:lvl>
    <w:lvl w:ilvl="6" w:tplc="F53E134C" w:tentative="1">
      <w:start w:val="1"/>
      <w:numFmt w:val="decimal"/>
      <w:lvlText w:val="%7."/>
      <w:lvlJc w:val="left"/>
      <w:pPr>
        <w:ind w:left="5101" w:hanging="360"/>
      </w:pPr>
    </w:lvl>
    <w:lvl w:ilvl="7" w:tplc="CFE63AA6" w:tentative="1">
      <w:start w:val="1"/>
      <w:numFmt w:val="lowerLetter"/>
      <w:lvlText w:val="%8."/>
      <w:lvlJc w:val="left"/>
      <w:pPr>
        <w:ind w:left="5821" w:hanging="360"/>
      </w:pPr>
    </w:lvl>
    <w:lvl w:ilvl="8" w:tplc="5A42227C" w:tentative="1">
      <w:start w:val="1"/>
      <w:numFmt w:val="lowerRoman"/>
      <w:lvlText w:val="%9."/>
      <w:lvlJc w:val="right"/>
      <w:pPr>
        <w:ind w:left="6541" w:hanging="180"/>
      </w:pPr>
    </w:lvl>
  </w:abstractNum>
  <w:abstractNum w:abstractNumId="15" w15:restartNumberingAfterBreak="0">
    <w:nsid w:val="2E505C05"/>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031011D"/>
    <w:multiLevelType w:val="hybridMultilevel"/>
    <w:tmpl w:val="E31C632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151336F"/>
    <w:multiLevelType w:val="hybridMultilevel"/>
    <w:tmpl w:val="ED00D7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ADA6E96"/>
    <w:multiLevelType w:val="hybridMultilevel"/>
    <w:tmpl w:val="60ECC8F4"/>
    <w:lvl w:ilvl="0" w:tplc="DBAE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721E0D"/>
    <w:multiLevelType w:val="hybridMultilevel"/>
    <w:tmpl w:val="B0AC396C"/>
    <w:lvl w:ilvl="0" w:tplc="036A64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24F6CB0"/>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60A79A5"/>
    <w:multiLevelType w:val="hybridMultilevel"/>
    <w:tmpl w:val="0804CEE2"/>
    <w:lvl w:ilvl="0" w:tplc="04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9A677EF"/>
    <w:multiLevelType w:val="hybridMultilevel"/>
    <w:tmpl w:val="DF32FE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C115116"/>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C172220"/>
    <w:multiLevelType w:val="hybridMultilevel"/>
    <w:tmpl w:val="BA66620A"/>
    <w:lvl w:ilvl="0" w:tplc="98F8D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2F3681"/>
    <w:multiLevelType w:val="hybridMultilevel"/>
    <w:tmpl w:val="80025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2895DCE"/>
    <w:multiLevelType w:val="hybridMultilevel"/>
    <w:tmpl w:val="6B4223D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4B1A54"/>
    <w:multiLevelType w:val="hybridMultilevel"/>
    <w:tmpl w:val="80BE92FA"/>
    <w:lvl w:ilvl="0" w:tplc="3C18CB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B4B57AA"/>
    <w:multiLevelType w:val="hybridMultilevel"/>
    <w:tmpl w:val="B1E42DAC"/>
    <w:lvl w:ilvl="0" w:tplc="EB1658B6">
      <w:start w:val="1"/>
      <w:numFmt w:val="bullet"/>
      <w:lvlText w:val=""/>
      <w:lvlJc w:val="left"/>
      <w:pPr>
        <w:ind w:left="720" w:hanging="360"/>
      </w:pPr>
      <w:rPr>
        <w:rFonts w:ascii="Symbol" w:hAnsi="Symbol" w:hint="default"/>
      </w:rPr>
    </w:lvl>
    <w:lvl w:ilvl="1" w:tplc="A5BE0C4C" w:tentative="1">
      <w:start w:val="1"/>
      <w:numFmt w:val="bullet"/>
      <w:lvlText w:val="o"/>
      <w:lvlJc w:val="left"/>
      <w:pPr>
        <w:ind w:left="1440" w:hanging="360"/>
      </w:pPr>
      <w:rPr>
        <w:rFonts w:ascii="Courier New" w:hAnsi="Courier New" w:cs="Courier New" w:hint="default"/>
      </w:rPr>
    </w:lvl>
    <w:lvl w:ilvl="2" w:tplc="235E2FB6" w:tentative="1">
      <w:start w:val="1"/>
      <w:numFmt w:val="bullet"/>
      <w:lvlText w:val=""/>
      <w:lvlJc w:val="left"/>
      <w:pPr>
        <w:ind w:left="2160" w:hanging="360"/>
      </w:pPr>
      <w:rPr>
        <w:rFonts w:ascii="Wingdings" w:hAnsi="Wingdings" w:hint="default"/>
      </w:rPr>
    </w:lvl>
    <w:lvl w:ilvl="3" w:tplc="E7207C40" w:tentative="1">
      <w:start w:val="1"/>
      <w:numFmt w:val="bullet"/>
      <w:lvlText w:val=""/>
      <w:lvlJc w:val="left"/>
      <w:pPr>
        <w:ind w:left="2880" w:hanging="360"/>
      </w:pPr>
      <w:rPr>
        <w:rFonts w:ascii="Symbol" w:hAnsi="Symbol" w:hint="default"/>
      </w:rPr>
    </w:lvl>
    <w:lvl w:ilvl="4" w:tplc="4B44C5B4" w:tentative="1">
      <w:start w:val="1"/>
      <w:numFmt w:val="bullet"/>
      <w:lvlText w:val="o"/>
      <w:lvlJc w:val="left"/>
      <w:pPr>
        <w:ind w:left="3600" w:hanging="360"/>
      </w:pPr>
      <w:rPr>
        <w:rFonts w:ascii="Courier New" w:hAnsi="Courier New" w:cs="Courier New" w:hint="default"/>
      </w:rPr>
    </w:lvl>
    <w:lvl w:ilvl="5" w:tplc="3FA62A64" w:tentative="1">
      <w:start w:val="1"/>
      <w:numFmt w:val="bullet"/>
      <w:lvlText w:val=""/>
      <w:lvlJc w:val="left"/>
      <w:pPr>
        <w:ind w:left="4320" w:hanging="360"/>
      </w:pPr>
      <w:rPr>
        <w:rFonts w:ascii="Wingdings" w:hAnsi="Wingdings" w:hint="default"/>
      </w:rPr>
    </w:lvl>
    <w:lvl w:ilvl="6" w:tplc="97CE25BE" w:tentative="1">
      <w:start w:val="1"/>
      <w:numFmt w:val="bullet"/>
      <w:lvlText w:val=""/>
      <w:lvlJc w:val="left"/>
      <w:pPr>
        <w:ind w:left="5040" w:hanging="360"/>
      </w:pPr>
      <w:rPr>
        <w:rFonts w:ascii="Symbol" w:hAnsi="Symbol" w:hint="default"/>
      </w:rPr>
    </w:lvl>
    <w:lvl w:ilvl="7" w:tplc="742C5ED2" w:tentative="1">
      <w:start w:val="1"/>
      <w:numFmt w:val="bullet"/>
      <w:lvlText w:val="o"/>
      <w:lvlJc w:val="left"/>
      <w:pPr>
        <w:ind w:left="5760" w:hanging="360"/>
      </w:pPr>
      <w:rPr>
        <w:rFonts w:ascii="Courier New" w:hAnsi="Courier New" w:cs="Courier New" w:hint="default"/>
      </w:rPr>
    </w:lvl>
    <w:lvl w:ilvl="8" w:tplc="06F663CA" w:tentative="1">
      <w:start w:val="1"/>
      <w:numFmt w:val="bullet"/>
      <w:lvlText w:val=""/>
      <w:lvlJc w:val="left"/>
      <w:pPr>
        <w:ind w:left="6480" w:hanging="360"/>
      </w:pPr>
      <w:rPr>
        <w:rFonts w:ascii="Wingdings" w:hAnsi="Wingdings" w:hint="default"/>
      </w:rPr>
    </w:lvl>
  </w:abstractNum>
  <w:abstractNum w:abstractNumId="29" w15:restartNumberingAfterBreak="0">
    <w:nsid w:val="6D5702C6"/>
    <w:multiLevelType w:val="hybridMultilevel"/>
    <w:tmpl w:val="21169DEA"/>
    <w:lvl w:ilvl="0" w:tplc="9482D572">
      <w:start w:val="1"/>
      <w:numFmt w:val="bullet"/>
      <w:lvlText w:val=""/>
      <w:lvlJc w:val="left"/>
      <w:pPr>
        <w:ind w:left="781" w:hanging="360"/>
      </w:pPr>
      <w:rPr>
        <w:rFonts w:ascii="Symbol" w:hAnsi="Symbol" w:hint="default"/>
      </w:rPr>
    </w:lvl>
    <w:lvl w:ilvl="1" w:tplc="F63E5DE2" w:tentative="1">
      <w:start w:val="1"/>
      <w:numFmt w:val="bullet"/>
      <w:lvlText w:val="o"/>
      <w:lvlJc w:val="left"/>
      <w:pPr>
        <w:ind w:left="1501" w:hanging="360"/>
      </w:pPr>
      <w:rPr>
        <w:rFonts w:ascii="Courier New" w:hAnsi="Courier New" w:cs="Courier New" w:hint="default"/>
      </w:rPr>
    </w:lvl>
    <w:lvl w:ilvl="2" w:tplc="3F9249B8" w:tentative="1">
      <w:start w:val="1"/>
      <w:numFmt w:val="bullet"/>
      <w:lvlText w:val=""/>
      <w:lvlJc w:val="left"/>
      <w:pPr>
        <w:ind w:left="2221" w:hanging="360"/>
      </w:pPr>
      <w:rPr>
        <w:rFonts w:ascii="Wingdings" w:hAnsi="Wingdings" w:hint="default"/>
      </w:rPr>
    </w:lvl>
    <w:lvl w:ilvl="3" w:tplc="66289F10" w:tentative="1">
      <w:start w:val="1"/>
      <w:numFmt w:val="bullet"/>
      <w:lvlText w:val=""/>
      <w:lvlJc w:val="left"/>
      <w:pPr>
        <w:ind w:left="2941" w:hanging="360"/>
      </w:pPr>
      <w:rPr>
        <w:rFonts w:ascii="Symbol" w:hAnsi="Symbol" w:hint="default"/>
      </w:rPr>
    </w:lvl>
    <w:lvl w:ilvl="4" w:tplc="A5CC373A" w:tentative="1">
      <w:start w:val="1"/>
      <w:numFmt w:val="bullet"/>
      <w:lvlText w:val="o"/>
      <w:lvlJc w:val="left"/>
      <w:pPr>
        <w:ind w:left="3661" w:hanging="360"/>
      </w:pPr>
      <w:rPr>
        <w:rFonts w:ascii="Courier New" w:hAnsi="Courier New" w:cs="Courier New" w:hint="default"/>
      </w:rPr>
    </w:lvl>
    <w:lvl w:ilvl="5" w:tplc="2146D7F2" w:tentative="1">
      <w:start w:val="1"/>
      <w:numFmt w:val="bullet"/>
      <w:lvlText w:val=""/>
      <w:lvlJc w:val="left"/>
      <w:pPr>
        <w:ind w:left="4381" w:hanging="360"/>
      </w:pPr>
      <w:rPr>
        <w:rFonts w:ascii="Wingdings" w:hAnsi="Wingdings" w:hint="default"/>
      </w:rPr>
    </w:lvl>
    <w:lvl w:ilvl="6" w:tplc="10AE443E" w:tentative="1">
      <w:start w:val="1"/>
      <w:numFmt w:val="bullet"/>
      <w:lvlText w:val=""/>
      <w:lvlJc w:val="left"/>
      <w:pPr>
        <w:ind w:left="5101" w:hanging="360"/>
      </w:pPr>
      <w:rPr>
        <w:rFonts w:ascii="Symbol" w:hAnsi="Symbol" w:hint="default"/>
      </w:rPr>
    </w:lvl>
    <w:lvl w:ilvl="7" w:tplc="50D2EF0C" w:tentative="1">
      <w:start w:val="1"/>
      <w:numFmt w:val="bullet"/>
      <w:lvlText w:val="o"/>
      <w:lvlJc w:val="left"/>
      <w:pPr>
        <w:ind w:left="5821" w:hanging="360"/>
      </w:pPr>
      <w:rPr>
        <w:rFonts w:ascii="Courier New" w:hAnsi="Courier New" w:cs="Courier New" w:hint="default"/>
      </w:rPr>
    </w:lvl>
    <w:lvl w:ilvl="8" w:tplc="242E82AC" w:tentative="1">
      <w:start w:val="1"/>
      <w:numFmt w:val="bullet"/>
      <w:lvlText w:val=""/>
      <w:lvlJc w:val="left"/>
      <w:pPr>
        <w:ind w:left="6541" w:hanging="360"/>
      </w:pPr>
      <w:rPr>
        <w:rFonts w:ascii="Wingdings" w:hAnsi="Wingdings" w:hint="default"/>
      </w:rPr>
    </w:lvl>
  </w:abstractNum>
  <w:abstractNum w:abstractNumId="30" w15:restartNumberingAfterBreak="0">
    <w:nsid w:val="6F026FB0"/>
    <w:multiLevelType w:val="hybridMultilevel"/>
    <w:tmpl w:val="6786D72A"/>
    <w:lvl w:ilvl="0" w:tplc="AA983D1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5B03F4C"/>
    <w:multiLevelType w:val="hybridMultilevel"/>
    <w:tmpl w:val="E9A02B9E"/>
    <w:lvl w:ilvl="0" w:tplc="2BF6F8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1B1D37"/>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84306117">
    <w:abstractNumId w:val="0"/>
  </w:num>
  <w:num w:numId="2" w16cid:durableId="1627080911">
    <w:abstractNumId w:val="28"/>
  </w:num>
  <w:num w:numId="3" w16cid:durableId="1717117207">
    <w:abstractNumId w:val="14"/>
  </w:num>
  <w:num w:numId="4" w16cid:durableId="391929593">
    <w:abstractNumId w:val="29"/>
  </w:num>
  <w:num w:numId="5" w16cid:durableId="1355955744">
    <w:abstractNumId w:val="1"/>
  </w:num>
  <w:num w:numId="6" w16cid:durableId="158620951">
    <w:abstractNumId w:val="19"/>
  </w:num>
  <w:num w:numId="7" w16cid:durableId="1085566933">
    <w:abstractNumId w:val="21"/>
  </w:num>
  <w:num w:numId="8" w16cid:durableId="1997492836">
    <w:abstractNumId w:val="25"/>
  </w:num>
  <w:num w:numId="9" w16cid:durableId="1801612822">
    <w:abstractNumId w:val="11"/>
  </w:num>
  <w:num w:numId="10" w16cid:durableId="1618681091">
    <w:abstractNumId w:val="22"/>
  </w:num>
  <w:num w:numId="11" w16cid:durableId="383331711">
    <w:abstractNumId w:val="8"/>
  </w:num>
  <w:num w:numId="12" w16cid:durableId="1579629518">
    <w:abstractNumId w:val="16"/>
  </w:num>
  <w:num w:numId="13" w16cid:durableId="1537504699">
    <w:abstractNumId w:val="17"/>
  </w:num>
  <w:num w:numId="14" w16cid:durableId="822621872">
    <w:abstractNumId w:val="26"/>
  </w:num>
  <w:num w:numId="15" w16cid:durableId="1467628401">
    <w:abstractNumId w:val="30"/>
  </w:num>
  <w:num w:numId="16" w16cid:durableId="817307303">
    <w:abstractNumId w:val="17"/>
  </w:num>
  <w:num w:numId="17" w16cid:durableId="369109691">
    <w:abstractNumId w:val="13"/>
  </w:num>
  <w:num w:numId="18" w16cid:durableId="1437292990">
    <w:abstractNumId w:val="10"/>
  </w:num>
  <w:num w:numId="19" w16cid:durableId="1939480656">
    <w:abstractNumId w:val="2"/>
  </w:num>
  <w:num w:numId="20" w16cid:durableId="611061275">
    <w:abstractNumId w:val="15"/>
  </w:num>
  <w:num w:numId="21" w16cid:durableId="514999695">
    <w:abstractNumId w:val="27"/>
  </w:num>
  <w:num w:numId="22" w16cid:durableId="276376322">
    <w:abstractNumId w:val="13"/>
  </w:num>
  <w:num w:numId="23" w16cid:durableId="343868721">
    <w:abstractNumId w:val="23"/>
  </w:num>
  <w:num w:numId="24" w16cid:durableId="1827814639">
    <w:abstractNumId w:val="5"/>
  </w:num>
  <w:num w:numId="25" w16cid:durableId="239564877">
    <w:abstractNumId w:val="20"/>
  </w:num>
  <w:num w:numId="26" w16cid:durableId="117647744">
    <w:abstractNumId w:val="32"/>
  </w:num>
  <w:num w:numId="27" w16cid:durableId="2134250362">
    <w:abstractNumId w:val="24"/>
  </w:num>
  <w:num w:numId="28" w16cid:durableId="624897100">
    <w:abstractNumId w:val="4"/>
  </w:num>
  <w:num w:numId="29" w16cid:durableId="935985474">
    <w:abstractNumId w:val="6"/>
  </w:num>
  <w:num w:numId="30" w16cid:durableId="504784106">
    <w:abstractNumId w:val="3"/>
  </w:num>
  <w:num w:numId="31" w16cid:durableId="1120997170">
    <w:abstractNumId w:val="12"/>
  </w:num>
  <w:num w:numId="32" w16cid:durableId="1627196182">
    <w:abstractNumId w:val="18"/>
  </w:num>
  <w:num w:numId="33" w16cid:durableId="1772427735">
    <w:abstractNumId w:val="31"/>
  </w:num>
  <w:num w:numId="34" w16cid:durableId="1422484290">
    <w:abstractNumId w:val="9"/>
  </w:num>
  <w:num w:numId="35" w16cid:durableId="11243455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20"/>
    <w:rsid w:val="00004AB4"/>
    <w:rsid w:val="00010182"/>
    <w:rsid w:val="000124C4"/>
    <w:rsid w:val="0001370E"/>
    <w:rsid w:val="00014038"/>
    <w:rsid w:val="00016D16"/>
    <w:rsid w:val="00016E19"/>
    <w:rsid w:val="00017ACD"/>
    <w:rsid w:val="000200EF"/>
    <w:rsid w:val="00020822"/>
    <w:rsid w:val="00021BC1"/>
    <w:rsid w:val="00023128"/>
    <w:rsid w:val="000233E4"/>
    <w:rsid w:val="00023E9A"/>
    <w:rsid w:val="00024E14"/>
    <w:rsid w:val="00025B0E"/>
    <w:rsid w:val="00030162"/>
    <w:rsid w:val="0003041A"/>
    <w:rsid w:val="00031857"/>
    <w:rsid w:val="00031A3A"/>
    <w:rsid w:val="00031F25"/>
    <w:rsid w:val="00033B3D"/>
    <w:rsid w:val="00034F78"/>
    <w:rsid w:val="00035FB4"/>
    <w:rsid w:val="000400CD"/>
    <w:rsid w:val="000404E5"/>
    <w:rsid w:val="00040A89"/>
    <w:rsid w:val="000418CF"/>
    <w:rsid w:val="000439E5"/>
    <w:rsid w:val="00051B96"/>
    <w:rsid w:val="00052A67"/>
    <w:rsid w:val="00052D42"/>
    <w:rsid w:val="00054547"/>
    <w:rsid w:val="00055233"/>
    <w:rsid w:val="000562A0"/>
    <w:rsid w:val="00063A62"/>
    <w:rsid w:val="000660BF"/>
    <w:rsid w:val="00066873"/>
    <w:rsid w:val="00066EB4"/>
    <w:rsid w:val="00067397"/>
    <w:rsid w:val="00072766"/>
    <w:rsid w:val="000763E8"/>
    <w:rsid w:val="00080290"/>
    <w:rsid w:val="00085DF9"/>
    <w:rsid w:val="00086F0B"/>
    <w:rsid w:val="00093952"/>
    <w:rsid w:val="00093B4B"/>
    <w:rsid w:val="000947F2"/>
    <w:rsid w:val="00096F2F"/>
    <w:rsid w:val="00097AA7"/>
    <w:rsid w:val="000A129E"/>
    <w:rsid w:val="000A420B"/>
    <w:rsid w:val="000A5AF8"/>
    <w:rsid w:val="000A5E32"/>
    <w:rsid w:val="000A6376"/>
    <w:rsid w:val="000A6850"/>
    <w:rsid w:val="000B1C04"/>
    <w:rsid w:val="000B48BF"/>
    <w:rsid w:val="000B63DB"/>
    <w:rsid w:val="000B669E"/>
    <w:rsid w:val="000B670D"/>
    <w:rsid w:val="000B75B6"/>
    <w:rsid w:val="000C00C5"/>
    <w:rsid w:val="000C0A66"/>
    <w:rsid w:val="000C2D37"/>
    <w:rsid w:val="000C44CB"/>
    <w:rsid w:val="000C7F29"/>
    <w:rsid w:val="000D05F8"/>
    <w:rsid w:val="000D0D8F"/>
    <w:rsid w:val="000D16FB"/>
    <w:rsid w:val="000D497F"/>
    <w:rsid w:val="000D4D6D"/>
    <w:rsid w:val="000E136A"/>
    <w:rsid w:val="000E13A0"/>
    <w:rsid w:val="000E1989"/>
    <w:rsid w:val="000E44D9"/>
    <w:rsid w:val="000E4C71"/>
    <w:rsid w:val="000E549A"/>
    <w:rsid w:val="000E648B"/>
    <w:rsid w:val="000F0B47"/>
    <w:rsid w:val="000F4063"/>
    <w:rsid w:val="000F53ED"/>
    <w:rsid w:val="000F62B3"/>
    <w:rsid w:val="000F71C5"/>
    <w:rsid w:val="000F79AA"/>
    <w:rsid w:val="001016E3"/>
    <w:rsid w:val="00103561"/>
    <w:rsid w:val="00103CCD"/>
    <w:rsid w:val="00103DE2"/>
    <w:rsid w:val="00104309"/>
    <w:rsid w:val="001071EA"/>
    <w:rsid w:val="0011054A"/>
    <w:rsid w:val="00112765"/>
    <w:rsid w:val="00112D80"/>
    <w:rsid w:val="00116D84"/>
    <w:rsid w:val="00117F7C"/>
    <w:rsid w:val="00120596"/>
    <w:rsid w:val="0012125F"/>
    <w:rsid w:val="00123433"/>
    <w:rsid w:val="00123FEF"/>
    <w:rsid w:val="00125F2E"/>
    <w:rsid w:val="00127469"/>
    <w:rsid w:val="001274BD"/>
    <w:rsid w:val="00127632"/>
    <w:rsid w:val="001313D2"/>
    <w:rsid w:val="00134032"/>
    <w:rsid w:val="001341F7"/>
    <w:rsid w:val="0013525B"/>
    <w:rsid w:val="001358CC"/>
    <w:rsid w:val="001367B8"/>
    <w:rsid w:val="00140AC6"/>
    <w:rsid w:val="0014160F"/>
    <w:rsid w:val="00142E47"/>
    <w:rsid w:val="0015099D"/>
    <w:rsid w:val="001509EA"/>
    <w:rsid w:val="00150A08"/>
    <w:rsid w:val="00150B6A"/>
    <w:rsid w:val="001521BC"/>
    <w:rsid w:val="0015280B"/>
    <w:rsid w:val="00152D46"/>
    <w:rsid w:val="00153972"/>
    <w:rsid w:val="00154032"/>
    <w:rsid w:val="001540B4"/>
    <w:rsid w:val="001543C7"/>
    <w:rsid w:val="00155B8D"/>
    <w:rsid w:val="00157290"/>
    <w:rsid w:val="00157D27"/>
    <w:rsid w:val="001611BC"/>
    <w:rsid w:val="00162B50"/>
    <w:rsid w:val="0016450B"/>
    <w:rsid w:val="0016594D"/>
    <w:rsid w:val="00165F01"/>
    <w:rsid w:val="0016733E"/>
    <w:rsid w:val="001674E0"/>
    <w:rsid w:val="00167534"/>
    <w:rsid w:val="00167DF3"/>
    <w:rsid w:val="001700CD"/>
    <w:rsid w:val="001713EE"/>
    <w:rsid w:val="00172689"/>
    <w:rsid w:val="0017292F"/>
    <w:rsid w:val="00172FAF"/>
    <w:rsid w:val="0018055C"/>
    <w:rsid w:val="00186581"/>
    <w:rsid w:val="0019020F"/>
    <w:rsid w:val="001932D9"/>
    <w:rsid w:val="00194B90"/>
    <w:rsid w:val="001955F8"/>
    <w:rsid w:val="001956FE"/>
    <w:rsid w:val="001A27A5"/>
    <w:rsid w:val="001A3DEE"/>
    <w:rsid w:val="001A4917"/>
    <w:rsid w:val="001A77B5"/>
    <w:rsid w:val="001B0344"/>
    <w:rsid w:val="001B095D"/>
    <w:rsid w:val="001B0D69"/>
    <w:rsid w:val="001B278B"/>
    <w:rsid w:val="001B2BA6"/>
    <w:rsid w:val="001B2D15"/>
    <w:rsid w:val="001B3BB3"/>
    <w:rsid w:val="001B4138"/>
    <w:rsid w:val="001B4D75"/>
    <w:rsid w:val="001B56DB"/>
    <w:rsid w:val="001B7179"/>
    <w:rsid w:val="001B79D0"/>
    <w:rsid w:val="001C25F5"/>
    <w:rsid w:val="001C34F2"/>
    <w:rsid w:val="001C3516"/>
    <w:rsid w:val="001C3FF4"/>
    <w:rsid w:val="001C4370"/>
    <w:rsid w:val="001C4FB4"/>
    <w:rsid w:val="001C5719"/>
    <w:rsid w:val="001C6640"/>
    <w:rsid w:val="001C7198"/>
    <w:rsid w:val="001C728C"/>
    <w:rsid w:val="001C72F1"/>
    <w:rsid w:val="001D01F9"/>
    <w:rsid w:val="001D1225"/>
    <w:rsid w:val="001D29A7"/>
    <w:rsid w:val="001D4219"/>
    <w:rsid w:val="001D4527"/>
    <w:rsid w:val="001D5B09"/>
    <w:rsid w:val="001D7605"/>
    <w:rsid w:val="001D7893"/>
    <w:rsid w:val="001E07FC"/>
    <w:rsid w:val="001E0A7A"/>
    <w:rsid w:val="001E0F79"/>
    <w:rsid w:val="001E18BB"/>
    <w:rsid w:val="001E2E7D"/>
    <w:rsid w:val="001E343D"/>
    <w:rsid w:val="001E3BC8"/>
    <w:rsid w:val="001E4C11"/>
    <w:rsid w:val="001E5A21"/>
    <w:rsid w:val="001E6142"/>
    <w:rsid w:val="001E78E0"/>
    <w:rsid w:val="001E7FD2"/>
    <w:rsid w:val="001F0A73"/>
    <w:rsid w:val="001F17BD"/>
    <w:rsid w:val="001F2728"/>
    <w:rsid w:val="001F7324"/>
    <w:rsid w:val="00200FA4"/>
    <w:rsid w:val="00203CC9"/>
    <w:rsid w:val="002059E9"/>
    <w:rsid w:val="00207F54"/>
    <w:rsid w:val="002139B3"/>
    <w:rsid w:val="00213B10"/>
    <w:rsid w:val="002149E9"/>
    <w:rsid w:val="00215028"/>
    <w:rsid w:val="00216951"/>
    <w:rsid w:val="00220759"/>
    <w:rsid w:val="0022186F"/>
    <w:rsid w:val="00221CB9"/>
    <w:rsid w:val="00221F03"/>
    <w:rsid w:val="00223576"/>
    <w:rsid w:val="00223EC2"/>
    <w:rsid w:val="0022538F"/>
    <w:rsid w:val="00226AE6"/>
    <w:rsid w:val="00227A6C"/>
    <w:rsid w:val="002339EE"/>
    <w:rsid w:val="00234CB8"/>
    <w:rsid w:val="00235A0C"/>
    <w:rsid w:val="0023616A"/>
    <w:rsid w:val="002375B1"/>
    <w:rsid w:val="00240515"/>
    <w:rsid w:val="00242B3B"/>
    <w:rsid w:val="002433E1"/>
    <w:rsid w:val="00244634"/>
    <w:rsid w:val="00247C8B"/>
    <w:rsid w:val="002504E0"/>
    <w:rsid w:val="00255D50"/>
    <w:rsid w:val="002578EB"/>
    <w:rsid w:val="00260F6A"/>
    <w:rsid w:val="00261897"/>
    <w:rsid w:val="00262DE6"/>
    <w:rsid w:val="00264C81"/>
    <w:rsid w:val="00265612"/>
    <w:rsid w:val="00265AFD"/>
    <w:rsid w:val="00265B95"/>
    <w:rsid w:val="00266760"/>
    <w:rsid w:val="0026692D"/>
    <w:rsid w:val="00267BB3"/>
    <w:rsid w:val="0027100E"/>
    <w:rsid w:val="00272C4C"/>
    <w:rsid w:val="00272EDC"/>
    <w:rsid w:val="00274179"/>
    <w:rsid w:val="0027432D"/>
    <w:rsid w:val="0027466A"/>
    <w:rsid w:val="002768C0"/>
    <w:rsid w:val="00277AF9"/>
    <w:rsid w:val="0028049D"/>
    <w:rsid w:val="00280882"/>
    <w:rsid w:val="00282845"/>
    <w:rsid w:val="002831F0"/>
    <w:rsid w:val="0028420F"/>
    <w:rsid w:val="00284D37"/>
    <w:rsid w:val="002900B5"/>
    <w:rsid w:val="00290F1C"/>
    <w:rsid w:val="002912C7"/>
    <w:rsid w:val="00294B57"/>
    <w:rsid w:val="00296617"/>
    <w:rsid w:val="002A0D55"/>
    <w:rsid w:val="002A1160"/>
    <w:rsid w:val="002A2FFF"/>
    <w:rsid w:val="002A370A"/>
    <w:rsid w:val="002A3ACF"/>
    <w:rsid w:val="002A7797"/>
    <w:rsid w:val="002A7804"/>
    <w:rsid w:val="002B009E"/>
    <w:rsid w:val="002B0492"/>
    <w:rsid w:val="002B0ACD"/>
    <w:rsid w:val="002B164D"/>
    <w:rsid w:val="002B4ECD"/>
    <w:rsid w:val="002B6468"/>
    <w:rsid w:val="002B68AE"/>
    <w:rsid w:val="002B6E9F"/>
    <w:rsid w:val="002B744C"/>
    <w:rsid w:val="002C0621"/>
    <w:rsid w:val="002C09AA"/>
    <w:rsid w:val="002C2B82"/>
    <w:rsid w:val="002C31FE"/>
    <w:rsid w:val="002C343D"/>
    <w:rsid w:val="002C364E"/>
    <w:rsid w:val="002C36FE"/>
    <w:rsid w:val="002C4881"/>
    <w:rsid w:val="002C7727"/>
    <w:rsid w:val="002C7F37"/>
    <w:rsid w:val="002D0230"/>
    <w:rsid w:val="002D08F5"/>
    <w:rsid w:val="002D1936"/>
    <w:rsid w:val="002D1F10"/>
    <w:rsid w:val="002D21DE"/>
    <w:rsid w:val="002D27E3"/>
    <w:rsid w:val="002D6980"/>
    <w:rsid w:val="002D6AB7"/>
    <w:rsid w:val="002D6F87"/>
    <w:rsid w:val="002D732C"/>
    <w:rsid w:val="002E048D"/>
    <w:rsid w:val="002E19FF"/>
    <w:rsid w:val="002E2DD6"/>
    <w:rsid w:val="002E5FF4"/>
    <w:rsid w:val="002F2206"/>
    <w:rsid w:val="002F630E"/>
    <w:rsid w:val="002F70BA"/>
    <w:rsid w:val="002F7F27"/>
    <w:rsid w:val="003026A3"/>
    <w:rsid w:val="00302BBE"/>
    <w:rsid w:val="00304021"/>
    <w:rsid w:val="00304514"/>
    <w:rsid w:val="003063FE"/>
    <w:rsid w:val="00306F6B"/>
    <w:rsid w:val="00307846"/>
    <w:rsid w:val="0031013B"/>
    <w:rsid w:val="0031079C"/>
    <w:rsid w:val="00312205"/>
    <w:rsid w:val="00313FBA"/>
    <w:rsid w:val="00315FC4"/>
    <w:rsid w:val="003160C8"/>
    <w:rsid w:val="00316140"/>
    <w:rsid w:val="003176DF"/>
    <w:rsid w:val="003206D3"/>
    <w:rsid w:val="003259BB"/>
    <w:rsid w:val="00325E0E"/>
    <w:rsid w:val="003262B7"/>
    <w:rsid w:val="00326B7B"/>
    <w:rsid w:val="00327109"/>
    <w:rsid w:val="00327FE1"/>
    <w:rsid w:val="003322EE"/>
    <w:rsid w:val="003326AA"/>
    <w:rsid w:val="00332914"/>
    <w:rsid w:val="00335941"/>
    <w:rsid w:val="00336937"/>
    <w:rsid w:val="00341242"/>
    <w:rsid w:val="00341832"/>
    <w:rsid w:val="00342BF9"/>
    <w:rsid w:val="00342E5D"/>
    <w:rsid w:val="00344658"/>
    <w:rsid w:val="0034550B"/>
    <w:rsid w:val="003459DA"/>
    <w:rsid w:val="0035081B"/>
    <w:rsid w:val="00351BD4"/>
    <w:rsid w:val="00356DA6"/>
    <w:rsid w:val="00361BDD"/>
    <w:rsid w:val="0036468F"/>
    <w:rsid w:val="003651BC"/>
    <w:rsid w:val="00371D90"/>
    <w:rsid w:val="00373503"/>
    <w:rsid w:val="003744A9"/>
    <w:rsid w:val="00375F16"/>
    <w:rsid w:val="0037692A"/>
    <w:rsid w:val="00376A41"/>
    <w:rsid w:val="00380364"/>
    <w:rsid w:val="00380CDB"/>
    <w:rsid w:val="00384FD9"/>
    <w:rsid w:val="003867D8"/>
    <w:rsid w:val="00391EBE"/>
    <w:rsid w:val="00393130"/>
    <w:rsid w:val="0039472E"/>
    <w:rsid w:val="003A0172"/>
    <w:rsid w:val="003A2366"/>
    <w:rsid w:val="003A33F5"/>
    <w:rsid w:val="003A3600"/>
    <w:rsid w:val="003A571C"/>
    <w:rsid w:val="003A7AD7"/>
    <w:rsid w:val="003A7E83"/>
    <w:rsid w:val="003B1612"/>
    <w:rsid w:val="003B2FF0"/>
    <w:rsid w:val="003B48F0"/>
    <w:rsid w:val="003B55C3"/>
    <w:rsid w:val="003B6978"/>
    <w:rsid w:val="003B6CD4"/>
    <w:rsid w:val="003C101B"/>
    <w:rsid w:val="003C1182"/>
    <w:rsid w:val="003C129C"/>
    <w:rsid w:val="003C1A7C"/>
    <w:rsid w:val="003C1D84"/>
    <w:rsid w:val="003C256A"/>
    <w:rsid w:val="003C2C55"/>
    <w:rsid w:val="003C4C63"/>
    <w:rsid w:val="003C602D"/>
    <w:rsid w:val="003D0720"/>
    <w:rsid w:val="003D0EC0"/>
    <w:rsid w:val="003D14CB"/>
    <w:rsid w:val="003D19D1"/>
    <w:rsid w:val="003D19DC"/>
    <w:rsid w:val="003D21B9"/>
    <w:rsid w:val="003D232F"/>
    <w:rsid w:val="003D4580"/>
    <w:rsid w:val="003D53D2"/>
    <w:rsid w:val="003D6E74"/>
    <w:rsid w:val="003D72EF"/>
    <w:rsid w:val="003E030D"/>
    <w:rsid w:val="003E032E"/>
    <w:rsid w:val="003E0B1B"/>
    <w:rsid w:val="003E25C0"/>
    <w:rsid w:val="003E405A"/>
    <w:rsid w:val="003E45E0"/>
    <w:rsid w:val="003E4AA1"/>
    <w:rsid w:val="003E6685"/>
    <w:rsid w:val="003E6CAA"/>
    <w:rsid w:val="003E717A"/>
    <w:rsid w:val="003F0C0B"/>
    <w:rsid w:val="003F5643"/>
    <w:rsid w:val="003F6541"/>
    <w:rsid w:val="003F6EA0"/>
    <w:rsid w:val="004028E7"/>
    <w:rsid w:val="004043E0"/>
    <w:rsid w:val="00404DF8"/>
    <w:rsid w:val="004059F8"/>
    <w:rsid w:val="00405DFF"/>
    <w:rsid w:val="00406623"/>
    <w:rsid w:val="004100AC"/>
    <w:rsid w:val="00412CC2"/>
    <w:rsid w:val="00414B09"/>
    <w:rsid w:val="00415CAF"/>
    <w:rsid w:val="00416F9E"/>
    <w:rsid w:val="0041777E"/>
    <w:rsid w:val="00421BB6"/>
    <w:rsid w:val="00423AE5"/>
    <w:rsid w:val="00423C64"/>
    <w:rsid w:val="004245A7"/>
    <w:rsid w:val="00425059"/>
    <w:rsid w:val="00426C10"/>
    <w:rsid w:val="00427844"/>
    <w:rsid w:val="00430C6B"/>
    <w:rsid w:val="00431473"/>
    <w:rsid w:val="00433283"/>
    <w:rsid w:val="00435B93"/>
    <w:rsid w:val="00436E99"/>
    <w:rsid w:val="0044089E"/>
    <w:rsid w:val="00441FB5"/>
    <w:rsid w:val="004424A2"/>
    <w:rsid w:val="00442A14"/>
    <w:rsid w:val="00444F32"/>
    <w:rsid w:val="00447704"/>
    <w:rsid w:val="00450713"/>
    <w:rsid w:val="00453791"/>
    <w:rsid w:val="00455096"/>
    <w:rsid w:val="00456564"/>
    <w:rsid w:val="00457B0F"/>
    <w:rsid w:val="004619D1"/>
    <w:rsid w:val="004623E0"/>
    <w:rsid w:val="004651F8"/>
    <w:rsid w:val="0047107F"/>
    <w:rsid w:val="004713C2"/>
    <w:rsid w:val="00472531"/>
    <w:rsid w:val="0047565F"/>
    <w:rsid w:val="00475E89"/>
    <w:rsid w:val="0047646F"/>
    <w:rsid w:val="00477F08"/>
    <w:rsid w:val="004800E1"/>
    <w:rsid w:val="00482B6E"/>
    <w:rsid w:val="00484C70"/>
    <w:rsid w:val="004853D3"/>
    <w:rsid w:val="00485934"/>
    <w:rsid w:val="00486EA3"/>
    <w:rsid w:val="004905C4"/>
    <w:rsid w:val="00490C12"/>
    <w:rsid w:val="00494292"/>
    <w:rsid w:val="0049442B"/>
    <w:rsid w:val="0049496D"/>
    <w:rsid w:val="004977C9"/>
    <w:rsid w:val="004A0813"/>
    <w:rsid w:val="004A14EB"/>
    <w:rsid w:val="004A1BB8"/>
    <w:rsid w:val="004A2B25"/>
    <w:rsid w:val="004A2B9B"/>
    <w:rsid w:val="004A314B"/>
    <w:rsid w:val="004A5008"/>
    <w:rsid w:val="004A6517"/>
    <w:rsid w:val="004A7D68"/>
    <w:rsid w:val="004B0271"/>
    <w:rsid w:val="004B353B"/>
    <w:rsid w:val="004B3795"/>
    <w:rsid w:val="004B4C35"/>
    <w:rsid w:val="004B6FC3"/>
    <w:rsid w:val="004B7BF7"/>
    <w:rsid w:val="004C0820"/>
    <w:rsid w:val="004C32DB"/>
    <w:rsid w:val="004C517F"/>
    <w:rsid w:val="004C6CBD"/>
    <w:rsid w:val="004C7800"/>
    <w:rsid w:val="004D120C"/>
    <w:rsid w:val="004D43D6"/>
    <w:rsid w:val="004D4DB3"/>
    <w:rsid w:val="004D5710"/>
    <w:rsid w:val="004D5D11"/>
    <w:rsid w:val="004D6E90"/>
    <w:rsid w:val="004D7804"/>
    <w:rsid w:val="004E111A"/>
    <w:rsid w:val="004E23FD"/>
    <w:rsid w:val="004E3CE7"/>
    <w:rsid w:val="004E5790"/>
    <w:rsid w:val="004E766C"/>
    <w:rsid w:val="004F2016"/>
    <w:rsid w:val="004F24D5"/>
    <w:rsid w:val="004F3372"/>
    <w:rsid w:val="004F3839"/>
    <w:rsid w:val="004F6458"/>
    <w:rsid w:val="004F6C86"/>
    <w:rsid w:val="004F6CFC"/>
    <w:rsid w:val="005003B5"/>
    <w:rsid w:val="00500957"/>
    <w:rsid w:val="005028BE"/>
    <w:rsid w:val="005033F0"/>
    <w:rsid w:val="00512527"/>
    <w:rsid w:val="00512555"/>
    <w:rsid w:val="00513CF0"/>
    <w:rsid w:val="00514A4B"/>
    <w:rsid w:val="00515F03"/>
    <w:rsid w:val="005174E9"/>
    <w:rsid w:val="005203B6"/>
    <w:rsid w:val="0052045D"/>
    <w:rsid w:val="0052247D"/>
    <w:rsid w:val="0052292D"/>
    <w:rsid w:val="005242C5"/>
    <w:rsid w:val="005264D4"/>
    <w:rsid w:val="00530E61"/>
    <w:rsid w:val="0053193D"/>
    <w:rsid w:val="00531AEB"/>
    <w:rsid w:val="005321CC"/>
    <w:rsid w:val="00532F18"/>
    <w:rsid w:val="0053333A"/>
    <w:rsid w:val="00535E8F"/>
    <w:rsid w:val="005373ED"/>
    <w:rsid w:val="005409F5"/>
    <w:rsid w:val="00541EE2"/>
    <w:rsid w:val="0054356F"/>
    <w:rsid w:val="00543FF6"/>
    <w:rsid w:val="005445D5"/>
    <w:rsid w:val="0055191D"/>
    <w:rsid w:val="00552DC3"/>
    <w:rsid w:val="00554DF0"/>
    <w:rsid w:val="005561CA"/>
    <w:rsid w:val="0056101C"/>
    <w:rsid w:val="005630F4"/>
    <w:rsid w:val="00565BAF"/>
    <w:rsid w:val="0056653C"/>
    <w:rsid w:val="005705EA"/>
    <w:rsid w:val="00571293"/>
    <w:rsid w:val="005739A2"/>
    <w:rsid w:val="005748C7"/>
    <w:rsid w:val="00574B18"/>
    <w:rsid w:val="005815CC"/>
    <w:rsid w:val="0058392E"/>
    <w:rsid w:val="005839E9"/>
    <w:rsid w:val="005850CD"/>
    <w:rsid w:val="005861CE"/>
    <w:rsid w:val="00586458"/>
    <w:rsid w:val="00586E03"/>
    <w:rsid w:val="005874DE"/>
    <w:rsid w:val="00587799"/>
    <w:rsid w:val="0059073A"/>
    <w:rsid w:val="005918F1"/>
    <w:rsid w:val="00591B9E"/>
    <w:rsid w:val="0059249B"/>
    <w:rsid w:val="00594424"/>
    <w:rsid w:val="00594504"/>
    <w:rsid w:val="00595170"/>
    <w:rsid w:val="0059691D"/>
    <w:rsid w:val="00597E10"/>
    <w:rsid w:val="005A0389"/>
    <w:rsid w:val="005A1506"/>
    <w:rsid w:val="005A17BC"/>
    <w:rsid w:val="005A2E7D"/>
    <w:rsid w:val="005A5187"/>
    <w:rsid w:val="005A5395"/>
    <w:rsid w:val="005B147F"/>
    <w:rsid w:val="005B1BFC"/>
    <w:rsid w:val="005B2036"/>
    <w:rsid w:val="005B2CD4"/>
    <w:rsid w:val="005B3497"/>
    <w:rsid w:val="005B463E"/>
    <w:rsid w:val="005B4655"/>
    <w:rsid w:val="005B6433"/>
    <w:rsid w:val="005B6818"/>
    <w:rsid w:val="005C0D64"/>
    <w:rsid w:val="005C2D68"/>
    <w:rsid w:val="005C4BED"/>
    <w:rsid w:val="005C5962"/>
    <w:rsid w:val="005C6FC0"/>
    <w:rsid w:val="005D09DB"/>
    <w:rsid w:val="005D2CC1"/>
    <w:rsid w:val="005D30C7"/>
    <w:rsid w:val="005D537D"/>
    <w:rsid w:val="005D6A78"/>
    <w:rsid w:val="005D6BC8"/>
    <w:rsid w:val="005D716F"/>
    <w:rsid w:val="005D78EE"/>
    <w:rsid w:val="005E1E3F"/>
    <w:rsid w:val="005E282F"/>
    <w:rsid w:val="005E2D2E"/>
    <w:rsid w:val="005E516E"/>
    <w:rsid w:val="005E52C7"/>
    <w:rsid w:val="005F1AE5"/>
    <w:rsid w:val="005F324C"/>
    <w:rsid w:val="005F337E"/>
    <w:rsid w:val="005F33E9"/>
    <w:rsid w:val="005F4046"/>
    <w:rsid w:val="005F6717"/>
    <w:rsid w:val="005F6835"/>
    <w:rsid w:val="005F728B"/>
    <w:rsid w:val="005F7654"/>
    <w:rsid w:val="005F77CC"/>
    <w:rsid w:val="00601D4C"/>
    <w:rsid w:val="00601E18"/>
    <w:rsid w:val="00602532"/>
    <w:rsid w:val="00602B1A"/>
    <w:rsid w:val="00602CFA"/>
    <w:rsid w:val="006033EA"/>
    <w:rsid w:val="006051F9"/>
    <w:rsid w:val="00605E6A"/>
    <w:rsid w:val="006062F4"/>
    <w:rsid w:val="006103BE"/>
    <w:rsid w:val="00610F38"/>
    <w:rsid w:val="0061240B"/>
    <w:rsid w:val="00613555"/>
    <w:rsid w:val="006145E1"/>
    <w:rsid w:val="00614A69"/>
    <w:rsid w:val="0061573D"/>
    <w:rsid w:val="00616F8B"/>
    <w:rsid w:val="0062587B"/>
    <w:rsid w:val="00627294"/>
    <w:rsid w:val="00630657"/>
    <w:rsid w:val="006307B0"/>
    <w:rsid w:val="00635717"/>
    <w:rsid w:val="006360D1"/>
    <w:rsid w:val="006423BF"/>
    <w:rsid w:val="006432D6"/>
    <w:rsid w:val="0064375C"/>
    <w:rsid w:val="0064487C"/>
    <w:rsid w:val="006453C8"/>
    <w:rsid w:val="006517E9"/>
    <w:rsid w:val="006522E6"/>
    <w:rsid w:val="00652AB9"/>
    <w:rsid w:val="00652F1A"/>
    <w:rsid w:val="00654E7A"/>
    <w:rsid w:val="00655505"/>
    <w:rsid w:val="00656E22"/>
    <w:rsid w:val="00660060"/>
    <w:rsid w:val="006609B5"/>
    <w:rsid w:val="00661FCC"/>
    <w:rsid w:val="00662A07"/>
    <w:rsid w:val="00663708"/>
    <w:rsid w:val="0066714F"/>
    <w:rsid w:val="00670A4D"/>
    <w:rsid w:val="00672489"/>
    <w:rsid w:val="006739F7"/>
    <w:rsid w:val="00673A7B"/>
    <w:rsid w:val="00675A22"/>
    <w:rsid w:val="00675EA2"/>
    <w:rsid w:val="006760F0"/>
    <w:rsid w:val="00686195"/>
    <w:rsid w:val="006873BE"/>
    <w:rsid w:val="0069023E"/>
    <w:rsid w:val="00690CD3"/>
    <w:rsid w:val="00691C25"/>
    <w:rsid w:val="00691FDA"/>
    <w:rsid w:val="00695424"/>
    <w:rsid w:val="006967FA"/>
    <w:rsid w:val="00696E23"/>
    <w:rsid w:val="00697EB6"/>
    <w:rsid w:val="006A1158"/>
    <w:rsid w:val="006A29B9"/>
    <w:rsid w:val="006A405D"/>
    <w:rsid w:val="006A6F7A"/>
    <w:rsid w:val="006B00AC"/>
    <w:rsid w:val="006B2EE3"/>
    <w:rsid w:val="006B3AC3"/>
    <w:rsid w:val="006B3DDD"/>
    <w:rsid w:val="006B6A45"/>
    <w:rsid w:val="006C09C1"/>
    <w:rsid w:val="006C0C7A"/>
    <w:rsid w:val="006C3BF3"/>
    <w:rsid w:val="006C4122"/>
    <w:rsid w:val="006C4620"/>
    <w:rsid w:val="006C4705"/>
    <w:rsid w:val="006C53BC"/>
    <w:rsid w:val="006D0EE4"/>
    <w:rsid w:val="006D1164"/>
    <w:rsid w:val="006D207E"/>
    <w:rsid w:val="006D20A6"/>
    <w:rsid w:val="006D42D8"/>
    <w:rsid w:val="006D520C"/>
    <w:rsid w:val="006D5DCB"/>
    <w:rsid w:val="006E0256"/>
    <w:rsid w:val="006E0B8E"/>
    <w:rsid w:val="006E2501"/>
    <w:rsid w:val="006E2E8D"/>
    <w:rsid w:val="006F0EBB"/>
    <w:rsid w:val="006F2456"/>
    <w:rsid w:val="006F40BB"/>
    <w:rsid w:val="006F421A"/>
    <w:rsid w:val="006F63A7"/>
    <w:rsid w:val="006F770D"/>
    <w:rsid w:val="00701B83"/>
    <w:rsid w:val="007028D6"/>
    <w:rsid w:val="00702DDC"/>
    <w:rsid w:val="00704036"/>
    <w:rsid w:val="00704CAE"/>
    <w:rsid w:val="00705435"/>
    <w:rsid w:val="007077A4"/>
    <w:rsid w:val="00713E11"/>
    <w:rsid w:val="00714E2B"/>
    <w:rsid w:val="00714E6A"/>
    <w:rsid w:val="0071568A"/>
    <w:rsid w:val="00715BCD"/>
    <w:rsid w:val="007172E9"/>
    <w:rsid w:val="0071732F"/>
    <w:rsid w:val="00717526"/>
    <w:rsid w:val="0071799B"/>
    <w:rsid w:val="00720E0B"/>
    <w:rsid w:val="00722FBD"/>
    <w:rsid w:val="00724B49"/>
    <w:rsid w:val="00725842"/>
    <w:rsid w:val="00727F7A"/>
    <w:rsid w:val="00730D8E"/>
    <w:rsid w:val="00731408"/>
    <w:rsid w:val="00731C5D"/>
    <w:rsid w:val="00731E66"/>
    <w:rsid w:val="00732F84"/>
    <w:rsid w:val="00733E5A"/>
    <w:rsid w:val="007355AE"/>
    <w:rsid w:val="00735A81"/>
    <w:rsid w:val="00735FA4"/>
    <w:rsid w:val="00736824"/>
    <w:rsid w:val="00736BF2"/>
    <w:rsid w:val="00740C05"/>
    <w:rsid w:val="007422E1"/>
    <w:rsid w:val="0074403F"/>
    <w:rsid w:val="00745AFE"/>
    <w:rsid w:val="00750D31"/>
    <w:rsid w:val="0075121B"/>
    <w:rsid w:val="00752A37"/>
    <w:rsid w:val="00755DDA"/>
    <w:rsid w:val="00756E0C"/>
    <w:rsid w:val="00757A08"/>
    <w:rsid w:val="007602C0"/>
    <w:rsid w:val="00760711"/>
    <w:rsid w:val="007608B9"/>
    <w:rsid w:val="00760933"/>
    <w:rsid w:val="00760E98"/>
    <w:rsid w:val="00764B22"/>
    <w:rsid w:val="00777756"/>
    <w:rsid w:val="0078173E"/>
    <w:rsid w:val="007939E9"/>
    <w:rsid w:val="00793B50"/>
    <w:rsid w:val="00794A07"/>
    <w:rsid w:val="00795B7A"/>
    <w:rsid w:val="007972AE"/>
    <w:rsid w:val="007A02A7"/>
    <w:rsid w:val="007A1C98"/>
    <w:rsid w:val="007A2BA3"/>
    <w:rsid w:val="007A4123"/>
    <w:rsid w:val="007A747D"/>
    <w:rsid w:val="007A7D48"/>
    <w:rsid w:val="007B1B6E"/>
    <w:rsid w:val="007B21A0"/>
    <w:rsid w:val="007B2B0E"/>
    <w:rsid w:val="007B331F"/>
    <w:rsid w:val="007B57C9"/>
    <w:rsid w:val="007B5CB6"/>
    <w:rsid w:val="007B7002"/>
    <w:rsid w:val="007B7A6C"/>
    <w:rsid w:val="007C1818"/>
    <w:rsid w:val="007C2668"/>
    <w:rsid w:val="007C39F0"/>
    <w:rsid w:val="007C4AC7"/>
    <w:rsid w:val="007C5DBE"/>
    <w:rsid w:val="007C68C5"/>
    <w:rsid w:val="007C7BCA"/>
    <w:rsid w:val="007D0EB2"/>
    <w:rsid w:val="007D4624"/>
    <w:rsid w:val="007D4FAF"/>
    <w:rsid w:val="007E0545"/>
    <w:rsid w:val="007E06BC"/>
    <w:rsid w:val="007E446A"/>
    <w:rsid w:val="007E5053"/>
    <w:rsid w:val="007E6503"/>
    <w:rsid w:val="007F156F"/>
    <w:rsid w:val="007F5BF8"/>
    <w:rsid w:val="0080143F"/>
    <w:rsid w:val="00802F9E"/>
    <w:rsid w:val="008034CD"/>
    <w:rsid w:val="0080511C"/>
    <w:rsid w:val="0080655D"/>
    <w:rsid w:val="00806821"/>
    <w:rsid w:val="00810DB4"/>
    <w:rsid w:val="008137C0"/>
    <w:rsid w:val="00813849"/>
    <w:rsid w:val="00813BAD"/>
    <w:rsid w:val="008144FC"/>
    <w:rsid w:val="008152CE"/>
    <w:rsid w:val="00815F67"/>
    <w:rsid w:val="008177C3"/>
    <w:rsid w:val="00820472"/>
    <w:rsid w:val="00821CDC"/>
    <w:rsid w:val="00821E72"/>
    <w:rsid w:val="0082352D"/>
    <w:rsid w:val="0083071E"/>
    <w:rsid w:val="00830B29"/>
    <w:rsid w:val="00836CDF"/>
    <w:rsid w:val="00837A31"/>
    <w:rsid w:val="0084224A"/>
    <w:rsid w:val="00843352"/>
    <w:rsid w:val="00844AAA"/>
    <w:rsid w:val="008450BC"/>
    <w:rsid w:val="00846FAC"/>
    <w:rsid w:val="00847E9F"/>
    <w:rsid w:val="00850D1D"/>
    <w:rsid w:val="00852CFA"/>
    <w:rsid w:val="008540C2"/>
    <w:rsid w:val="008546CE"/>
    <w:rsid w:val="00854B4F"/>
    <w:rsid w:val="00855270"/>
    <w:rsid w:val="00855FDC"/>
    <w:rsid w:val="00857D05"/>
    <w:rsid w:val="00860823"/>
    <w:rsid w:val="00860B8A"/>
    <w:rsid w:val="00860D88"/>
    <w:rsid w:val="00864F78"/>
    <w:rsid w:val="00865359"/>
    <w:rsid w:val="00865EB5"/>
    <w:rsid w:val="008676E7"/>
    <w:rsid w:val="00870C5A"/>
    <w:rsid w:val="008715C9"/>
    <w:rsid w:val="008718F8"/>
    <w:rsid w:val="00872899"/>
    <w:rsid w:val="00872EDA"/>
    <w:rsid w:val="008756F5"/>
    <w:rsid w:val="00875A7E"/>
    <w:rsid w:val="00875D15"/>
    <w:rsid w:val="008767CB"/>
    <w:rsid w:val="00880C7D"/>
    <w:rsid w:val="008827A6"/>
    <w:rsid w:val="00882F5D"/>
    <w:rsid w:val="00886D89"/>
    <w:rsid w:val="00887937"/>
    <w:rsid w:val="0088796D"/>
    <w:rsid w:val="008919A4"/>
    <w:rsid w:val="00891E83"/>
    <w:rsid w:val="00892BC0"/>
    <w:rsid w:val="008938E1"/>
    <w:rsid w:val="00893C55"/>
    <w:rsid w:val="008950FD"/>
    <w:rsid w:val="00896C10"/>
    <w:rsid w:val="00897120"/>
    <w:rsid w:val="008A021F"/>
    <w:rsid w:val="008A2137"/>
    <w:rsid w:val="008A2A8A"/>
    <w:rsid w:val="008B5658"/>
    <w:rsid w:val="008C0095"/>
    <w:rsid w:val="008C075E"/>
    <w:rsid w:val="008C0C0B"/>
    <w:rsid w:val="008C14C2"/>
    <w:rsid w:val="008C2874"/>
    <w:rsid w:val="008C5217"/>
    <w:rsid w:val="008C541A"/>
    <w:rsid w:val="008C5436"/>
    <w:rsid w:val="008C5FB9"/>
    <w:rsid w:val="008C784F"/>
    <w:rsid w:val="008D2794"/>
    <w:rsid w:val="008D295A"/>
    <w:rsid w:val="008D3014"/>
    <w:rsid w:val="008D4758"/>
    <w:rsid w:val="008D479A"/>
    <w:rsid w:val="008D4E71"/>
    <w:rsid w:val="008D61BC"/>
    <w:rsid w:val="008D6EF6"/>
    <w:rsid w:val="008D7C58"/>
    <w:rsid w:val="008D7D88"/>
    <w:rsid w:val="008E1852"/>
    <w:rsid w:val="008E19D6"/>
    <w:rsid w:val="008E209D"/>
    <w:rsid w:val="008E24AD"/>
    <w:rsid w:val="008E2DC7"/>
    <w:rsid w:val="008E44BB"/>
    <w:rsid w:val="008E5559"/>
    <w:rsid w:val="008E58C0"/>
    <w:rsid w:val="008E6A47"/>
    <w:rsid w:val="008E6F72"/>
    <w:rsid w:val="008E73A7"/>
    <w:rsid w:val="008E7434"/>
    <w:rsid w:val="008E7609"/>
    <w:rsid w:val="008F011E"/>
    <w:rsid w:val="008F1A98"/>
    <w:rsid w:val="008F52FD"/>
    <w:rsid w:val="008F5372"/>
    <w:rsid w:val="008F5C67"/>
    <w:rsid w:val="008F6758"/>
    <w:rsid w:val="008F7765"/>
    <w:rsid w:val="008F7C47"/>
    <w:rsid w:val="0090059D"/>
    <w:rsid w:val="009024A3"/>
    <w:rsid w:val="00903591"/>
    <w:rsid w:val="0090478B"/>
    <w:rsid w:val="00906038"/>
    <w:rsid w:val="00906A22"/>
    <w:rsid w:val="0090728A"/>
    <w:rsid w:val="009079D1"/>
    <w:rsid w:val="00907C94"/>
    <w:rsid w:val="0091235C"/>
    <w:rsid w:val="00912984"/>
    <w:rsid w:val="00914DF6"/>
    <w:rsid w:val="00915929"/>
    <w:rsid w:val="009164C2"/>
    <w:rsid w:val="009171E7"/>
    <w:rsid w:val="009207B2"/>
    <w:rsid w:val="009222A0"/>
    <w:rsid w:val="00923979"/>
    <w:rsid w:val="009241E5"/>
    <w:rsid w:val="00924F99"/>
    <w:rsid w:val="00926C86"/>
    <w:rsid w:val="00927960"/>
    <w:rsid w:val="00927D65"/>
    <w:rsid w:val="00931807"/>
    <w:rsid w:val="0093214B"/>
    <w:rsid w:val="009327BD"/>
    <w:rsid w:val="009351F0"/>
    <w:rsid w:val="009358D5"/>
    <w:rsid w:val="00940EAA"/>
    <w:rsid w:val="0094266F"/>
    <w:rsid w:val="00945C16"/>
    <w:rsid w:val="00946D73"/>
    <w:rsid w:val="00947868"/>
    <w:rsid w:val="00951EE1"/>
    <w:rsid w:val="009528D1"/>
    <w:rsid w:val="00953511"/>
    <w:rsid w:val="009536C3"/>
    <w:rsid w:val="00954515"/>
    <w:rsid w:val="009560A1"/>
    <w:rsid w:val="00957020"/>
    <w:rsid w:val="00957339"/>
    <w:rsid w:val="00962F49"/>
    <w:rsid w:val="009645D4"/>
    <w:rsid w:val="0096463E"/>
    <w:rsid w:val="00965304"/>
    <w:rsid w:val="00966CE2"/>
    <w:rsid w:val="0096762B"/>
    <w:rsid w:val="009700CE"/>
    <w:rsid w:val="00970CBC"/>
    <w:rsid w:val="00970D5C"/>
    <w:rsid w:val="009719AB"/>
    <w:rsid w:val="00971DEC"/>
    <w:rsid w:val="00973FF3"/>
    <w:rsid w:val="0097500B"/>
    <w:rsid w:val="00976692"/>
    <w:rsid w:val="00981D80"/>
    <w:rsid w:val="00983946"/>
    <w:rsid w:val="009856DC"/>
    <w:rsid w:val="0098622D"/>
    <w:rsid w:val="00986ACD"/>
    <w:rsid w:val="00987658"/>
    <w:rsid w:val="009878D9"/>
    <w:rsid w:val="00987EFE"/>
    <w:rsid w:val="009904B5"/>
    <w:rsid w:val="00991617"/>
    <w:rsid w:val="00993B77"/>
    <w:rsid w:val="00994279"/>
    <w:rsid w:val="00996288"/>
    <w:rsid w:val="009966CD"/>
    <w:rsid w:val="00997BE7"/>
    <w:rsid w:val="009A1433"/>
    <w:rsid w:val="009A1859"/>
    <w:rsid w:val="009A3708"/>
    <w:rsid w:val="009A3FB1"/>
    <w:rsid w:val="009A4BF9"/>
    <w:rsid w:val="009A4F20"/>
    <w:rsid w:val="009A6F74"/>
    <w:rsid w:val="009B0481"/>
    <w:rsid w:val="009B211A"/>
    <w:rsid w:val="009B4470"/>
    <w:rsid w:val="009B4DD2"/>
    <w:rsid w:val="009B5124"/>
    <w:rsid w:val="009C053D"/>
    <w:rsid w:val="009C0B06"/>
    <w:rsid w:val="009C0D6F"/>
    <w:rsid w:val="009C1298"/>
    <w:rsid w:val="009C1ABD"/>
    <w:rsid w:val="009C2A34"/>
    <w:rsid w:val="009C2C97"/>
    <w:rsid w:val="009C6816"/>
    <w:rsid w:val="009C770E"/>
    <w:rsid w:val="009D0070"/>
    <w:rsid w:val="009D1DCA"/>
    <w:rsid w:val="009D3EED"/>
    <w:rsid w:val="009D4962"/>
    <w:rsid w:val="009D617E"/>
    <w:rsid w:val="009E079E"/>
    <w:rsid w:val="009E1D37"/>
    <w:rsid w:val="009E1FAA"/>
    <w:rsid w:val="009E2080"/>
    <w:rsid w:val="009E232C"/>
    <w:rsid w:val="009E2C91"/>
    <w:rsid w:val="009E4061"/>
    <w:rsid w:val="009E40E1"/>
    <w:rsid w:val="009E719E"/>
    <w:rsid w:val="009E7907"/>
    <w:rsid w:val="009F0665"/>
    <w:rsid w:val="009F3B8F"/>
    <w:rsid w:val="009F62D3"/>
    <w:rsid w:val="009F652D"/>
    <w:rsid w:val="00A028FD"/>
    <w:rsid w:val="00A03B3A"/>
    <w:rsid w:val="00A03F3B"/>
    <w:rsid w:val="00A04178"/>
    <w:rsid w:val="00A05218"/>
    <w:rsid w:val="00A1097B"/>
    <w:rsid w:val="00A1565C"/>
    <w:rsid w:val="00A22AEE"/>
    <w:rsid w:val="00A24B43"/>
    <w:rsid w:val="00A257FB"/>
    <w:rsid w:val="00A26884"/>
    <w:rsid w:val="00A317FB"/>
    <w:rsid w:val="00A31BC5"/>
    <w:rsid w:val="00A31D89"/>
    <w:rsid w:val="00A343C2"/>
    <w:rsid w:val="00A35FDC"/>
    <w:rsid w:val="00A364D4"/>
    <w:rsid w:val="00A3681D"/>
    <w:rsid w:val="00A3768E"/>
    <w:rsid w:val="00A37B69"/>
    <w:rsid w:val="00A409B2"/>
    <w:rsid w:val="00A412F1"/>
    <w:rsid w:val="00A41ABB"/>
    <w:rsid w:val="00A42582"/>
    <w:rsid w:val="00A42FA8"/>
    <w:rsid w:val="00A436A7"/>
    <w:rsid w:val="00A449BB"/>
    <w:rsid w:val="00A45FE6"/>
    <w:rsid w:val="00A500CF"/>
    <w:rsid w:val="00A505FA"/>
    <w:rsid w:val="00A5265B"/>
    <w:rsid w:val="00A53902"/>
    <w:rsid w:val="00A55200"/>
    <w:rsid w:val="00A557C4"/>
    <w:rsid w:val="00A5593E"/>
    <w:rsid w:val="00A55992"/>
    <w:rsid w:val="00A5697C"/>
    <w:rsid w:val="00A5778E"/>
    <w:rsid w:val="00A57CE6"/>
    <w:rsid w:val="00A60512"/>
    <w:rsid w:val="00A60684"/>
    <w:rsid w:val="00A61F1C"/>
    <w:rsid w:val="00A622C3"/>
    <w:rsid w:val="00A662B5"/>
    <w:rsid w:val="00A66D8C"/>
    <w:rsid w:val="00A66E82"/>
    <w:rsid w:val="00A71077"/>
    <w:rsid w:val="00A71EE9"/>
    <w:rsid w:val="00A74EA4"/>
    <w:rsid w:val="00A803F2"/>
    <w:rsid w:val="00A80B27"/>
    <w:rsid w:val="00A83B83"/>
    <w:rsid w:val="00A83F04"/>
    <w:rsid w:val="00A85ADC"/>
    <w:rsid w:val="00A85F9E"/>
    <w:rsid w:val="00A862E7"/>
    <w:rsid w:val="00A8666E"/>
    <w:rsid w:val="00A86FE1"/>
    <w:rsid w:val="00A87519"/>
    <w:rsid w:val="00A8784A"/>
    <w:rsid w:val="00A9030D"/>
    <w:rsid w:val="00A928D0"/>
    <w:rsid w:val="00A949AB"/>
    <w:rsid w:val="00A949F4"/>
    <w:rsid w:val="00A9501C"/>
    <w:rsid w:val="00A956D8"/>
    <w:rsid w:val="00A95704"/>
    <w:rsid w:val="00A96627"/>
    <w:rsid w:val="00A97483"/>
    <w:rsid w:val="00AA0761"/>
    <w:rsid w:val="00AA17D2"/>
    <w:rsid w:val="00AA18F8"/>
    <w:rsid w:val="00AA19B8"/>
    <w:rsid w:val="00AA1EF5"/>
    <w:rsid w:val="00AA36CA"/>
    <w:rsid w:val="00AA4CCD"/>
    <w:rsid w:val="00AA64D9"/>
    <w:rsid w:val="00AB0362"/>
    <w:rsid w:val="00AB083C"/>
    <w:rsid w:val="00AB1A13"/>
    <w:rsid w:val="00AB2940"/>
    <w:rsid w:val="00AB36DD"/>
    <w:rsid w:val="00AB67AC"/>
    <w:rsid w:val="00AB6DEB"/>
    <w:rsid w:val="00AB7BAA"/>
    <w:rsid w:val="00AC16EE"/>
    <w:rsid w:val="00AC1F99"/>
    <w:rsid w:val="00AC261E"/>
    <w:rsid w:val="00AC44A2"/>
    <w:rsid w:val="00AC607D"/>
    <w:rsid w:val="00AC7322"/>
    <w:rsid w:val="00AD3F72"/>
    <w:rsid w:val="00AD4D5A"/>
    <w:rsid w:val="00AE2F70"/>
    <w:rsid w:val="00AE4573"/>
    <w:rsid w:val="00AE7CA6"/>
    <w:rsid w:val="00AF06A1"/>
    <w:rsid w:val="00AF0BB7"/>
    <w:rsid w:val="00AF15F9"/>
    <w:rsid w:val="00AF1D76"/>
    <w:rsid w:val="00B00B28"/>
    <w:rsid w:val="00B02F07"/>
    <w:rsid w:val="00B033A2"/>
    <w:rsid w:val="00B0351E"/>
    <w:rsid w:val="00B0429A"/>
    <w:rsid w:val="00B04B80"/>
    <w:rsid w:val="00B056C5"/>
    <w:rsid w:val="00B06459"/>
    <w:rsid w:val="00B071D3"/>
    <w:rsid w:val="00B07BA4"/>
    <w:rsid w:val="00B14529"/>
    <w:rsid w:val="00B14800"/>
    <w:rsid w:val="00B16217"/>
    <w:rsid w:val="00B16E61"/>
    <w:rsid w:val="00B17DB7"/>
    <w:rsid w:val="00B235B9"/>
    <w:rsid w:val="00B25438"/>
    <w:rsid w:val="00B25669"/>
    <w:rsid w:val="00B26E97"/>
    <w:rsid w:val="00B27A13"/>
    <w:rsid w:val="00B31E27"/>
    <w:rsid w:val="00B329DA"/>
    <w:rsid w:val="00B34F8C"/>
    <w:rsid w:val="00B352BB"/>
    <w:rsid w:val="00B36A47"/>
    <w:rsid w:val="00B45A1E"/>
    <w:rsid w:val="00B46235"/>
    <w:rsid w:val="00B46C5F"/>
    <w:rsid w:val="00B5387C"/>
    <w:rsid w:val="00B5484E"/>
    <w:rsid w:val="00B56A58"/>
    <w:rsid w:val="00B6062D"/>
    <w:rsid w:val="00B62ADE"/>
    <w:rsid w:val="00B64DC3"/>
    <w:rsid w:val="00B66948"/>
    <w:rsid w:val="00B67C00"/>
    <w:rsid w:val="00B71009"/>
    <w:rsid w:val="00B734FF"/>
    <w:rsid w:val="00B750C1"/>
    <w:rsid w:val="00B754D7"/>
    <w:rsid w:val="00B767D5"/>
    <w:rsid w:val="00B774BE"/>
    <w:rsid w:val="00B7770A"/>
    <w:rsid w:val="00B7781F"/>
    <w:rsid w:val="00B825E1"/>
    <w:rsid w:val="00B83E88"/>
    <w:rsid w:val="00B84446"/>
    <w:rsid w:val="00B854C1"/>
    <w:rsid w:val="00B87153"/>
    <w:rsid w:val="00B9033A"/>
    <w:rsid w:val="00B927ED"/>
    <w:rsid w:val="00B9421E"/>
    <w:rsid w:val="00B94F3B"/>
    <w:rsid w:val="00B950DC"/>
    <w:rsid w:val="00B96B9C"/>
    <w:rsid w:val="00BA0F23"/>
    <w:rsid w:val="00BA1D6D"/>
    <w:rsid w:val="00BA2B21"/>
    <w:rsid w:val="00BA2EB9"/>
    <w:rsid w:val="00BA4897"/>
    <w:rsid w:val="00BA6048"/>
    <w:rsid w:val="00BA66C1"/>
    <w:rsid w:val="00BA76A4"/>
    <w:rsid w:val="00BB157D"/>
    <w:rsid w:val="00BB2244"/>
    <w:rsid w:val="00BB2F79"/>
    <w:rsid w:val="00BB390E"/>
    <w:rsid w:val="00BB3BA3"/>
    <w:rsid w:val="00BB543D"/>
    <w:rsid w:val="00BB56E5"/>
    <w:rsid w:val="00BB66A8"/>
    <w:rsid w:val="00BC1FEC"/>
    <w:rsid w:val="00BC2118"/>
    <w:rsid w:val="00BC3214"/>
    <w:rsid w:val="00BC4ED6"/>
    <w:rsid w:val="00BC6557"/>
    <w:rsid w:val="00BD09BD"/>
    <w:rsid w:val="00BD1257"/>
    <w:rsid w:val="00BD3860"/>
    <w:rsid w:val="00BD3AA0"/>
    <w:rsid w:val="00BD4232"/>
    <w:rsid w:val="00BD6D0F"/>
    <w:rsid w:val="00BD71DF"/>
    <w:rsid w:val="00BD7DF5"/>
    <w:rsid w:val="00BE2341"/>
    <w:rsid w:val="00BE2DA0"/>
    <w:rsid w:val="00BE338F"/>
    <w:rsid w:val="00BE403A"/>
    <w:rsid w:val="00BE4DA0"/>
    <w:rsid w:val="00BE5483"/>
    <w:rsid w:val="00BE696C"/>
    <w:rsid w:val="00BF21FA"/>
    <w:rsid w:val="00BF3276"/>
    <w:rsid w:val="00BF36FA"/>
    <w:rsid w:val="00BF4E75"/>
    <w:rsid w:val="00BF648C"/>
    <w:rsid w:val="00BF6AD0"/>
    <w:rsid w:val="00BF73CF"/>
    <w:rsid w:val="00C00C15"/>
    <w:rsid w:val="00C01E1C"/>
    <w:rsid w:val="00C01FAE"/>
    <w:rsid w:val="00C028E8"/>
    <w:rsid w:val="00C02954"/>
    <w:rsid w:val="00C05196"/>
    <w:rsid w:val="00C06853"/>
    <w:rsid w:val="00C06AE3"/>
    <w:rsid w:val="00C11206"/>
    <w:rsid w:val="00C1436B"/>
    <w:rsid w:val="00C1471E"/>
    <w:rsid w:val="00C14F27"/>
    <w:rsid w:val="00C15091"/>
    <w:rsid w:val="00C15177"/>
    <w:rsid w:val="00C17CC0"/>
    <w:rsid w:val="00C21E9D"/>
    <w:rsid w:val="00C27A59"/>
    <w:rsid w:val="00C301B8"/>
    <w:rsid w:val="00C3038B"/>
    <w:rsid w:val="00C32FE2"/>
    <w:rsid w:val="00C35A99"/>
    <w:rsid w:val="00C36286"/>
    <w:rsid w:val="00C37174"/>
    <w:rsid w:val="00C40727"/>
    <w:rsid w:val="00C408D7"/>
    <w:rsid w:val="00C4369D"/>
    <w:rsid w:val="00C43B92"/>
    <w:rsid w:val="00C440FB"/>
    <w:rsid w:val="00C4494F"/>
    <w:rsid w:val="00C45974"/>
    <w:rsid w:val="00C4625C"/>
    <w:rsid w:val="00C467AD"/>
    <w:rsid w:val="00C500DC"/>
    <w:rsid w:val="00C506A8"/>
    <w:rsid w:val="00C54BCF"/>
    <w:rsid w:val="00C5680A"/>
    <w:rsid w:val="00C57A19"/>
    <w:rsid w:val="00C60C10"/>
    <w:rsid w:val="00C60CD3"/>
    <w:rsid w:val="00C60FFD"/>
    <w:rsid w:val="00C617B5"/>
    <w:rsid w:val="00C622A8"/>
    <w:rsid w:val="00C627F5"/>
    <w:rsid w:val="00C636A5"/>
    <w:rsid w:val="00C6453F"/>
    <w:rsid w:val="00C65628"/>
    <w:rsid w:val="00C6576E"/>
    <w:rsid w:val="00C65FCA"/>
    <w:rsid w:val="00C67BE3"/>
    <w:rsid w:val="00C70384"/>
    <w:rsid w:val="00C72C02"/>
    <w:rsid w:val="00C74647"/>
    <w:rsid w:val="00C74A14"/>
    <w:rsid w:val="00C77082"/>
    <w:rsid w:val="00C8099A"/>
    <w:rsid w:val="00C84F22"/>
    <w:rsid w:val="00C8596D"/>
    <w:rsid w:val="00C87C6F"/>
    <w:rsid w:val="00C905EB"/>
    <w:rsid w:val="00C92CDB"/>
    <w:rsid w:val="00C93AC3"/>
    <w:rsid w:val="00C9468C"/>
    <w:rsid w:val="00C967AD"/>
    <w:rsid w:val="00CA080A"/>
    <w:rsid w:val="00CA1616"/>
    <w:rsid w:val="00CA2BC7"/>
    <w:rsid w:val="00CA2C74"/>
    <w:rsid w:val="00CA2FB1"/>
    <w:rsid w:val="00CA4371"/>
    <w:rsid w:val="00CA4591"/>
    <w:rsid w:val="00CA64CE"/>
    <w:rsid w:val="00CA7504"/>
    <w:rsid w:val="00CB0F7E"/>
    <w:rsid w:val="00CB2220"/>
    <w:rsid w:val="00CB3486"/>
    <w:rsid w:val="00CB4167"/>
    <w:rsid w:val="00CB42CA"/>
    <w:rsid w:val="00CB4CBC"/>
    <w:rsid w:val="00CB5306"/>
    <w:rsid w:val="00CC04D4"/>
    <w:rsid w:val="00CC09FE"/>
    <w:rsid w:val="00CC536D"/>
    <w:rsid w:val="00CC542D"/>
    <w:rsid w:val="00CD068E"/>
    <w:rsid w:val="00CD0EE2"/>
    <w:rsid w:val="00CD4CAA"/>
    <w:rsid w:val="00CD516B"/>
    <w:rsid w:val="00CD523B"/>
    <w:rsid w:val="00CD688A"/>
    <w:rsid w:val="00CD7D53"/>
    <w:rsid w:val="00CE05CD"/>
    <w:rsid w:val="00CE1178"/>
    <w:rsid w:val="00CE24AE"/>
    <w:rsid w:val="00CE2F53"/>
    <w:rsid w:val="00CE35A6"/>
    <w:rsid w:val="00CE529F"/>
    <w:rsid w:val="00CE68A8"/>
    <w:rsid w:val="00CE6D0C"/>
    <w:rsid w:val="00CF1761"/>
    <w:rsid w:val="00CF17EC"/>
    <w:rsid w:val="00CF1907"/>
    <w:rsid w:val="00CF5ACC"/>
    <w:rsid w:val="00CF616D"/>
    <w:rsid w:val="00D0000A"/>
    <w:rsid w:val="00D0054C"/>
    <w:rsid w:val="00D00A01"/>
    <w:rsid w:val="00D01682"/>
    <w:rsid w:val="00D02964"/>
    <w:rsid w:val="00D03D40"/>
    <w:rsid w:val="00D03E8F"/>
    <w:rsid w:val="00D10089"/>
    <w:rsid w:val="00D10095"/>
    <w:rsid w:val="00D111DB"/>
    <w:rsid w:val="00D11D06"/>
    <w:rsid w:val="00D121FA"/>
    <w:rsid w:val="00D12AD5"/>
    <w:rsid w:val="00D13855"/>
    <w:rsid w:val="00D13C7D"/>
    <w:rsid w:val="00D148A4"/>
    <w:rsid w:val="00D22944"/>
    <w:rsid w:val="00D229DC"/>
    <w:rsid w:val="00D22CD0"/>
    <w:rsid w:val="00D23B08"/>
    <w:rsid w:val="00D245B9"/>
    <w:rsid w:val="00D26437"/>
    <w:rsid w:val="00D2654D"/>
    <w:rsid w:val="00D30140"/>
    <w:rsid w:val="00D30660"/>
    <w:rsid w:val="00D31335"/>
    <w:rsid w:val="00D31980"/>
    <w:rsid w:val="00D31F05"/>
    <w:rsid w:val="00D34073"/>
    <w:rsid w:val="00D37143"/>
    <w:rsid w:val="00D37F4E"/>
    <w:rsid w:val="00D422D6"/>
    <w:rsid w:val="00D42DF7"/>
    <w:rsid w:val="00D43213"/>
    <w:rsid w:val="00D453BD"/>
    <w:rsid w:val="00D45F62"/>
    <w:rsid w:val="00D46748"/>
    <w:rsid w:val="00D50A34"/>
    <w:rsid w:val="00D50B95"/>
    <w:rsid w:val="00D50E2B"/>
    <w:rsid w:val="00D518E4"/>
    <w:rsid w:val="00D52097"/>
    <w:rsid w:val="00D523B6"/>
    <w:rsid w:val="00D5249E"/>
    <w:rsid w:val="00D52C00"/>
    <w:rsid w:val="00D53EEC"/>
    <w:rsid w:val="00D5435B"/>
    <w:rsid w:val="00D56C7A"/>
    <w:rsid w:val="00D56EE3"/>
    <w:rsid w:val="00D571D4"/>
    <w:rsid w:val="00D650E7"/>
    <w:rsid w:val="00D67D7E"/>
    <w:rsid w:val="00D71BF7"/>
    <w:rsid w:val="00D743A6"/>
    <w:rsid w:val="00D750FF"/>
    <w:rsid w:val="00D75130"/>
    <w:rsid w:val="00D7530F"/>
    <w:rsid w:val="00D76765"/>
    <w:rsid w:val="00D76D79"/>
    <w:rsid w:val="00D76E53"/>
    <w:rsid w:val="00D7753B"/>
    <w:rsid w:val="00D80ED5"/>
    <w:rsid w:val="00D81053"/>
    <w:rsid w:val="00D81C0F"/>
    <w:rsid w:val="00D84B06"/>
    <w:rsid w:val="00D853E4"/>
    <w:rsid w:val="00D85E4C"/>
    <w:rsid w:val="00D86315"/>
    <w:rsid w:val="00D9021E"/>
    <w:rsid w:val="00D9092F"/>
    <w:rsid w:val="00D90E44"/>
    <w:rsid w:val="00D92783"/>
    <w:rsid w:val="00D9355F"/>
    <w:rsid w:val="00D93D14"/>
    <w:rsid w:val="00D975C9"/>
    <w:rsid w:val="00DA1507"/>
    <w:rsid w:val="00DA448B"/>
    <w:rsid w:val="00DA4B50"/>
    <w:rsid w:val="00DA5111"/>
    <w:rsid w:val="00DA53F1"/>
    <w:rsid w:val="00DA5D7E"/>
    <w:rsid w:val="00DB0A6D"/>
    <w:rsid w:val="00DB1E63"/>
    <w:rsid w:val="00DB2209"/>
    <w:rsid w:val="00DB3F79"/>
    <w:rsid w:val="00DB578B"/>
    <w:rsid w:val="00DC1606"/>
    <w:rsid w:val="00DC3384"/>
    <w:rsid w:val="00DC4764"/>
    <w:rsid w:val="00DC55D6"/>
    <w:rsid w:val="00DC67D9"/>
    <w:rsid w:val="00DC6DCC"/>
    <w:rsid w:val="00DC7586"/>
    <w:rsid w:val="00DD22C6"/>
    <w:rsid w:val="00DD249E"/>
    <w:rsid w:val="00DD6858"/>
    <w:rsid w:val="00DD693C"/>
    <w:rsid w:val="00DD71B7"/>
    <w:rsid w:val="00DD7222"/>
    <w:rsid w:val="00DD77BF"/>
    <w:rsid w:val="00DD7F9D"/>
    <w:rsid w:val="00DE120E"/>
    <w:rsid w:val="00DE3028"/>
    <w:rsid w:val="00DE3093"/>
    <w:rsid w:val="00DE37B4"/>
    <w:rsid w:val="00DE5AEC"/>
    <w:rsid w:val="00DE6694"/>
    <w:rsid w:val="00DE701B"/>
    <w:rsid w:val="00DE768B"/>
    <w:rsid w:val="00DF1FB3"/>
    <w:rsid w:val="00DF27D7"/>
    <w:rsid w:val="00DF332E"/>
    <w:rsid w:val="00DF3942"/>
    <w:rsid w:val="00DF4008"/>
    <w:rsid w:val="00DF4F32"/>
    <w:rsid w:val="00DF536D"/>
    <w:rsid w:val="00DF554A"/>
    <w:rsid w:val="00DF60B2"/>
    <w:rsid w:val="00E009D8"/>
    <w:rsid w:val="00E00F9B"/>
    <w:rsid w:val="00E01ADD"/>
    <w:rsid w:val="00E02626"/>
    <w:rsid w:val="00E04F0F"/>
    <w:rsid w:val="00E05CA0"/>
    <w:rsid w:val="00E06A3E"/>
    <w:rsid w:val="00E079B7"/>
    <w:rsid w:val="00E11882"/>
    <w:rsid w:val="00E11E1A"/>
    <w:rsid w:val="00E11F82"/>
    <w:rsid w:val="00E12018"/>
    <w:rsid w:val="00E126D7"/>
    <w:rsid w:val="00E127BA"/>
    <w:rsid w:val="00E12F2E"/>
    <w:rsid w:val="00E1338E"/>
    <w:rsid w:val="00E1437B"/>
    <w:rsid w:val="00E205E0"/>
    <w:rsid w:val="00E21168"/>
    <w:rsid w:val="00E25546"/>
    <w:rsid w:val="00E25975"/>
    <w:rsid w:val="00E259C9"/>
    <w:rsid w:val="00E26977"/>
    <w:rsid w:val="00E33753"/>
    <w:rsid w:val="00E33D41"/>
    <w:rsid w:val="00E33D75"/>
    <w:rsid w:val="00E33D83"/>
    <w:rsid w:val="00E33F2F"/>
    <w:rsid w:val="00E34A58"/>
    <w:rsid w:val="00E37367"/>
    <w:rsid w:val="00E40561"/>
    <w:rsid w:val="00E41AB0"/>
    <w:rsid w:val="00E433F1"/>
    <w:rsid w:val="00E44307"/>
    <w:rsid w:val="00E5100D"/>
    <w:rsid w:val="00E52B5F"/>
    <w:rsid w:val="00E534B6"/>
    <w:rsid w:val="00E57139"/>
    <w:rsid w:val="00E576BC"/>
    <w:rsid w:val="00E6226D"/>
    <w:rsid w:val="00E6242B"/>
    <w:rsid w:val="00E646F0"/>
    <w:rsid w:val="00E67990"/>
    <w:rsid w:val="00E71033"/>
    <w:rsid w:val="00E71089"/>
    <w:rsid w:val="00E71D1D"/>
    <w:rsid w:val="00E72DA0"/>
    <w:rsid w:val="00E72E45"/>
    <w:rsid w:val="00E74087"/>
    <w:rsid w:val="00E7713A"/>
    <w:rsid w:val="00E77323"/>
    <w:rsid w:val="00E804C7"/>
    <w:rsid w:val="00E82BA5"/>
    <w:rsid w:val="00E83712"/>
    <w:rsid w:val="00E85D1B"/>
    <w:rsid w:val="00E86296"/>
    <w:rsid w:val="00E86B37"/>
    <w:rsid w:val="00E86CB1"/>
    <w:rsid w:val="00E9074E"/>
    <w:rsid w:val="00E91124"/>
    <w:rsid w:val="00E91289"/>
    <w:rsid w:val="00E91A22"/>
    <w:rsid w:val="00E91D7F"/>
    <w:rsid w:val="00E93818"/>
    <w:rsid w:val="00E95321"/>
    <w:rsid w:val="00E9562B"/>
    <w:rsid w:val="00E95AF5"/>
    <w:rsid w:val="00E960C9"/>
    <w:rsid w:val="00E97574"/>
    <w:rsid w:val="00E97AD0"/>
    <w:rsid w:val="00E97AEC"/>
    <w:rsid w:val="00EA072B"/>
    <w:rsid w:val="00EA107D"/>
    <w:rsid w:val="00EA16FA"/>
    <w:rsid w:val="00EA1756"/>
    <w:rsid w:val="00EA3262"/>
    <w:rsid w:val="00EA6CB1"/>
    <w:rsid w:val="00EB102A"/>
    <w:rsid w:val="00EB5334"/>
    <w:rsid w:val="00EB5977"/>
    <w:rsid w:val="00EB5F37"/>
    <w:rsid w:val="00EB6C71"/>
    <w:rsid w:val="00EB7DCA"/>
    <w:rsid w:val="00EC0015"/>
    <w:rsid w:val="00EC2297"/>
    <w:rsid w:val="00EC2992"/>
    <w:rsid w:val="00EC37A8"/>
    <w:rsid w:val="00EC485A"/>
    <w:rsid w:val="00EC66D9"/>
    <w:rsid w:val="00EC6FC7"/>
    <w:rsid w:val="00ED084D"/>
    <w:rsid w:val="00ED0B3A"/>
    <w:rsid w:val="00ED1491"/>
    <w:rsid w:val="00ED2D2D"/>
    <w:rsid w:val="00ED4892"/>
    <w:rsid w:val="00ED5970"/>
    <w:rsid w:val="00ED5EE0"/>
    <w:rsid w:val="00EE10A8"/>
    <w:rsid w:val="00EE1E32"/>
    <w:rsid w:val="00EE33A5"/>
    <w:rsid w:val="00EE4216"/>
    <w:rsid w:val="00EE551C"/>
    <w:rsid w:val="00EE564C"/>
    <w:rsid w:val="00EE56B0"/>
    <w:rsid w:val="00EE6A78"/>
    <w:rsid w:val="00EF2330"/>
    <w:rsid w:val="00EF47E2"/>
    <w:rsid w:val="00F0043A"/>
    <w:rsid w:val="00F00B28"/>
    <w:rsid w:val="00F01C5F"/>
    <w:rsid w:val="00F01EC2"/>
    <w:rsid w:val="00F02995"/>
    <w:rsid w:val="00F061A7"/>
    <w:rsid w:val="00F066AF"/>
    <w:rsid w:val="00F06B12"/>
    <w:rsid w:val="00F07F62"/>
    <w:rsid w:val="00F1494B"/>
    <w:rsid w:val="00F14E21"/>
    <w:rsid w:val="00F1504F"/>
    <w:rsid w:val="00F15362"/>
    <w:rsid w:val="00F153F4"/>
    <w:rsid w:val="00F1641A"/>
    <w:rsid w:val="00F1743F"/>
    <w:rsid w:val="00F17A3F"/>
    <w:rsid w:val="00F208C1"/>
    <w:rsid w:val="00F22F6A"/>
    <w:rsid w:val="00F240EB"/>
    <w:rsid w:val="00F2452E"/>
    <w:rsid w:val="00F314C2"/>
    <w:rsid w:val="00F32226"/>
    <w:rsid w:val="00F333F9"/>
    <w:rsid w:val="00F3562B"/>
    <w:rsid w:val="00F37FDA"/>
    <w:rsid w:val="00F40540"/>
    <w:rsid w:val="00F41478"/>
    <w:rsid w:val="00F4258A"/>
    <w:rsid w:val="00F47CF6"/>
    <w:rsid w:val="00F52089"/>
    <w:rsid w:val="00F56806"/>
    <w:rsid w:val="00F63591"/>
    <w:rsid w:val="00F6435B"/>
    <w:rsid w:val="00F66C7B"/>
    <w:rsid w:val="00F67D55"/>
    <w:rsid w:val="00F7138C"/>
    <w:rsid w:val="00F73CD9"/>
    <w:rsid w:val="00F73E5B"/>
    <w:rsid w:val="00F75675"/>
    <w:rsid w:val="00F758BD"/>
    <w:rsid w:val="00F768CE"/>
    <w:rsid w:val="00F776F7"/>
    <w:rsid w:val="00F809CA"/>
    <w:rsid w:val="00F8189A"/>
    <w:rsid w:val="00F82448"/>
    <w:rsid w:val="00F8247C"/>
    <w:rsid w:val="00F90902"/>
    <w:rsid w:val="00F90DFA"/>
    <w:rsid w:val="00F92A7B"/>
    <w:rsid w:val="00F937AD"/>
    <w:rsid w:val="00F93E7A"/>
    <w:rsid w:val="00FA080D"/>
    <w:rsid w:val="00FA160F"/>
    <w:rsid w:val="00FA2A8B"/>
    <w:rsid w:val="00FA3C97"/>
    <w:rsid w:val="00FA41FC"/>
    <w:rsid w:val="00FA7BCF"/>
    <w:rsid w:val="00FA7BF3"/>
    <w:rsid w:val="00FA7E6C"/>
    <w:rsid w:val="00FB0B55"/>
    <w:rsid w:val="00FB1F2C"/>
    <w:rsid w:val="00FB21B7"/>
    <w:rsid w:val="00FB4C6A"/>
    <w:rsid w:val="00FB5875"/>
    <w:rsid w:val="00FB6AA8"/>
    <w:rsid w:val="00FB7AF1"/>
    <w:rsid w:val="00FB7EAE"/>
    <w:rsid w:val="00FC1425"/>
    <w:rsid w:val="00FC26B4"/>
    <w:rsid w:val="00FC36F6"/>
    <w:rsid w:val="00FC3AD7"/>
    <w:rsid w:val="00FC52A7"/>
    <w:rsid w:val="00FC69BF"/>
    <w:rsid w:val="00FD0162"/>
    <w:rsid w:val="00FD3140"/>
    <w:rsid w:val="00FD3AA4"/>
    <w:rsid w:val="00FD7189"/>
    <w:rsid w:val="00FD72D3"/>
    <w:rsid w:val="00FD73D8"/>
    <w:rsid w:val="00FD7840"/>
    <w:rsid w:val="00FD7D73"/>
    <w:rsid w:val="00FE0456"/>
    <w:rsid w:val="00FE0672"/>
    <w:rsid w:val="00FE3208"/>
    <w:rsid w:val="00FE3D5A"/>
    <w:rsid w:val="00FE438F"/>
    <w:rsid w:val="00FE75B4"/>
    <w:rsid w:val="00FF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04A7"/>
  <w15:docId w15:val="{1EC42AFD-82DB-BB4A-8055-32189F5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5C0"/>
  </w:style>
  <w:style w:type="paragraph" w:styleId="Heading1">
    <w:name w:val="heading 1"/>
    <w:basedOn w:val="Normal"/>
    <w:link w:val="Heading1Char"/>
    <w:uiPriority w:val="9"/>
    <w:qFormat/>
    <w:rsid w:val="00200F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57D"/>
    <w:pPr>
      <w:ind w:left="720"/>
      <w:contextualSpacing/>
    </w:pPr>
  </w:style>
  <w:style w:type="paragraph" w:styleId="NormalWeb">
    <w:name w:val="Normal (Web)"/>
    <w:basedOn w:val="Normal"/>
    <w:uiPriority w:val="99"/>
    <w:unhideWhenUsed/>
    <w:rsid w:val="00490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6CD"/>
  </w:style>
  <w:style w:type="character" w:styleId="Strong">
    <w:name w:val="Strong"/>
    <w:basedOn w:val="DefaultParagraphFont"/>
    <w:uiPriority w:val="22"/>
    <w:qFormat/>
    <w:rsid w:val="004906CD"/>
    <w:rPr>
      <w:b/>
      <w:bCs/>
    </w:rPr>
  </w:style>
  <w:style w:type="paragraph" w:styleId="BalloonText">
    <w:name w:val="Balloon Text"/>
    <w:basedOn w:val="Normal"/>
    <w:link w:val="BalloonTextChar"/>
    <w:uiPriority w:val="99"/>
    <w:semiHidden/>
    <w:unhideWhenUsed/>
    <w:rsid w:val="00D5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BF"/>
    <w:rPr>
      <w:rFonts w:ascii="Segoe UI" w:hAnsi="Segoe UI" w:cs="Segoe UI"/>
      <w:sz w:val="18"/>
      <w:szCs w:val="18"/>
    </w:rPr>
  </w:style>
  <w:style w:type="character" w:styleId="CommentReference">
    <w:name w:val="annotation reference"/>
    <w:basedOn w:val="DefaultParagraphFont"/>
    <w:uiPriority w:val="99"/>
    <w:semiHidden/>
    <w:unhideWhenUsed/>
    <w:rsid w:val="00E658DB"/>
    <w:rPr>
      <w:sz w:val="16"/>
      <w:szCs w:val="16"/>
    </w:rPr>
  </w:style>
  <w:style w:type="paragraph" w:styleId="CommentText">
    <w:name w:val="annotation text"/>
    <w:basedOn w:val="Normal"/>
    <w:link w:val="CommentTextChar"/>
    <w:uiPriority w:val="99"/>
    <w:semiHidden/>
    <w:unhideWhenUsed/>
    <w:rsid w:val="00E658DB"/>
    <w:pPr>
      <w:spacing w:line="240" w:lineRule="auto"/>
    </w:pPr>
    <w:rPr>
      <w:sz w:val="20"/>
      <w:szCs w:val="20"/>
    </w:rPr>
  </w:style>
  <w:style w:type="character" w:customStyle="1" w:styleId="CommentTextChar">
    <w:name w:val="Comment Text Char"/>
    <w:basedOn w:val="DefaultParagraphFont"/>
    <w:link w:val="CommentText"/>
    <w:uiPriority w:val="99"/>
    <w:semiHidden/>
    <w:rsid w:val="00E658DB"/>
    <w:rPr>
      <w:sz w:val="20"/>
      <w:szCs w:val="20"/>
    </w:rPr>
  </w:style>
  <w:style w:type="paragraph" w:styleId="CommentSubject">
    <w:name w:val="annotation subject"/>
    <w:basedOn w:val="CommentText"/>
    <w:next w:val="CommentText"/>
    <w:link w:val="CommentSubjectChar"/>
    <w:uiPriority w:val="99"/>
    <w:semiHidden/>
    <w:unhideWhenUsed/>
    <w:rsid w:val="00E658DB"/>
    <w:rPr>
      <w:b/>
      <w:bCs/>
    </w:rPr>
  </w:style>
  <w:style w:type="character" w:customStyle="1" w:styleId="CommentSubjectChar">
    <w:name w:val="Comment Subject Char"/>
    <w:basedOn w:val="CommentTextChar"/>
    <w:link w:val="CommentSubject"/>
    <w:uiPriority w:val="99"/>
    <w:semiHidden/>
    <w:rsid w:val="00E658DB"/>
    <w:rPr>
      <w:b/>
      <w:bCs/>
      <w:sz w:val="20"/>
      <w:szCs w:val="20"/>
    </w:rPr>
  </w:style>
  <w:style w:type="paragraph" w:styleId="Header">
    <w:name w:val="header"/>
    <w:basedOn w:val="Normal"/>
    <w:link w:val="HeaderChar"/>
    <w:uiPriority w:val="99"/>
    <w:unhideWhenUsed/>
    <w:rsid w:val="00AE4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49C"/>
  </w:style>
  <w:style w:type="paragraph" w:styleId="Footer">
    <w:name w:val="footer"/>
    <w:basedOn w:val="Normal"/>
    <w:link w:val="FooterChar"/>
    <w:uiPriority w:val="99"/>
    <w:unhideWhenUsed/>
    <w:rsid w:val="00AE4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49C"/>
  </w:style>
  <w:style w:type="character" w:styleId="Hyperlink">
    <w:name w:val="Hyperlink"/>
    <w:basedOn w:val="DefaultParagraphFont"/>
    <w:uiPriority w:val="99"/>
    <w:unhideWhenUsed/>
    <w:rsid w:val="00A7471E"/>
    <w:rPr>
      <w:color w:val="0000FF" w:themeColor="hyperlink"/>
      <w:u w:val="single"/>
    </w:rPr>
  </w:style>
  <w:style w:type="character" w:customStyle="1" w:styleId="UnresolvedMention1">
    <w:name w:val="Unresolved Mention1"/>
    <w:basedOn w:val="DefaultParagraphFont"/>
    <w:uiPriority w:val="99"/>
    <w:semiHidden/>
    <w:unhideWhenUsed/>
    <w:rsid w:val="00A7471E"/>
    <w:rPr>
      <w:color w:val="605E5C"/>
      <w:shd w:val="clear" w:color="auto" w:fill="E1DFDD"/>
    </w:rPr>
  </w:style>
  <w:style w:type="character" w:styleId="UnresolvedMention">
    <w:name w:val="Unresolved Mention"/>
    <w:basedOn w:val="DefaultParagraphFont"/>
    <w:uiPriority w:val="99"/>
    <w:semiHidden/>
    <w:unhideWhenUsed/>
    <w:rsid w:val="005F324C"/>
    <w:rPr>
      <w:color w:val="605E5C"/>
      <w:shd w:val="clear" w:color="auto" w:fill="E1DFDD"/>
    </w:rPr>
  </w:style>
  <w:style w:type="character" w:styleId="FollowedHyperlink">
    <w:name w:val="FollowedHyperlink"/>
    <w:basedOn w:val="DefaultParagraphFont"/>
    <w:uiPriority w:val="99"/>
    <w:semiHidden/>
    <w:unhideWhenUsed/>
    <w:rsid w:val="00FF54F6"/>
    <w:rPr>
      <w:color w:val="800080" w:themeColor="followedHyperlink"/>
      <w:u w:val="single"/>
    </w:rPr>
  </w:style>
  <w:style w:type="character" w:customStyle="1" w:styleId="Heading1Char">
    <w:name w:val="Heading 1 Char"/>
    <w:basedOn w:val="DefaultParagraphFont"/>
    <w:link w:val="Heading1"/>
    <w:uiPriority w:val="9"/>
    <w:rsid w:val="00200FA4"/>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47107F"/>
    <w:rPr>
      <w:rFonts w:ascii="OpenSans-Regular" w:hAnsi="OpenSans-Regular" w:hint="default"/>
      <w:b w:val="0"/>
      <w:bCs w:val="0"/>
      <w:i w:val="0"/>
      <w:iCs w:val="0"/>
      <w:color w:val="474747"/>
    </w:rPr>
  </w:style>
  <w:style w:type="paragraph" w:styleId="Caption">
    <w:name w:val="caption"/>
    <w:basedOn w:val="Normal"/>
    <w:next w:val="Normal"/>
    <w:uiPriority w:val="35"/>
    <w:unhideWhenUsed/>
    <w:qFormat/>
    <w:rsid w:val="00994279"/>
    <w:pPr>
      <w:spacing w:line="240" w:lineRule="auto"/>
    </w:pPr>
    <w:rPr>
      <w:iCs/>
      <w:color w:val="595959" w:themeColor="text1" w:themeTint="A6"/>
      <w:szCs w:val="18"/>
    </w:rPr>
  </w:style>
  <w:style w:type="paragraph" w:styleId="Revision">
    <w:name w:val="Revision"/>
    <w:hidden/>
    <w:uiPriority w:val="99"/>
    <w:semiHidden/>
    <w:rsid w:val="004C3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2560">
      <w:bodyDiv w:val="1"/>
      <w:marLeft w:val="0"/>
      <w:marRight w:val="0"/>
      <w:marTop w:val="0"/>
      <w:marBottom w:val="0"/>
      <w:divBdr>
        <w:top w:val="none" w:sz="0" w:space="0" w:color="auto"/>
        <w:left w:val="none" w:sz="0" w:space="0" w:color="auto"/>
        <w:bottom w:val="none" w:sz="0" w:space="0" w:color="auto"/>
        <w:right w:val="none" w:sz="0" w:space="0" w:color="auto"/>
      </w:divBdr>
    </w:div>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505288204">
      <w:bodyDiv w:val="1"/>
      <w:marLeft w:val="0"/>
      <w:marRight w:val="0"/>
      <w:marTop w:val="0"/>
      <w:marBottom w:val="0"/>
      <w:divBdr>
        <w:top w:val="none" w:sz="0" w:space="0" w:color="auto"/>
        <w:left w:val="none" w:sz="0" w:space="0" w:color="auto"/>
        <w:bottom w:val="none" w:sz="0" w:space="0" w:color="auto"/>
        <w:right w:val="none" w:sz="0" w:space="0" w:color="auto"/>
      </w:divBdr>
    </w:div>
    <w:div w:id="577404554">
      <w:bodyDiv w:val="1"/>
      <w:marLeft w:val="0"/>
      <w:marRight w:val="0"/>
      <w:marTop w:val="0"/>
      <w:marBottom w:val="0"/>
      <w:divBdr>
        <w:top w:val="none" w:sz="0" w:space="0" w:color="auto"/>
        <w:left w:val="none" w:sz="0" w:space="0" w:color="auto"/>
        <w:bottom w:val="none" w:sz="0" w:space="0" w:color="auto"/>
        <w:right w:val="none" w:sz="0" w:space="0" w:color="auto"/>
      </w:divBdr>
    </w:div>
    <w:div w:id="672730696">
      <w:bodyDiv w:val="1"/>
      <w:marLeft w:val="0"/>
      <w:marRight w:val="0"/>
      <w:marTop w:val="0"/>
      <w:marBottom w:val="0"/>
      <w:divBdr>
        <w:top w:val="none" w:sz="0" w:space="0" w:color="auto"/>
        <w:left w:val="none" w:sz="0" w:space="0" w:color="auto"/>
        <w:bottom w:val="none" w:sz="0" w:space="0" w:color="auto"/>
        <w:right w:val="none" w:sz="0" w:space="0" w:color="auto"/>
      </w:divBdr>
    </w:div>
    <w:div w:id="1013072678">
      <w:bodyDiv w:val="1"/>
      <w:marLeft w:val="0"/>
      <w:marRight w:val="0"/>
      <w:marTop w:val="0"/>
      <w:marBottom w:val="0"/>
      <w:divBdr>
        <w:top w:val="none" w:sz="0" w:space="0" w:color="auto"/>
        <w:left w:val="none" w:sz="0" w:space="0" w:color="auto"/>
        <w:bottom w:val="none" w:sz="0" w:space="0" w:color="auto"/>
        <w:right w:val="none" w:sz="0" w:space="0" w:color="auto"/>
      </w:divBdr>
    </w:div>
    <w:div w:id="1075709822">
      <w:bodyDiv w:val="1"/>
      <w:marLeft w:val="0"/>
      <w:marRight w:val="0"/>
      <w:marTop w:val="0"/>
      <w:marBottom w:val="0"/>
      <w:divBdr>
        <w:top w:val="none" w:sz="0" w:space="0" w:color="auto"/>
        <w:left w:val="none" w:sz="0" w:space="0" w:color="auto"/>
        <w:bottom w:val="none" w:sz="0" w:space="0" w:color="auto"/>
        <w:right w:val="none" w:sz="0" w:space="0" w:color="auto"/>
      </w:divBdr>
    </w:div>
    <w:div w:id="1176842416">
      <w:bodyDiv w:val="1"/>
      <w:marLeft w:val="0"/>
      <w:marRight w:val="0"/>
      <w:marTop w:val="0"/>
      <w:marBottom w:val="0"/>
      <w:divBdr>
        <w:top w:val="none" w:sz="0" w:space="0" w:color="auto"/>
        <w:left w:val="none" w:sz="0" w:space="0" w:color="auto"/>
        <w:bottom w:val="none" w:sz="0" w:space="0" w:color="auto"/>
        <w:right w:val="none" w:sz="0" w:space="0" w:color="auto"/>
      </w:divBdr>
    </w:div>
    <w:div w:id="1397510095">
      <w:bodyDiv w:val="1"/>
      <w:marLeft w:val="0"/>
      <w:marRight w:val="0"/>
      <w:marTop w:val="0"/>
      <w:marBottom w:val="0"/>
      <w:divBdr>
        <w:top w:val="none" w:sz="0" w:space="0" w:color="auto"/>
        <w:left w:val="none" w:sz="0" w:space="0" w:color="auto"/>
        <w:bottom w:val="none" w:sz="0" w:space="0" w:color="auto"/>
        <w:right w:val="none" w:sz="0" w:space="0" w:color="auto"/>
      </w:divBdr>
    </w:div>
    <w:div w:id="1425956258">
      <w:bodyDiv w:val="1"/>
      <w:marLeft w:val="0"/>
      <w:marRight w:val="0"/>
      <w:marTop w:val="0"/>
      <w:marBottom w:val="0"/>
      <w:divBdr>
        <w:top w:val="none" w:sz="0" w:space="0" w:color="auto"/>
        <w:left w:val="none" w:sz="0" w:space="0" w:color="auto"/>
        <w:bottom w:val="none" w:sz="0" w:space="0" w:color="auto"/>
        <w:right w:val="none" w:sz="0" w:space="0" w:color="auto"/>
      </w:divBdr>
    </w:div>
    <w:div w:id="1426264884">
      <w:bodyDiv w:val="1"/>
      <w:marLeft w:val="0"/>
      <w:marRight w:val="0"/>
      <w:marTop w:val="0"/>
      <w:marBottom w:val="0"/>
      <w:divBdr>
        <w:top w:val="none" w:sz="0" w:space="0" w:color="auto"/>
        <w:left w:val="none" w:sz="0" w:space="0" w:color="auto"/>
        <w:bottom w:val="none" w:sz="0" w:space="0" w:color="auto"/>
        <w:right w:val="none" w:sz="0" w:space="0" w:color="auto"/>
      </w:divBdr>
    </w:div>
    <w:div w:id="1644043565">
      <w:bodyDiv w:val="1"/>
      <w:marLeft w:val="0"/>
      <w:marRight w:val="0"/>
      <w:marTop w:val="0"/>
      <w:marBottom w:val="0"/>
      <w:divBdr>
        <w:top w:val="none" w:sz="0" w:space="0" w:color="auto"/>
        <w:left w:val="none" w:sz="0" w:space="0" w:color="auto"/>
        <w:bottom w:val="none" w:sz="0" w:space="0" w:color="auto"/>
        <w:right w:val="none" w:sz="0" w:space="0" w:color="auto"/>
      </w:divBdr>
    </w:div>
    <w:div w:id="1687829760">
      <w:bodyDiv w:val="1"/>
      <w:marLeft w:val="0"/>
      <w:marRight w:val="0"/>
      <w:marTop w:val="0"/>
      <w:marBottom w:val="0"/>
      <w:divBdr>
        <w:top w:val="none" w:sz="0" w:space="0" w:color="auto"/>
        <w:left w:val="none" w:sz="0" w:space="0" w:color="auto"/>
        <w:bottom w:val="none" w:sz="0" w:space="0" w:color="auto"/>
        <w:right w:val="none" w:sz="0" w:space="0" w:color="auto"/>
      </w:divBdr>
    </w:div>
    <w:div w:id="1698508216">
      <w:bodyDiv w:val="1"/>
      <w:marLeft w:val="0"/>
      <w:marRight w:val="0"/>
      <w:marTop w:val="0"/>
      <w:marBottom w:val="0"/>
      <w:divBdr>
        <w:top w:val="none" w:sz="0" w:space="0" w:color="auto"/>
        <w:left w:val="none" w:sz="0" w:space="0" w:color="auto"/>
        <w:bottom w:val="none" w:sz="0" w:space="0" w:color="auto"/>
        <w:right w:val="none" w:sz="0" w:space="0" w:color="auto"/>
      </w:divBdr>
    </w:div>
    <w:div w:id="1713263744">
      <w:bodyDiv w:val="1"/>
      <w:marLeft w:val="0"/>
      <w:marRight w:val="0"/>
      <w:marTop w:val="0"/>
      <w:marBottom w:val="0"/>
      <w:divBdr>
        <w:top w:val="none" w:sz="0" w:space="0" w:color="auto"/>
        <w:left w:val="none" w:sz="0" w:space="0" w:color="auto"/>
        <w:bottom w:val="none" w:sz="0" w:space="0" w:color="auto"/>
        <w:right w:val="none" w:sz="0" w:space="0" w:color="auto"/>
      </w:divBdr>
    </w:div>
    <w:div w:id="1720476284">
      <w:bodyDiv w:val="1"/>
      <w:marLeft w:val="0"/>
      <w:marRight w:val="0"/>
      <w:marTop w:val="0"/>
      <w:marBottom w:val="0"/>
      <w:divBdr>
        <w:top w:val="none" w:sz="0" w:space="0" w:color="auto"/>
        <w:left w:val="none" w:sz="0" w:space="0" w:color="auto"/>
        <w:bottom w:val="none" w:sz="0" w:space="0" w:color="auto"/>
        <w:right w:val="none" w:sz="0" w:space="0" w:color="auto"/>
      </w:divBdr>
    </w:div>
    <w:div w:id="1815100730">
      <w:bodyDiv w:val="1"/>
      <w:marLeft w:val="0"/>
      <w:marRight w:val="0"/>
      <w:marTop w:val="0"/>
      <w:marBottom w:val="0"/>
      <w:divBdr>
        <w:top w:val="none" w:sz="0" w:space="0" w:color="auto"/>
        <w:left w:val="none" w:sz="0" w:space="0" w:color="auto"/>
        <w:bottom w:val="none" w:sz="0" w:space="0" w:color="auto"/>
        <w:right w:val="none" w:sz="0" w:space="0" w:color="auto"/>
      </w:divBdr>
    </w:div>
    <w:div w:id="1970160994">
      <w:bodyDiv w:val="1"/>
      <w:marLeft w:val="0"/>
      <w:marRight w:val="0"/>
      <w:marTop w:val="0"/>
      <w:marBottom w:val="0"/>
      <w:divBdr>
        <w:top w:val="none" w:sz="0" w:space="0" w:color="auto"/>
        <w:left w:val="none" w:sz="0" w:space="0" w:color="auto"/>
        <w:bottom w:val="none" w:sz="0" w:space="0" w:color="auto"/>
        <w:right w:val="none" w:sz="0" w:space="0" w:color="auto"/>
      </w:divBdr>
    </w:div>
    <w:div w:id="2088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CVNIxheGNM"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getchellgold.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www.getchellgold.com" TargetMode="External"/><Relationship Id="rId10" Type="http://schemas.openxmlformats.org/officeDocument/2006/relationships/hyperlink" Target="https://getchellgold.com/news/getchell-gold-corp-continues-to-expand-north-fork-discoveryand-intersects-multiple-extensive-gold-intervals-fondaway-canyon-n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etchellgold.com/news/getchell-gold-corp-extends-north-fork-discovery-intersecting-10-4-g-t-au-over-25-0-m-within-a-broader-zone-grading-6-3-g-t-au-over-50-7-m-at-the-fondaway-canyon-gold-project-nv-2/"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10C3-4C08-4976-B0C4-E64EE4CA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sieb</dc:creator>
  <cp:lastModifiedBy>justin meiklem</cp:lastModifiedBy>
  <cp:revision>4</cp:revision>
  <cp:lastPrinted>2022-06-14T18:46:00Z</cp:lastPrinted>
  <dcterms:created xsi:type="dcterms:W3CDTF">2022-09-27T04:20:00Z</dcterms:created>
  <dcterms:modified xsi:type="dcterms:W3CDTF">2022-09-27T05:57:00Z</dcterms:modified>
</cp:coreProperties>
</file>