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3D31D"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6C6FA44" w14:textId="18223240"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8713DD">
        <w:rPr>
          <w:rFonts w:ascii="Arial" w:hAnsi="Arial"/>
          <w:color w:val="000000"/>
          <w:u w:val="single"/>
        </w:rPr>
        <w:t>Basin Uranium Corp.</w:t>
      </w:r>
      <w:r w:rsidR="002A0985">
        <w:rPr>
          <w:rFonts w:ascii="Arial" w:hAnsi="Arial"/>
          <w:color w:val="000000"/>
          <w:u w:val="single"/>
        </w:rPr>
        <w:t xml:space="preserve"> (formerly, Black Shield Metals Corp.</w:t>
      </w:r>
      <w:r w:rsidR="008C3A9F">
        <w:rPr>
          <w:rFonts w:ascii="Arial" w:hAnsi="Arial"/>
          <w:color w:val="000000"/>
          <w:u w:val="single"/>
        </w:rPr>
        <w:t>)</w:t>
      </w:r>
      <w:r>
        <w:rPr>
          <w:rFonts w:ascii="Arial" w:hAnsi="Arial"/>
          <w:color w:val="000000"/>
          <w:u w:val="single"/>
        </w:rPr>
        <w:tab/>
      </w:r>
      <w:r>
        <w:rPr>
          <w:rFonts w:ascii="Arial" w:hAnsi="Arial"/>
          <w:color w:val="000000"/>
        </w:rPr>
        <w:t>(the “Issuer”).</w:t>
      </w:r>
    </w:p>
    <w:p w14:paraId="4A7BF0C6" w14:textId="3A7DC2F6" w:rsidR="00640E94" w:rsidRDefault="00640E94" w:rsidP="004864DA">
      <w:pPr>
        <w:pStyle w:val="BodyText"/>
        <w:tabs>
          <w:tab w:val="left" w:pos="4721"/>
          <w:tab w:val="left" w:pos="7920"/>
          <w:tab w:val="left" w:pos="9180"/>
        </w:tabs>
        <w:rPr>
          <w:rFonts w:ascii="Arial" w:hAnsi="Arial"/>
          <w:color w:val="000000"/>
        </w:rPr>
      </w:pPr>
      <w:r>
        <w:rPr>
          <w:rFonts w:ascii="Arial" w:hAnsi="Arial"/>
          <w:color w:val="000000"/>
        </w:rPr>
        <w:t xml:space="preserve">Trading Symbol: </w:t>
      </w:r>
      <w:r w:rsidR="009C3D6C">
        <w:rPr>
          <w:rFonts w:ascii="Arial" w:hAnsi="Arial"/>
          <w:color w:val="000000"/>
          <w:u w:val="single"/>
        </w:rPr>
        <w:t>NCLR</w:t>
      </w:r>
      <w:r w:rsidR="004864DA">
        <w:rPr>
          <w:rFonts w:ascii="Arial" w:hAnsi="Arial"/>
          <w:color w:val="000000"/>
          <w:u w:val="single"/>
        </w:rPr>
        <w:tab/>
      </w:r>
      <w:r>
        <w:rPr>
          <w:rFonts w:ascii="Arial" w:hAnsi="Arial"/>
          <w:color w:val="000000"/>
          <w:u w:val="single"/>
        </w:rPr>
        <w:tab/>
      </w:r>
    </w:p>
    <w:p w14:paraId="0FD0AF54" w14:textId="3284BBB4" w:rsidR="00640E94" w:rsidRDefault="00640E94" w:rsidP="004864DA">
      <w:pPr>
        <w:pStyle w:val="BodyText"/>
        <w:tabs>
          <w:tab w:val="left" w:pos="6179"/>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104755" w:rsidRPr="00104755">
        <w:rPr>
          <w:rFonts w:ascii="Arial" w:hAnsi="Arial"/>
          <w:color w:val="000000"/>
          <w:u w:val="single"/>
        </w:rPr>
        <w:t>42,660,475</w:t>
      </w:r>
      <w:r w:rsidR="004864DA">
        <w:rPr>
          <w:rFonts w:ascii="Arial" w:hAnsi="Arial"/>
          <w:color w:val="000000"/>
          <w:u w:val="single"/>
        </w:rPr>
        <w:tab/>
      </w:r>
      <w:r>
        <w:rPr>
          <w:rFonts w:ascii="Arial" w:hAnsi="Arial"/>
          <w:color w:val="000000"/>
          <w:u w:val="single"/>
        </w:rPr>
        <w:tab/>
      </w:r>
    </w:p>
    <w:p w14:paraId="53E2E35C" w14:textId="0845EC14" w:rsidR="00640E94" w:rsidRDefault="00640E94" w:rsidP="004864DA">
      <w:pPr>
        <w:pStyle w:val="BodyText"/>
        <w:tabs>
          <w:tab w:val="left" w:pos="4192"/>
          <w:tab w:val="left" w:pos="7920"/>
          <w:tab w:val="left" w:pos="9180"/>
        </w:tabs>
        <w:rPr>
          <w:rFonts w:ascii="Arial" w:hAnsi="Arial"/>
          <w:color w:val="000000"/>
        </w:rPr>
      </w:pPr>
      <w:r>
        <w:rPr>
          <w:rFonts w:ascii="Arial" w:hAnsi="Arial"/>
          <w:color w:val="000000"/>
        </w:rPr>
        <w:t>Date:</w:t>
      </w:r>
      <w:r w:rsidR="007B6834">
        <w:rPr>
          <w:rFonts w:ascii="Arial" w:hAnsi="Arial"/>
          <w:color w:val="000000"/>
        </w:rPr>
        <w:t xml:space="preserve"> </w:t>
      </w:r>
      <w:r w:rsidR="004A4DA9">
        <w:rPr>
          <w:rFonts w:ascii="Arial" w:hAnsi="Arial"/>
          <w:color w:val="000000"/>
          <w:u w:val="single"/>
        </w:rPr>
        <w:t>December</w:t>
      </w:r>
      <w:r w:rsidR="004C6EAF">
        <w:rPr>
          <w:rFonts w:ascii="Arial" w:hAnsi="Arial"/>
          <w:color w:val="000000"/>
          <w:u w:val="single"/>
        </w:rPr>
        <w:t xml:space="preserve"> </w:t>
      </w:r>
      <w:r w:rsidR="007B6834">
        <w:rPr>
          <w:rFonts w:ascii="Arial" w:hAnsi="Arial"/>
          <w:color w:val="000000"/>
          <w:u w:val="single"/>
        </w:rPr>
        <w:t xml:space="preserve">2022 </w:t>
      </w:r>
      <w:r w:rsidR="007B6834" w:rsidRPr="003D750D">
        <w:rPr>
          <w:rFonts w:ascii="Arial" w:hAnsi="Arial"/>
          <w:color w:val="000000"/>
          <w:u w:val="single"/>
        </w:rPr>
        <w:t xml:space="preserve">– </w:t>
      </w:r>
      <w:r w:rsidR="007B6834" w:rsidRPr="00A33641">
        <w:rPr>
          <w:rFonts w:ascii="Arial" w:hAnsi="Arial"/>
          <w:color w:val="000000"/>
          <w:u w:val="single"/>
        </w:rPr>
        <w:t xml:space="preserve">Prepared </w:t>
      </w:r>
      <w:r w:rsidR="004A4DA9">
        <w:rPr>
          <w:rFonts w:ascii="Arial" w:hAnsi="Arial"/>
          <w:color w:val="000000"/>
          <w:u w:val="single"/>
        </w:rPr>
        <w:t>January</w:t>
      </w:r>
      <w:r w:rsidR="003D750D" w:rsidRPr="00A33641">
        <w:rPr>
          <w:rFonts w:ascii="Arial" w:hAnsi="Arial"/>
          <w:color w:val="000000"/>
          <w:u w:val="single"/>
        </w:rPr>
        <w:t xml:space="preserve"> </w:t>
      </w:r>
      <w:r w:rsidR="004A4DA9">
        <w:rPr>
          <w:rFonts w:ascii="Arial" w:hAnsi="Arial"/>
          <w:color w:val="000000"/>
          <w:u w:val="single"/>
        </w:rPr>
        <w:t>13</w:t>
      </w:r>
      <w:r w:rsidR="003D750D" w:rsidRPr="00A33641">
        <w:rPr>
          <w:rFonts w:ascii="Arial" w:hAnsi="Arial"/>
          <w:color w:val="000000"/>
          <w:u w:val="single"/>
        </w:rPr>
        <w:t>, 202</w:t>
      </w:r>
      <w:r w:rsidR="00F47617">
        <w:rPr>
          <w:rFonts w:ascii="Arial" w:hAnsi="Arial"/>
          <w:color w:val="000000"/>
          <w:u w:val="single"/>
        </w:rPr>
        <w:t>3</w:t>
      </w:r>
      <w:r>
        <w:rPr>
          <w:rFonts w:ascii="Arial" w:hAnsi="Arial"/>
          <w:color w:val="000000"/>
          <w:u w:val="single"/>
        </w:rPr>
        <w:tab/>
      </w:r>
    </w:p>
    <w:p w14:paraId="423922F4"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24FEBF03"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BF29DCB"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059C6E6F"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D454B33"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4662CA2E"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6F31AB4" w14:textId="77777777" w:rsidR="00640E94" w:rsidRDefault="00640E94">
      <w:pPr>
        <w:pStyle w:val="List"/>
        <w:keepLines/>
        <w:spacing w:before="120"/>
        <w:ind w:left="0" w:firstLine="0"/>
        <w:rPr>
          <w:rFonts w:ascii="Arial" w:hAnsi="Arial"/>
          <w:b/>
        </w:rPr>
      </w:pPr>
      <w:r>
        <w:rPr>
          <w:rFonts w:ascii="Arial" w:hAnsi="Arial"/>
          <w:b/>
        </w:rPr>
        <w:t>Report on Business</w:t>
      </w:r>
    </w:p>
    <w:p w14:paraId="47545CFB" w14:textId="45A1E3C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1F99FFB3" w14:textId="0B8F8F92" w:rsidR="004864DA" w:rsidRPr="004864DA" w:rsidRDefault="008713DD" w:rsidP="004864DA">
      <w:pPr>
        <w:pStyle w:val="List"/>
        <w:spacing w:before="120"/>
        <w:ind w:left="720" w:firstLine="0"/>
        <w:jc w:val="both"/>
        <w:rPr>
          <w:rFonts w:ascii="Arial" w:hAnsi="Arial"/>
          <w:i/>
          <w:iCs/>
        </w:rPr>
      </w:pPr>
      <w:r>
        <w:rPr>
          <w:rFonts w:ascii="Arial" w:hAnsi="Arial"/>
          <w:i/>
          <w:iCs/>
        </w:rPr>
        <w:t>Basin Uranium Corp. (</w:t>
      </w:r>
      <w:r w:rsidR="002A0985">
        <w:rPr>
          <w:rFonts w:ascii="Arial" w:hAnsi="Arial"/>
          <w:i/>
          <w:iCs/>
        </w:rPr>
        <w:t>formerly, Black Shield Metals Corp.)</w:t>
      </w:r>
      <w:r w:rsidR="004864DA" w:rsidRPr="004864DA">
        <w:rPr>
          <w:rFonts w:ascii="Arial" w:hAnsi="Arial"/>
          <w:i/>
          <w:iCs/>
        </w:rPr>
        <w:t xml:space="preserve"> is a junior resource exploration company engaged in the acquisition, exploration, development and mining of mineral properties.  The Company has entered into an option agreement with Cariboo Rose Resources Ltd. (“CRR”) whereby </w:t>
      </w:r>
      <w:r w:rsidR="002A0985">
        <w:rPr>
          <w:rFonts w:ascii="Arial" w:hAnsi="Arial"/>
          <w:i/>
          <w:iCs/>
        </w:rPr>
        <w:t>Basin</w:t>
      </w:r>
      <w:r w:rsidR="004864DA" w:rsidRPr="004864DA">
        <w:rPr>
          <w:rFonts w:ascii="Arial" w:hAnsi="Arial"/>
          <w:i/>
          <w:iCs/>
        </w:rPr>
        <w:t xml:space="preserve"> will receive a 60% </w:t>
      </w:r>
      <w:r w:rsidR="004864DA" w:rsidRPr="004864DA">
        <w:rPr>
          <w:rFonts w:ascii="Arial" w:hAnsi="Arial"/>
          <w:i/>
          <w:iCs/>
        </w:rPr>
        <w:lastRenderedPageBreak/>
        <w:t>interest and up to 10% additional interest in a carbonate hosted gold (“CHG”) project with CRR located in British Columbia.</w:t>
      </w:r>
    </w:p>
    <w:p w14:paraId="6CC82D9C" w14:textId="14EFF6AD" w:rsidR="004864DA" w:rsidRDefault="004864DA" w:rsidP="004864DA">
      <w:pPr>
        <w:pStyle w:val="List"/>
        <w:spacing w:before="120"/>
        <w:ind w:left="720" w:firstLine="0"/>
        <w:jc w:val="both"/>
        <w:rPr>
          <w:rFonts w:ascii="Arial" w:hAnsi="Arial"/>
        </w:rPr>
      </w:pPr>
    </w:p>
    <w:p w14:paraId="464D7357" w14:textId="6344151E" w:rsidR="00505C18" w:rsidRDefault="00505C18" w:rsidP="00505C18">
      <w:pPr>
        <w:pStyle w:val="ListParagraph"/>
        <w:jc w:val="both"/>
        <w:rPr>
          <w:rFonts w:ascii="Arial" w:hAnsi="Arial"/>
          <w:i/>
          <w:iCs/>
          <w:sz w:val="24"/>
          <w:lang w:val="en-GB"/>
        </w:rPr>
      </w:pPr>
      <w:r w:rsidRPr="00505C18">
        <w:rPr>
          <w:rFonts w:ascii="Arial" w:hAnsi="Arial"/>
          <w:i/>
          <w:iCs/>
          <w:sz w:val="24"/>
          <w:lang w:val="en-GB"/>
        </w:rPr>
        <w:t>On Apr</w:t>
      </w:r>
      <w:r>
        <w:rPr>
          <w:rFonts w:ascii="Arial" w:hAnsi="Arial"/>
          <w:i/>
          <w:iCs/>
          <w:sz w:val="24"/>
          <w:lang w:val="en-GB"/>
        </w:rPr>
        <w:t>il</w:t>
      </w:r>
      <w:r w:rsidRPr="00505C18">
        <w:rPr>
          <w:rFonts w:ascii="Arial" w:hAnsi="Arial"/>
          <w:i/>
          <w:iCs/>
          <w:sz w:val="24"/>
          <w:lang w:val="en-GB"/>
        </w:rPr>
        <w:t xml:space="preserve"> 8, 2021, the Company closed its IPO with an issuance of 5,750,000 shares, including 750,000 shares issued pursuant to the exercise of Over-Allotment Option, at a price of $0.10 per share for gross proceeds of $575,000.</w:t>
      </w:r>
      <w:r>
        <w:rPr>
          <w:rFonts w:ascii="Arial" w:hAnsi="Arial"/>
          <w:i/>
          <w:iCs/>
          <w:sz w:val="24"/>
          <w:lang w:val="en-GB"/>
        </w:rPr>
        <w:t xml:space="preserve">  </w:t>
      </w:r>
      <w:r w:rsidRPr="00505C18">
        <w:rPr>
          <w:rFonts w:ascii="Arial" w:hAnsi="Arial"/>
          <w:i/>
          <w:iCs/>
          <w:sz w:val="24"/>
          <w:lang w:val="en-GB"/>
        </w:rPr>
        <w:t xml:space="preserve">In addition, the Company paid $57,500 as cash commission and $35,000 as corporate finance fee to the </w:t>
      </w:r>
      <w:r w:rsidR="00AD27CA" w:rsidRPr="00505C18">
        <w:rPr>
          <w:rFonts w:ascii="Arial" w:hAnsi="Arial"/>
          <w:i/>
          <w:iCs/>
          <w:sz w:val="24"/>
          <w:lang w:val="en-GB"/>
        </w:rPr>
        <w:t>Agent and</w:t>
      </w:r>
      <w:r w:rsidRPr="00505C18">
        <w:rPr>
          <w:rFonts w:ascii="Arial" w:hAnsi="Arial"/>
          <w:i/>
          <w:iCs/>
          <w:sz w:val="24"/>
          <w:lang w:val="en-GB"/>
        </w:rPr>
        <w:t xml:space="preserve"> issued 57,500 Agent’s Warrants at a price of $0.10 until April 8, 2023.  The Agent exercised its over-allotment option in full, pursuant to which it arranged for purchasers of 750,000 shares.</w:t>
      </w:r>
    </w:p>
    <w:p w14:paraId="734239CE" w14:textId="4EB088F3" w:rsidR="00505C18" w:rsidRDefault="00505C18" w:rsidP="00505C18">
      <w:pPr>
        <w:pStyle w:val="ListParagraph"/>
        <w:jc w:val="both"/>
        <w:rPr>
          <w:rFonts w:ascii="Arial" w:hAnsi="Arial"/>
          <w:i/>
          <w:iCs/>
          <w:sz w:val="24"/>
          <w:lang w:val="en-GB"/>
        </w:rPr>
      </w:pPr>
    </w:p>
    <w:p w14:paraId="6582A885" w14:textId="28038F20" w:rsidR="00505C18" w:rsidRDefault="00505C18" w:rsidP="00505C18">
      <w:pPr>
        <w:pStyle w:val="ListParagraph"/>
        <w:jc w:val="both"/>
        <w:rPr>
          <w:rFonts w:ascii="Arial" w:hAnsi="Arial"/>
          <w:i/>
          <w:iCs/>
          <w:sz w:val="24"/>
          <w:lang w:val="en-GB"/>
        </w:rPr>
      </w:pPr>
      <w:r>
        <w:rPr>
          <w:rFonts w:ascii="Arial" w:hAnsi="Arial"/>
          <w:i/>
          <w:iCs/>
          <w:sz w:val="24"/>
          <w:lang w:val="en-GB"/>
        </w:rPr>
        <w:t>The Company commenced trading on April 9, 2021.</w:t>
      </w:r>
    </w:p>
    <w:p w14:paraId="2B9676BF" w14:textId="46565919" w:rsidR="005E3418" w:rsidRDefault="005E3418" w:rsidP="00505C18">
      <w:pPr>
        <w:pStyle w:val="ListParagraph"/>
        <w:jc w:val="both"/>
        <w:rPr>
          <w:rFonts w:ascii="Arial" w:hAnsi="Arial"/>
          <w:i/>
          <w:iCs/>
          <w:sz w:val="24"/>
          <w:lang w:val="en-GB"/>
        </w:rPr>
      </w:pPr>
    </w:p>
    <w:p w14:paraId="79A4FA81" w14:textId="73A6D0AD" w:rsidR="005E3418" w:rsidRDefault="005E3418" w:rsidP="00EC397A">
      <w:pPr>
        <w:pStyle w:val="ListParagraph"/>
        <w:jc w:val="both"/>
        <w:rPr>
          <w:rFonts w:ascii="Arial" w:hAnsi="Arial"/>
          <w:i/>
          <w:iCs/>
          <w:sz w:val="24"/>
          <w:lang w:val="en-GB"/>
        </w:rPr>
      </w:pPr>
      <w:r>
        <w:rPr>
          <w:rFonts w:ascii="Arial" w:hAnsi="Arial"/>
          <w:i/>
          <w:iCs/>
          <w:sz w:val="24"/>
          <w:lang w:val="en-GB"/>
        </w:rPr>
        <w:t xml:space="preserve">On October 22, 2021, the Company announced that effective October 27, 2021, the Company’s name changed from Black Shield Metals Corp. to Basin Uranium Corp. Along with the name change, the Company began trading on the CSE under the new trading symbol “NCLR”. The Company’s new CUSIP will be 07012B106 and the new ISIN number is CA07012B1067. </w:t>
      </w:r>
    </w:p>
    <w:p w14:paraId="61A06ED0" w14:textId="62C8060A" w:rsidR="00EC397A" w:rsidRDefault="00EC397A" w:rsidP="00EC397A">
      <w:pPr>
        <w:pStyle w:val="ListParagraph"/>
        <w:jc w:val="both"/>
        <w:rPr>
          <w:rFonts w:ascii="Arial" w:hAnsi="Arial"/>
          <w:i/>
          <w:iCs/>
          <w:sz w:val="24"/>
          <w:lang w:val="en-GB"/>
        </w:rPr>
      </w:pPr>
    </w:p>
    <w:p w14:paraId="37C8D3A3" w14:textId="77777777" w:rsidR="00EC397A" w:rsidRPr="00EC397A" w:rsidRDefault="00EC397A" w:rsidP="00EC397A">
      <w:pPr>
        <w:pStyle w:val="ListParagraph"/>
        <w:jc w:val="both"/>
        <w:rPr>
          <w:rFonts w:ascii="Arial" w:hAnsi="Arial"/>
          <w:i/>
          <w:iCs/>
          <w:sz w:val="24"/>
        </w:rPr>
      </w:pPr>
      <w:r w:rsidRPr="00EC397A">
        <w:rPr>
          <w:rFonts w:ascii="Arial" w:hAnsi="Arial"/>
          <w:i/>
          <w:iCs/>
          <w:sz w:val="24"/>
        </w:rPr>
        <w:t>On October 18, the Company announced it entered into an option agreement with Skyharbour Resources Ltd. to acquire up to a 75% of the Mann Lake Uranium Project located in the Athabasca Basin, Northern Saskatchewan, Canada.</w:t>
      </w:r>
    </w:p>
    <w:p w14:paraId="2E6BF46D" w14:textId="77777777" w:rsidR="00EC397A" w:rsidRPr="00EC397A" w:rsidRDefault="00EC397A" w:rsidP="00EC397A">
      <w:pPr>
        <w:pStyle w:val="ListParagraph"/>
        <w:jc w:val="both"/>
        <w:rPr>
          <w:rFonts w:ascii="Arial" w:hAnsi="Arial"/>
          <w:i/>
          <w:iCs/>
          <w:sz w:val="24"/>
        </w:rPr>
      </w:pPr>
    </w:p>
    <w:p w14:paraId="7E8CB5C3" w14:textId="77777777" w:rsidR="00EC397A" w:rsidRPr="00EC397A" w:rsidRDefault="00EC397A" w:rsidP="00EC397A">
      <w:pPr>
        <w:pStyle w:val="ListParagraph"/>
        <w:jc w:val="both"/>
        <w:rPr>
          <w:rFonts w:ascii="Arial" w:hAnsi="Arial"/>
          <w:i/>
          <w:iCs/>
          <w:sz w:val="24"/>
        </w:rPr>
      </w:pPr>
      <w:r w:rsidRPr="00EC397A">
        <w:rPr>
          <w:rFonts w:ascii="Arial" w:hAnsi="Arial"/>
          <w:i/>
          <w:iCs/>
          <w:sz w:val="24"/>
        </w:rPr>
        <w:t xml:space="preserve">Under the terms of the Option Agreement, the Company is committed to the following: </w:t>
      </w:r>
    </w:p>
    <w:p w14:paraId="7725F492" w14:textId="77777777" w:rsidR="00EC397A" w:rsidRPr="00EC397A" w:rsidRDefault="00EC397A" w:rsidP="00EC397A">
      <w:pPr>
        <w:pStyle w:val="ListParagraph"/>
        <w:jc w:val="both"/>
        <w:rPr>
          <w:rFonts w:ascii="Arial" w:hAnsi="Arial"/>
          <w:i/>
          <w:iCs/>
          <w:sz w:val="24"/>
        </w:rPr>
      </w:pPr>
    </w:p>
    <w:p w14:paraId="06247343" w14:textId="77777777" w:rsidR="00EC397A" w:rsidRPr="00EC397A" w:rsidRDefault="00EC397A" w:rsidP="00EC397A">
      <w:pPr>
        <w:ind w:left="720"/>
        <w:jc w:val="both"/>
        <w:rPr>
          <w:rFonts w:ascii="Arial" w:hAnsi="Arial"/>
          <w:i/>
          <w:iCs/>
          <w:sz w:val="24"/>
        </w:rPr>
      </w:pPr>
      <w:r w:rsidRPr="00EC397A">
        <w:rPr>
          <w:rFonts w:ascii="Arial" w:hAnsi="Arial"/>
          <w:i/>
          <w:iCs/>
          <w:sz w:val="24"/>
        </w:rPr>
        <w:t xml:space="preserve">(a) paying to the Optionor a total of CAD $850,000 and issuing to the Optionor the total number of common shares (“Shares”) of the Company equivalent to a value of CAD $1,750,000 based on the 20 day VWAP at the time of issuance, as follows: </w:t>
      </w:r>
    </w:p>
    <w:p w14:paraId="3F668C4F" w14:textId="77777777" w:rsidR="00EC397A" w:rsidRPr="00EC397A" w:rsidRDefault="00EC397A" w:rsidP="00EC397A">
      <w:pPr>
        <w:ind w:left="1440"/>
        <w:jc w:val="both"/>
        <w:rPr>
          <w:rFonts w:ascii="Arial" w:hAnsi="Arial"/>
          <w:i/>
          <w:iCs/>
          <w:sz w:val="24"/>
        </w:rPr>
      </w:pPr>
      <w:r w:rsidRPr="00EC397A">
        <w:rPr>
          <w:rFonts w:ascii="Arial" w:hAnsi="Arial"/>
          <w:i/>
          <w:iCs/>
          <w:sz w:val="24"/>
        </w:rPr>
        <w:t xml:space="preserve">(i) within five days of the signing of the Option Agreement, pay $100,000 and issue Shares equivalent to $250,000 at the 20 day VWAP at the time of issuance; </w:t>
      </w:r>
    </w:p>
    <w:p w14:paraId="5C218AAA" w14:textId="29A4E572" w:rsidR="00EC397A" w:rsidRPr="00EC397A" w:rsidRDefault="00EC397A" w:rsidP="00EC397A">
      <w:pPr>
        <w:ind w:left="1440"/>
        <w:jc w:val="both"/>
        <w:rPr>
          <w:rFonts w:ascii="Arial" w:hAnsi="Arial"/>
          <w:i/>
          <w:iCs/>
          <w:sz w:val="24"/>
        </w:rPr>
      </w:pPr>
      <w:r w:rsidRPr="00EC397A">
        <w:rPr>
          <w:rFonts w:ascii="Arial" w:hAnsi="Arial"/>
          <w:i/>
          <w:iCs/>
          <w:sz w:val="24"/>
        </w:rPr>
        <w:t>(ii) on the first anniversary of the signing of the Option Agreement, pa</w:t>
      </w:r>
      <w:r>
        <w:rPr>
          <w:rFonts w:ascii="Arial" w:hAnsi="Arial"/>
          <w:i/>
          <w:iCs/>
          <w:sz w:val="24"/>
        </w:rPr>
        <w:t xml:space="preserve">y </w:t>
      </w:r>
      <w:r w:rsidRPr="00EC397A">
        <w:rPr>
          <w:rFonts w:ascii="Arial" w:hAnsi="Arial"/>
          <w:i/>
          <w:iCs/>
          <w:sz w:val="24"/>
        </w:rPr>
        <w:t xml:space="preserve">$250,000 and issue Shares equivalent to $500,000 at the 20 day VWAP at the time of issuance; </w:t>
      </w:r>
    </w:p>
    <w:p w14:paraId="0DD17F0B" w14:textId="77777777" w:rsidR="00EC397A" w:rsidRPr="00EC397A" w:rsidRDefault="00EC397A" w:rsidP="00EC397A">
      <w:pPr>
        <w:ind w:left="1440"/>
        <w:jc w:val="both"/>
        <w:rPr>
          <w:rFonts w:ascii="Arial" w:hAnsi="Arial"/>
          <w:i/>
          <w:iCs/>
          <w:sz w:val="24"/>
        </w:rPr>
      </w:pPr>
      <w:r w:rsidRPr="00EC397A">
        <w:rPr>
          <w:rFonts w:ascii="Arial" w:hAnsi="Arial"/>
          <w:i/>
          <w:iCs/>
          <w:sz w:val="24"/>
        </w:rPr>
        <w:t xml:space="preserve">(iii) on the second anniversary of the signing of the Option Agreement, pay $250,000 and issue Shares equivalent to $500,000 at the 20 day VWAP at the time of issuance; </w:t>
      </w:r>
    </w:p>
    <w:p w14:paraId="39036FF6" w14:textId="77777777" w:rsidR="00EC397A" w:rsidRPr="00EC397A" w:rsidRDefault="00EC397A" w:rsidP="00EC397A">
      <w:pPr>
        <w:ind w:left="1440"/>
        <w:jc w:val="both"/>
        <w:rPr>
          <w:rFonts w:ascii="Arial" w:hAnsi="Arial"/>
          <w:i/>
          <w:iCs/>
          <w:sz w:val="24"/>
        </w:rPr>
      </w:pPr>
      <w:r w:rsidRPr="00EC397A">
        <w:rPr>
          <w:rFonts w:ascii="Arial" w:hAnsi="Arial"/>
          <w:i/>
          <w:iCs/>
          <w:sz w:val="24"/>
        </w:rPr>
        <w:t xml:space="preserve">(iv) on the third anniversary of the signing of the Option Agreement, pay $250,000 and issue Shares equivalent to $500,000 at the 20 day VWAP at the time of issuance; </w:t>
      </w:r>
    </w:p>
    <w:p w14:paraId="53EAF53A" w14:textId="77777777" w:rsidR="00EC397A" w:rsidRPr="00EC397A" w:rsidRDefault="00EC397A" w:rsidP="00EC397A">
      <w:pPr>
        <w:pStyle w:val="ListParagraph"/>
        <w:jc w:val="both"/>
        <w:rPr>
          <w:rFonts w:ascii="Arial" w:hAnsi="Arial"/>
          <w:i/>
          <w:iCs/>
          <w:sz w:val="24"/>
        </w:rPr>
      </w:pPr>
    </w:p>
    <w:p w14:paraId="77CE8922" w14:textId="77777777" w:rsidR="00EC397A" w:rsidRPr="00EC397A" w:rsidRDefault="00EC397A" w:rsidP="00EC397A">
      <w:pPr>
        <w:pStyle w:val="ListParagraph"/>
        <w:jc w:val="both"/>
        <w:rPr>
          <w:rFonts w:ascii="Arial" w:hAnsi="Arial"/>
          <w:i/>
          <w:iCs/>
          <w:sz w:val="24"/>
        </w:rPr>
      </w:pPr>
      <w:r w:rsidRPr="00EC397A">
        <w:rPr>
          <w:rFonts w:ascii="Arial" w:hAnsi="Arial"/>
          <w:i/>
          <w:iCs/>
          <w:sz w:val="24"/>
        </w:rPr>
        <w:t xml:space="preserve">(b) incur a minimum of $4,000,000 in exploration expenditures on the Property as follows: </w:t>
      </w:r>
    </w:p>
    <w:p w14:paraId="496FE01A" w14:textId="77777777" w:rsidR="00EC397A" w:rsidRPr="00EC397A" w:rsidRDefault="00EC397A" w:rsidP="00EC397A">
      <w:pPr>
        <w:pStyle w:val="ListParagraph"/>
        <w:jc w:val="both"/>
        <w:rPr>
          <w:rFonts w:ascii="Arial" w:hAnsi="Arial"/>
          <w:i/>
          <w:iCs/>
          <w:sz w:val="24"/>
        </w:rPr>
      </w:pPr>
    </w:p>
    <w:p w14:paraId="63F51DEF" w14:textId="77777777" w:rsidR="00EC397A" w:rsidRPr="00EC397A" w:rsidRDefault="00EC397A" w:rsidP="00EC397A">
      <w:pPr>
        <w:pStyle w:val="ListParagraph"/>
        <w:numPr>
          <w:ilvl w:val="0"/>
          <w:numId w:val="29"/>
        </w:numPr>
        <w:jc w:val="both"/>
        <w:rPr>
          <w:rFonts w:ascii="Arial" w:hAnsi="Arial"/>
          <w:i/>
          <w:iCs/>
          <w:sz w:val="24"/>
        </w:rPr>
      </w:pPr>
      <w:r w:rsidRPr="00EC397A">
        <w:rPr>
          <w:rFonts w:ascii="Arial" w:hAnsi="Arial"/>
          <w:i/>
          <w:iCs/>
          <w:sz w:val="24"/>
        </w:rPr>
        <w:t xml:space="preserve">$1,000,000 in exploration expenditures on or before the first anniversary of the signing of the Option Agreement; </w:t>
      </w:r>
    </w:p>
    <w:p w14:paraId="4D8A4785" w14:textId="77777777" w:rsidR="00EC397A" w:rsidRPr="00EC397A" w:rsidRDefault="00EC397A" w:rsidP="00EC397A">
      <w:pPr>
        <w:pStyle w:val="ListParagraph"/>
        <w:numPr>
          <w:ilvl w:val="0"/>
          <w:numId w:val="29"/>
        </w:numPr>
        <w:jc w:val="both"/>
        <w:rPr>
          <w:rFonts w:ascii="Arial" w:hAnsi="Arial"/>
          <w:i/>
          <w:iCs/>
          <w:sz w:val="24"/>
        </w:rPr>
      </w:pPr>
      <w:r w:rsidRPr="00EC397A">
        <w:rPr>
          <w:rFonts w:ascii="Arial" w:hAnsi="Arial"/>
          <w:i/>
          <w:iCs/>
          <w:sz w:val="24"/>
        </w:rPr>
        <w:lastRenderedPageBreak/>
        <w:t xml:space="preserve">an additional $1,000,000 in exploration expenditures on or before the second anniversary of the signing of the Option Agreement; and </w:t>
      </w:r>
    </w:p>
    <w:p w14:paraId="4CE69028" w14:textId="77777777" w:rsidR="00EC397A" w:rsidRPr="00EC397A" w:rsidRDefault="00EC397A" w:rsidP="00EC397A">
      <w:pPr>
        <w:pStyle w:val="ListParagraph"/>
        <w:numPr>
          <w:ilvl w:val="0"/>
          <w:numId w:val="29"/>
        </w:numPr>
        <w:jc w:val="both"/>
        <w:rPr>
          <w:rFonts w:ascii="Arial" w:hAnsi="Arial"/>
          <w:i/>
          <w:iCs/>
          <w:sz w:val="24"/>
        </w:rPr>
      </w:pPr>
      <w:r w:rsidRPr="00EC397A">
        <w:rPr>
          <w:rFonts w:ascii="Arial" w:hAnsi="Arial"/>
          <w:i/>
          <w:iCs/>
          <w:sz w:val="24"/>
        </w:rPr>
        <w:t xml:space="preserve">an additional $2,000,000 in exploration expenditures on or before the third anniversary of the signing of the Option Agreement. </w:t>
      </w:r>
    </w:p>
    <w:p w14:paraId="44353C60" w14:textId="77777777" w:rsidR="00EC397A" w:rsidRPr="00EC397A" w:rsidRDefault="00EC397A" w:rsidP="00EC397A">
      <w:pPr>
        <w:pStyle w:val="ListParagraph"/>
        <w:jc w:val="both"/>
        <w:rPr>
          <w:rFonts w:ascii="Arial" w:hAnsi="Arial"/>
          <w:i/>
          <w:iCs/>
          <w:sz w:val="24"/>
        </w:rPr>
      </w:pPr>
    </w:p>
    <w:p w14:paraId="495A13A7" w14:textId="77777777" w:rsidR="00EC397A" w:rsidRPr="00EC397A" w:rsidRDefault="00EC397A" w:rsidP="00EC397A">
      <w:pPr>
        <w:pStyle w:val="ListParagraph"/>
        <w:jc w:val="both"/>
        <w:rPr>
          <w:rFonts w:ascii="Arial" w:hAnsi="Arial"/>
          <w:i/>
          <w:iCs/>
          <w:sz w:val="24"/>
        </w:rPr>
      </w:pPr>
      <w:r w:rsidRPr="00EC397A">
        <w:rPr>
          <w:rFonts w:ascii="Arial" w:hAnsi="Arial"/>
          <w:i/>
          <w:iCs/>
          <w:sz w:val="24"/>
        </w:rPr>
        <w:t xml:space="preserve">In the event that the Company spends, in any of the above periods, less than the specified sum, it may pay to the Optionor the difference between the amount it actually spent and the specified sum before the expiry of that period in full satisfaction of the exploration expenditures to be incurred. In the event that the Company spends, in any period, more than the specified sum, the excess shall be carried forward and applied to the exploration expenditures to be incurred in succeeding periods. </w:t>
      </w:r>
    </w:p>
    <w:p w14:paraId="1FB0D346" w14:textId="77777777" w:rsidR="00EC397A" w:rsidRPr="00EC397A" w:rsidRDefault="00EC397A" w:rsidP="00EC397A">
      <w:pPr>
        <w:pStyle w:val="ListParagraph"/>
        <w:jc w:val="both"/>
        <w:rPr>
          <w:rFonts w:ascii="Arial" w:hAnsi="Arial"/>
          <w:i/>
          <w:iCs/>
          <w:sz w:val="24"/>
        </w:rPr>
      </w:pPr>
    </w:p>
    <w:p w14:paraId="5DA5E398" w14:textId="11AD33F6" w:rsidR="00EC397A" w:rsidRDefault="00EC397A" w:rsidP="00EC397A">
      <w:pPr>
        <w:pStyle w:val="ListParagraph"/>
        <w:jc w:val="both"/>
        <w:rPr>
          <w:rFonts w:ascii="Arial" w:hAnsi="Arial"/>
          <w:i/>
          <w:iCs/>
          <w:sz w:val="24"/>
        </w:rPr>
      </w:pPr>
      <w:r w:rsidRPr="00EC397A">
        <w:rPr>
          <w:rFonts w:ascii="Arial" w:hAnsi="Arial"/>
          <w:i/>
          <w:iCs/>
          <w:sz w:val="24"/>
        </w:rPr>
        <w:t>Immediately on the Company satisfying all of the conditions, the Company will be deemed to have exercised the Option and to have earned a 75% interest in and to the Property which will vest to the Company, subject to the net smelter returns royalty (“NSR Royalty”). A NSR Royalty of two and a half percent (2.5%) is payable to a third party of net smelter returns from minerals mined and removed from the Property (payable pro-rata based on ownership interest in the Property).</w:t>
      </w:r>
    </w:p>
    <w:p w14:paraId="3CAF1778" w14:textId="24242BCA" w:rsidR="003511B5" w:rsidRDefault="003511B5" w:rsidP="00EC397A">
      <w:pPr>
        <w:pStyle w:val="ListParagraph"/>
        <w:jc w:val="both"/>
        <w:rPr>
          <w:rFonts w:ascii="Arial" w:hAnsi="Arial"/>
          <w:i/>
          <w:iCs/>
          <w:sz w:val="24"/>
        </w:rPr>
      </w:pPr>
    </w:p>
    <w:p w14:paraId="1AB0AC04" w14:textId="7529E7A6" w:rsidR="003511B5" w:rsidRDefault="003511B5" w:rsidP="00EC397A">
      <w:pPr>
        <w:pStyle w:val="ListParagraph"/>
        <w:jc w:val="both"/>
        <w:rPr>
          <w:rFonts w:ascii="Arial" w:hAnsi="Arial"/>
          <w:i/>
          <w:iCs/>
          <w:sz w:val="24"/>
        </w:rPr>
      </w:pPr>
      <w:r>
        <w:rPr>
          <w:rFonts w:ascii="Arial" w:hAnsi="Arial"/>
          <w:i/>
          <w:iCs/>
          <w:sz w:val="24"/>
        </w:rPr>
        <w:t>On March 30, 2022, the Company announced</w:t>
      </w:r>
      <w:r w:rsidR="00E86238">
        <w:rPr>
          <w:rFonts w:ascii="Arial" w:hAnsi="Arial"/>
          <w:i/>
          <w:iCs/>
          <w:sz w:val="24"/>
        </w:rPr>
        <w:t xml:space="preserve"> it had</w:t>
      </w:r>
      <w:r>
        <w:rPr>
          <w:rFonts w:ascii="Arial" w:hAnsi="Arial"/>
          <w:i/>
          <w:iCs/>
          <w:sz w:val="24"/>
        </w:rPr>
        <w:t xml:space="preserve"> </w:t>
      </w:r>
      <w:r w:rsidR="00E86238" w:rsidRPr="00E86238">
        <w:rPr>
          <w:rFonts w:ascii="Arial" w:hAnsi="Arial"/>
          <w:i/>
          <w:iCs/>
          <w:sz w:val="24"/>
        </w:rPr>
        <w:t>finalized and executed an Amalgamation Agreement with 1290945 B.C. Ltd to which a wholly owned subsidiary of Basin Uranium will amalgamate with 1290945 B.C. Ltd. The principal asset of 1290945 B.C. Ltd. is a 100%-interest in the Wray Mesa project in San Juan County, Utah.</w:t>
      </w:r>
    </w:p>
    <w:p w14:paraId="63A8C06A" w14:textId="5BEA9F1D" w:rsidR="00E86238" w:rsidRDefault="00E86238" w:rsidP="00EC397A">
      <w:pPr>
        <w:pStyle w:val="ListParagraph"/>
        <w:jc w:val="both"/>
        <w:rPr>
          <w:rFonts w:ascii="Arial" w:hAnsi="Arial"/>
          <w:i/>
          <w:iCs/>
          <w:sz w:val="24"/>
        </w:rPr>
      </w:pPr>
    </w:p>
    <w:p w14:paraId="52E6F7FF" w14:textId="40BD3588" w:rsidR="00E86238" w:rsidRDefault="00E86238" w:rsidP="00EC397A">
      <w:pPr>
        <w:pStyle w:val="ListParagraph"/>
        <w:jc w:val="both"/>
        <w:rPr>
          <w:rFonts w:ascii="Arial" w:hAnsi="Arial"/>
          <w:i/>
          <w:iCs/>
          <w:sz w:val="24"/>
        </w:rPr>
      </w:pPr>
      <w:r w:rsidRPr="00E86238">
        <w:rPr>
          <w:rFonts w:ascii="Arial" w:hAnsi="Arial"/>
          <w:i/>
          <w:iCs/>
          <w:sz w:val="24"/>
        </w:rPr>
        <w:t xml:space="preserve">Under the executed Definitive Agreement, Basin Uranium Corp. is acquiring all of the issued and outstanding securities of </w:t>
      </w:r>
      <w:r>
        <w:rPr>
          <w:rFonts w:ascii="Arial" w:hAnsi="Arial"/>
          <w:i/>
          <w:iCs/>
          <w:sz w:val="24"/>
        </w:rPr>
        <w:t>1290945 B.C. Ltd.</w:t>
      </w:r>
      <w:r w:rsidRPr="00E86238">
        <w:rPr>
          <w:rFonts w:ascii="Arial" w:hAnsi="Arial"/>
          <w:i/>
          <w:iCs/>
          <w:sz w:val="24"/>
        </w:rPr>
        <w:t xml:space="preserve"> for 4,268,529 million shares of Basin Uranium Corp. as well as 250,000 shares to the original property vendor. The shares issued in conjunction to the acquisition will be subject to the following restrictions on transfer: 50% will be free trading on issuance with further tranches of 10% to be released monthly starting on the fifth month anniversary of closing. Basin will be required within 18-months of closing to complete a minimum C$1.0 million exploration program on the Property. The property is subject to a 1.25% net smelter return (the “</w:t>
      </w:r>
      <w:r w:rsidRPr="00E86238">
        <w:rPr>
          <w:rFonts w:ascii="Arial" w:hAnsi="Arial"/>
          <w:b/>
          <w:bCs/>
          <w:i/>
          <w:iCs/>
          <w:sz w:val="24"/>
        </w:rPr>
        <w:t>NSR</w:t>
      </w:r>
      <w:r w:rsidRPr="00E86238">
        <w:rPr>
          <w:rFonts w:ascii="Arial" w:hAnsi="Arial"/>
          <w:i/>
          <w:iCs/>
          <w:sz w:val="24"/>
        </w:rPr>
        <w:t>”) royalty on future production of which sixty percent of the royalty (being 0.75%) can be repurchased for C$500,000 and the remaining forty percent of the royalty (being 0.5%)</w:t>
      </w:r>
      <w:r>
        <w:rPr>
          <w:rFonts w:ascii="Arial" w:hAnsi="Arial"/>
          <w:i/>
          <w:iCs/>
          <w:sz w:val="24"/>
        </w:rPr>
        <w:t xml:space="preserve"> </w:t>
      </w:r>
      <w:r w:rsidRPr="00E86238">
        <w:rPr>
          <w:rFonts w:ascii="Arial" w:hAnsi="Arial"/>
          <w:i/>
          <w:iCs/>
          <w:sz w:val="24"/>
        </w:rPr>
        <w:t xml:space="preserve">can be repurchased for C$750,000. </w:t>
      </w:r>
    </w:p>
    <w:p w14:paraId="35BB7FB1" w14:textId="751E889B" w:rsidR="00CE5063" w:rsidRDefault="00CE5063" w:rsidP="00EC397A">
      <w:pPr>
        <w:pStyle w:val="ListParagraph"/>
        <w:jc w:val="both"/>
        <w:rPr>
          <w:rFonts w:ascii="Arial" w:hAnsi="Arial"/>
          <w:i/>
          <w:iCs/>
          <w:sz w:val="24"/>
        </w:rPr>
      </w:pPr>
    </w:p>
    <w:p w14:paraId="2F6BA44F" w14:textId="0A5D2198" w:rsidR="00CE5063" w:rsidRDefault="00CE5063" w:rsidP="00EC397A">
      <w:pPr>
        <w:pStyle w:val="ListParagraph"/>
        <w:jc w:val="both"/>
        <w:rPr>
          <w:rFonts w:ascii="Arial" w:hAnsi="Arial"/>
          <w:i/>
          <w:iCs/>
          <w:sz w:val="24"/>
        </w:rPr>
      </w:pPr>
      <w:r>
        <w:rPr>
          <w:rFonts w:ascii="Arial" w:hAnsi="Arial"/>
          <w:i/>
          <w:iCs/>
          <w:sz w:val="24"/>
        </w:rPr>
        <w:t xml:space="preserve">On April 17, 2022, the Company </w:t>
      </w:r>
      <w:r w:rsidRPr="00CE5063">
        <w:rPr>
          <w:rFonts w:ascii="Arial" w:hAnsi="Arial"/>
          <w:i/>
          <w:iCs/>
          <w:sz w:val="24"/>
        </w:rPr>
        <w:t xml:space="preserve">entered into an option to acquire a 100% undivided interest in the Dylan and Ajax claims within the Wray Mesa project, in addition to the Tessy Claims located in Fry Canyon. Under the proposed terms of the LOI, Basin will pay US$30,000 in cash and issue US$20,000 worth of shares of Basin on the effective date of the Option. Basin will have 24 months of unencumbered access to the claims to conduct exploration activities, subject to maintaining the claims in good standing, with the option to purchase the claims for US$250,000 in cash or shares, at the election of the vendor. The shares issued as </w:t>
      </w:r>
      <w:r w:rsidRPr="00CE5063">
        <w:rPr>
          <w:rFonts w:ascii="Arial" w:hAnsi="Arial"/>
          <w:i/>
          <w:iCs/>
          <w:sz w:val="24"/>
        </w:rPr>
        <w:lastRenderedPageBreak/>
        <w:t>consideration for the agreement will be subject to a four-month statutory hold period in Canada.</w:t>
      </w:r>
    </w:p>
    <w:p w14:paraId="31DE8735" w14:textId="40F5BE91" w:rsidR="00020D4A" w:rsidRDefault="00020D4A" w:rsidP="00EC397A">
      <w:pPr>
        <w:pStyle w:val="ListParagraph"/>
        <w:jc w:val="both"/>
        <w:rPr>
          <w:rFonts w:ascii="Arial" w:hAnsi="Arial"/>
          <w:i/>
          <w:iCs/>
          <w:sz w:val="24"/>
        </w:rPr>
      </w:pPr>
    </w:p>
    <w:p w14:paraId="2E9C9100" w14:textId="36BB6D8A" w:rsidR="00020D4A" w:rsidRDefault="00020D4A" w:rsidP="00EC397A">
      <w:pPr>
        <w:pStyle w:val="ListParagraph"/>
        <w:jc w:val="both"/>
        <w:rPr>
          <w:rFonts w:ascii="Arial" w:hAnsi="Arial"/>
          <w:i/>
          <w:iCs/>
          <w:sz w:val="24"/>
        </w:rPr>
      </w:pPr>
      <w:r w:rsidRPr="00020D4A">
        <w:rPr>
          <w:rFonts w:ascii="Arial" w:hAnsi="Arial"/>
          <w:i/>
          <w:iCs/>
          <w:sz w:val="24"/>
        </w:rPr>
        <w:t>Basin Uranium Corp. will have an option to acquire a 100% undivided interest in the Dylan and Ajax claims within the Wray Mesa project, in addition to the Tessy Claims located in Fry Canyon. Under the proposed terms of the LOI, Basin will pay US$30,000 in cash and issue US$20,000 worth of shares of Basin on the effective date of the Option. Basin will have 24 months of unencumbered access to the claims to conduct exploration activities, subject to maintaining the claims in good standing, with the option to purchase the claims for US$250,000 in cash or shares, at the election of the vendor. The shares issued as consideration for the agreement will be subject to a four-month statutory hold period in Canada.</w:t>
      </w:r>
    </w:p>
    <w:p w14:paraId="4F661103" w14:textId="19A77DAE" w:rsidR="00612DD1" w:rsidRDefault="00612DD1" w:rsidP="00EC397A">
      <w:pPr>
        <w:pStyle w:val="ListParagraph"/>
        <w:jc w:val="both"/>
        <w:rPr>
          <w:rFonts w:ascii="Arial" w:hAnsi="Arial"/>
          <w:i/>
          <w:iCs/>
          <w:sz w:val="24"/>
        </w:rPr>
      </w:pPr>
    </w:p>
    <w:p w14:paraId="498D2AAB" w14:textId="70BBB42D" w:rsidR="00612DD1" w:rsidRDefault="00612DD1" w:rsidP="00EC397A">
      <w:pPr>
        <w:pStyle w:val="ListParagraph"/>
        <w:jc w:val="both"/>
        <w:rPr>
          <w:rFonts w:ascii="Arial" w:hAnsi="Arial"/>
          <w:i/>
          <w:iCs/>
          <w:sz w:val="24"/>
        </w:rPr>
      </w:pPr>
      <w:r>
        <w:rPr>
          <w:rFonts w:ascii="Arial" w:hAnsi="Arial"/>
          <w:i/>
          <w:iCs/>
          <w:sz w:val="24"/>
        </w:rPr>
        <w:t xml:space="preserve">On September 07, 2022 the company announced </w:t>
      </w:r>
      <w:r w:rsidRPr="00612DD1">
        <w:rPr>
          <w:rFonts w:ascii="Arial" w:hAnsi="Arial"/>
          <w:i/>
          <w:iCs/>
          <w:sz w:val="24"/>
        </w:rPr>
        <w:t>he intersection of significant uranium mineralization from the five-hole phase one drill program at its Mann Lake project located  25 km southwest of the McArthur River Mine and 15 km to the northeast along strike of Cameco’s Millennium uranium deposit.</w:t>
      </w:r>
      <w:r>
        <w:rPr>
          <w:rFonts w:ascii="Arial" w:hAnsi="Arial"/>
          <w:i/>
          <w:iCs/>
          <w:sz w:val="24"/>
        </w:rPr>
        <w:t xml:space="preserve"> </w:t>
      </w:r>
    </w:p>
    <w:p w14:paraId="6BFC1CB4" w14:textId="41E6170F" w:rsidR="00612DD1" w:rsidRDefault="00612DD1" w:rsidP="00EC397A">
      <w:pPr>
        <w:pStyle w:val="ListParagraph"/>
        <w:jc w:val="both"/>
        <w:rPr>
          <w:rFonts w:ascii="Arial" w:hAnsi="Arial"/>
          <w:i/>
          <w:iCs/>
          <w:sz w:val="24"/>
        </w:rPr>
      </w:pPr>
    </w:p>
    <w:p w14:paraId="3BCC1860" w14:textId="77777777" w:rsidR="00612DD1" w:rsidRPr="00612DD1" w:rsidRDefault="00612DD1" w:rsidP="00612DD1">
      <w:pPr>
        <w:pStyle w:val="ListParagraph"/>
        <w:jc w:val="both"/>
        <w:rPr>
          <w:rFonts w:ascii="Arial" w:hAnsi="Arial"/>
          <w:i/>
          <w:iCs/>
          <w:sz w:val="24"/>
          <w:lang w:val="en-CA"/>
        </w:rPr>
      </w:pPr>
      <w:r w:rsidRPr="00612DD1">
        <w:rPr>
          <w:rFonts w:ascii="Arial" w:hAnsi="Arial"/>
          <w:b/>
          <w:bCs/>
          <w:i/>
          <w:iCs/>
          <w:sz w:val="24"/>
          <w:lang w:val="en-CA"/>
        </w:rPr>
        <w:t>Phase One Drilling Highlights</w:t>
      </w:r>
    </w:p>
    <w:p w14:paraId="1FD00187" w14:textId="59498058" w:rsidR="00612DD1" w:rsidRDefault="00612DD1" w:rsidP="00612DD1">
      <w:pPr>
        <w:pStyle w:val="ListParagraph"/>
        <w:jc w:val="both"/>
        <w:rPr>
          <w:rFonts w:ascii="Arial" w:hAnsi="Arial"/>
          <w:i/>
          <w:iCs/>
          <w:sz w:val="24"/>
          <w:lang w:val="en-CA"/>
        </w:rPr>
      </w:pPr>
      <w:r w:rsidRPr="00612DD1">
        <w:rPr>
          <w:rFonts w:ascii="Arial" w:hAnsi="Arial"/>
          <w:i/>
          <w:iCs/>
          <w:sz w:val="24"/>
          <w:lang w:val="en-CA"/>
        </w:rPr>
        <w:t>323 ppm U</w:t>
      </w:r>
      <w:r w:rsidRPr="00612DD1">
        <w:rPr>
          <w:rFonts w:ascii="Arial" w:hAnsi="Arial"/>
          <w:i/>
          <w:iCs/>
          <w:sz w:val="24"/>
          <w:vertAlign w:val="subscript"/>
          <w:lang w:val="en-CA"/>
        </w:rPr>
        <w:t>3</w:t>
      </w:r>
      <w:r w:rsidRPr="00612DD1">
        <w:rPr>
          <w:rFonts w:ascii="Arial" w:hAnsi="Arial"/>
          <w:i/>
          <w:iCs/>
          <w:sz w:val="24"/>
          <w:lang w:val="en-CA"/>
        </w:rPr>
        <w:t>O</w:t>
      </w:r>
      <w:r w:rsidRPr="00612DD1">
        <w:rPr>
          <w:rFonts w:ascii="Arial" w:hAnsi="Arial"/>
          <w:i/>
          <w:iCs/>
          <w:sz w:val="24"/>
          <w:vertAlign w:val="subscript"/>
          <w:lang w:val="en-CA"/>
        </w:rPr>
        <w:t>8</w:t>
      </w:r>
      <w:r w:rsidRPr="00612DD1">
        <w:rPr>
          <w:rFonts w:ascii="Arial" w:hAnsi="Arial"/>
          <w:i/>
          <w:iCs/>
          <w:sz w:val="24"/>
          <w:lang w:val="en-CA"/>
        </w:rPr>
        <w:t> over 0.5 meters, intersected 30 metres below the unconformity within a broader 7.2-metre interval of anomalous uranium and graphite mineralization in hole MN22002. Additionally, 46 ppm U</w:t>
      </w:r>
      <w:r w:rsidRPr="00612DD1">
        <w:rPr>
          <w:rFonts w:ascii="Arial" w:hAnsi="Arial"/>
          <w:i/>
          <w:iCs/>
          <w:sz w:val="24"/>
          <w:vertAlign w:val="subscript"/>
          <w:lang w:val="en-CA"/>
        </w:rPr>
        <w:t>3</w:t>
      </w:r>
      <w:r w:rsidRPr="00612DD1">
        <w:rPr>
          <w:rFonts w:ascii="Arial" w:hAnsi="Arial"/>
          <w:i/>
          <w:iCs/>
          <w:sz w:val="24"/>
          <w:lang w:val="en-CA"/>
        </w:rPr>
        <w:t>O</w:t>
      </w:r>
      <w:r w:rsidRPr="00612DD1">
        <w:rPr>
          <w:rFonts w:ascii="Arial" w:hAnsi="Arial"/>
          <w:i/>
          <w:iCs/>
          <w:sz w:val="24"/>
          <w:vertAlign w:val="subscript"/>
          <w:lang w:val="en-CA"/>
        </w:rPr>
        <w:t>8</w:t>
      </w:r>
      <w:r w:rsidRPr="00612DD1">
        <w:rPr>
          <w:rFonts w:ascii="Arial" w:hAnsi="Arial"/>
          <w:i/>
          <w:iCs/>
          <w:sz w:val="24"/>
          <w:lang w:val="en-CA"/>
        </w:rPr>
        <w:t> over 0.5 meters intersected 8 metres below the unconformity and immediately beneath a strongly sericite bleached shear zone in hole MN22004.</w:t>
      </w:r>
    </w:p>
    <w:p w14:paraId="73CDA827" w14:textId="77777777" w:rsidR="00612DD1" w:rsidRPr="00612DD1" w:rsidRDefault="00612DD1" w:rsidP="00612DD1">
      <w:pPr>
        <w:pStyle w:val="ListParagraph"/>
        <w:jc w:val="both"/>
        <w:rPr>
          <w:rFonts w:ascii="Arial" w:hAnsi="Arial"/>
          <w:i/>
          <w:iCs/>
          <w:sz w:val="24"/>
          <w:lang w:val="en-CA"/>
        </w:rPr>
      </w:pPr>
    </w:p>
    <w:p w14:paraId="09D76C0B" w14:textId="77777777" w:rsidR="00612DD1" w:rsidRPr="00612DD1" w:rsidRDefault="00612DD1" w:rsidP="00612DD1">
      <w:pPr>
        <w:pStyle w:val="ListParagraph"/>
        <w:jc w:val="both"/>
        <w:rPr>
          <w:rFonts w:ascii="Arial" w:hAnsi="Arial"/>
          <w:i/>
          <w:iCs/>
          <w:sz w:val="24"/>
          <w:lang w:val="en-CA"/>
        </w:rPr>
      </w:pPr>
      <w:r w:rsidRPr="00612DD1">
        <w:rPr>
          <w:rFonts w:ascii="Arial" w:hAnsi="Arial"/>
          <w:i/>
          <w:iCs/>
          <w:sz w:val="24"/>
          <w:lang w:val="en-CA"/>
        </w:rPr>
        <w:t>Significant boron (B) mineralization, which serves as a pathfinder element for uranium deposits, with over 1,000 ppm B encountered at the unconformity in hole MN22005, 525 ppm B encountered at the unconformity in hole MN22001 and 319 ppm B in dravite (boron-rich clay) blow the unconformity in hole MN22003.</w:t>
      </w:r>
    </w:p>
    <w:p w14:paraId="285886DD" w14:textId="33B8C77F" w:rsidR="00612DD1" w:rsidRDefault="00612DD1" w:rsidP="00612DD1">
      <w:pPr>
        <w:pStyle w:val="ListParagraph"/>
        <w:jc w:val="both"/>
        <w:rPr>
          <w:rFonts w:ascii="Arial" w:hAnsi="Arial"/>
          <w:i/>
          <w:iCs/>
          <w:sz w:val="24"/>
          <w:lang w:val="en-CA"/>
        </w:rPr>
      </w:pPr>
      <w:r w:rsidRPr="00612DD1">
        <w:rPr>
          <w:rFonts w:ascii="Arial" w:hAnsi="Arial"/>
          <w:i/>
          <w:iCs/>
          <w:sz w:val="24"/>
          <w:lang w:val="en-CA"/>
        </w:rPr>
        <w:t>Significant rare earth elements (REE’s), including a highlight value of 5,028 ppm over 0.5 meters within a broader 50-metre interval of anomalous mineralization starting 20 metres below the unconformity in hole MN22003.</w:t>
      </w:r>
    </w:p>
    <w:p w14:paraId="52CA1932" w14:textId="77777777" w:rsidR="00612DD1" w:rsidRPr="00612DD1" w:rsidRDefault="00612DD1" w:rsidP="00612DD1">
      <w:pPr>
        <w:pStyle w:val="ListParagraph"/>
        <w:jc w:val="both"/>
        <w:rPr>
          <w:rFonts w:ascii="Arial" w:hAnsi="Arial"/>
          <w:i/>
          <w:iCs/>
          <w:sz w:val="24"/>
          <w:lang w:val="en-CA"/>
        </w:rPr>
      </w:pPr>
    </w:p>
    <w:p w14:paraId="673A8DD8" w14:textId="2E3566A3" w:rsidR="00612DD1" w:rsidRDefault="00612DD1" w:rsidP="00612DD1">
      <w:pPr>
        <w:pStyle w:val="ListParagraph"/>
        <w:jc w:val="both"/>
        <w:rPr>
          <w:rFonts w:ascii="Arial" w:hAnsi="Arial"/>
          <w:i/>
          <w:iCs/>
          <w:sz w:val="24"/>
          <w:lang w:val="en-CA"/>
        </w:rPr>
      </w:pPr>
      <w:r w:rsidRPr="00612DD1">
        <w:rPr>
          <w:rFonts w:ascii="Arial" w:hAnsi="Arial"/>
          <w:i/>
          <w:iCs/>
          <w:sz w:val="24"/>
          <w:lang w:val="en-CA"/>
        </w:rPr>
        <w:t>Statistical analysis demonstrates correlation between anomalous concentrations of pathfinder elements (B, Co, Cu, Ni, and Pb) associated with the anomalous uranium mineralization. Pathfinder elements are widely regarded as guides to the discovery of unconformity-style uranium deposits and provide further evidence of the presence of fluid movement potentially related to a uranium mineralizing system.</w:t>
      </w:r>
    </w:p>
    <w:p w14:paraId="51AF3C07" w14:textId="77777777" w:rsidR="00612DD1" w:rsidRPr="00612DD1" w:rsidRDefault="00612DD1" w:rsidP="00612DD1">
      <w:pPr>
        <w:pStyle w:val="ListParagraph"/>
        <w:jc w:val="both"/>
        <w:rPr>
          <w:rFonts w:ascii="Arial" w:hAnsi="Arial"/>
          <w:i/>
          <w:iCs/>
          <w:sz w:val="24"/>
          <w:lang w:val="en-CA"/>
        </w:rPr>
      </w:pPr>
    </w:p>
    <w:p w14:paraId="4C609533" w14:textId="14A3D432" w:rsidR="00612DD1" w:rsidRDefault="00612DD1" w:rsidP="00612DD1">
      <w:pPr>
        <w:pStyle w:val="ListParagraph"/>
        <w:jc w:val="both"/>
        <w:rPr>
          <w:rFonts w:ascii="Arial" w:hAnsi="Arial"/>
          <w:i/>
          <w:iCs/>
          <w:sz w:val="24"/>
          <w:lang w:val="en-CA"/>
        </w:rPr>
      </w:pPr>
      <w:r w:rsidRPr="00612DD1">
        <w:rPr>
          <w:rFonts w:ascii="Arial" w:hAnsi="Arial"/>
          <w:i/>
          <w:iCs/>
          <w:sz w:val="24"/>
          <w:lang w:val="en-CA"/>
        </w:rPr>
        <w:t>A phase two drill program at Mann Lake is planned to commence shortly to follow-up on the encouraging results from phase one. It will also incorporate targets generated from the recently completed geophysical surveys on the property which include gravity and airborne mobile magnetotellurics (mobile MT). The results of these surveys are currently being analyzed and incorporated into historic geophysical surveys with results anticipated to be released in the near-term.</w:t>
      </w:r>
    </w:p>
    <w:p w14:paraId="6C103257" w14:textId="44682BF1" w:rsidR="00612DD1" w:rsidRDefault="00612DD1" w:rsidP="00612DD1">
      <w:pPr>
        <w:pStyle w:val="ListParagraph"/>
        <w:jc w:val="both"/>
        <w:rPr>
          <w:rFonts w:ascii="Arial" w:hAnsi="Arial"/>
          <w:i/>
          <w:iCs/>
          <w:sz w:val="24"/>
          <w:lang w:val="en-CA"/>
        </w:rPr>
      </w:pPr>
    </w:p>
    <w:p w14:paraId="1BFB20E6" w14:textId="38189CD6" w:rsidR="00612DD1" w:rsidRDefault="00612DD1" w:rsidP="00612DD1">
      <w:pPr>
        <w:pStyle w:val="ListParagraph"/>
        <w:jc w:val="both"/>
        <w:rPr>
          <w:rFonts w:ascii="Arial" w:hAnsi="Arial"/>
          <w:i/>
          <w:iCs/>
          <w:sz w:val="24"/>
          <w:lang w:val="en-CA"/>
        </w:rPr>
      </w:pPr>
      <w:r>
        <w:rPr>
          <w:rFonts w:ascii="Arial" w:hAnsi="Arial"/>
          <w:i/>
          <w:iCs/>
          <w:sz w:val="24"/>
          <w:lang w:val="en-CA"/>
        </w:rPr>
        <w:lastRenderedPageBreak/>
        <w:t xml:space="preserve">On September 13, 2022 the company announced </w:t>
      </w:r>
      <w:r w:rsidRPr="00612DD1">
        <w:rPr>
          <w:rFonts w:ascii="Arial" w:hAnsi="Arial"/>
          <w:i/>
          <w:iCs/>
          <w:sz w:val="24"/>
          <w:lang w:val="en-CA"/>
        </w:rPr>
        <w:t>the completion of a ground based gravity survey and a heliborne Mobile MT Electromagnetic and Magnetic survey at its Mann Lake project located  25 km southwest of the McArthur River Mine and 15 km to the northeast along strike of Cameco’s Millennium uranium deposit.</w:t>
      </w:r>
    </w:p>
    <w:p w14:paraId="234599E8" w14:textId="77777777" w:rsidR="00612DD1" w:rsidRPr="00612DD1" w:rsidRDefault="00612DD1" w:rsidP="00612DD1">
      <w:pPr>
        <w:pStyle w:val="ListParagraph"/>
        <w:jc w:val="both"/>
        <w:rPr>
          <w:rFonts w:ascii="Arial" w:hAnsi="Arial"/>
          <w:i/>
          <w:iCs/>
          <w:sz w:val="24"/>
          <w:lang w:val="en-CA"/>
        </w:rPr>
      </w:pPr>
    </w:p>
    <w:p w14:paraId="0C29DA78" w14:textId="402E1CCB" w:rsidR="00612DD1" w:rsidRDefault="00612DD1" w:rsidP="00612DD1">
      <w:pPr>
        <w:pStyle w:val="ListParagraph"/>
        <w:jc w:val="both"/>
        <w:rPr>
          <w:rFonts w:ascii="Arial" w:hAnsi="Arial"/>
          <w:i/>
          <w:iCs/>
          <w:sz w:val="24"/>
          <w:lang w:val="en-CA"/>
        </w:rPr>
      </w:pPr>
      <w:r w:rsidRPr="00612DD1">
        <w:rPr>
          <w:rFonts w:ascii="Arial" w:hAnsi="Arial"/>
          <w:i/>
          <w:iCs/>
          <w:sz w:val="24"/>
          <w:lang w:val="en-CA"/>
        </w:rPr>
        <w:t>The recently collected and interpreted geophysical data has generated new drill targets over prospective areas on the Mann Lake property. The Phase two drill program will test the potential for uranium mineralization along interpreted lineament or structural corridors at the unconformity and in the basement, that correspond with resistivity and magnetic lows and the margins of gravity lows.</w:t>
      </w:r>
    </w:p>
    <w:p w14:paraId="44136479" w14:textId="37024FCC" w:rsidR="00612DD1" w:rsidRDefault="00612DD1" w:rsidP="00612DD1">
      <w:pPr>
        <w:pStyle w:val="ListParagraph"/>
        <w:jc w:val="both"/>
        <w:rPr>
          <w:rFonts w:ascii="Arial" w:hAnsi="Arial"/>
          <w:i/>
          <w:iCs/>
          <w:sz w:val="24"/>
          <w:lang w:val="en-CA"/>
        </w:rPr>
      </w:pPr>
    </w:p>
    <w:p w14:paraId="6EBC16C7" w14:textId="2AF14E6F" w:rsidR="00612DD1" w:rsidRDefault="00612DD1" w:rsidP="00612DD1">
      <w:pPr>
        <w:pStyle w:val="ListParagraph"/>
        <w:jc w:val="both"/>
        <w:rPr>
          <w:rFonts w:ascii="Arial" w:hAnsi="Arial"/>
          <w:i/>
          <w:iCs/>
          <w:sz w:val="24"/>
        </w:rPr>
      </w:pPr>
      <w:r>
        <w:rPr>
          <w:rFonts w:ascii="Arial" w:hAnsi="Arial"/>
          <w:i/>
          <w:iCs/>
          <w:sz w:val="24"/>
          <w:lang w:val="en-CA"/>
        </w:rPr>
        <w:t xml:space="preserve">On September 20, 2022 the company announced </w:t>
      </w:r>
      <w:r w:rsidR="00A509C1">
        <w:rPr>
          <w:rFonts w:ascii="Arial" w:hAnsi="Arial"/>
          <w:i/>
          <w:iCs/>
          <w:sz w:val="24"/>
          <w:lang w:val="en-CA"/>
        </w:rPr>
        <w:t>th</w:t>
      </w:r>
      <w:r w:rsidRPr="00612DD1">
        <w:rPr>
          <w:rFonts w:ascii="Arial" w:hAnsi="Arial"/>
          <w:i/>
          <w:iCs/>
          <w:sz w:val="24"/>
        </w:rPr>
        <w:t>e commencement of a Phase two diamond drilling program at its Mann Lake project located  25 km southwest of the McArthur River Mine and 15 km to the northeast along strike of Cameco’s Millennium uranium deposit.</w:t>
      </w:r>
    </w:p>
    <w:p w14:paraId="1ECF83B7" w14:textId="19FCD801" w:rsidR="00612DD1" w:rsidRDefault="00612DD1" w:rsidP="00612DD1">
      <w:pPr>
        <w:pStyle w:val="ListParagraph"/>
        <w:jc w:val="both"/>
        <w:rPr>
          <w:rFonts w:ascii="Arial" w:hAnsi="Arial"/>
          <w:i/>
          <w:iCs/>
          <w:sz w:val="24"/>
        </w:rPr>
      </w:pPr>
    </w:p>
    <w:p w14:paraId="6111EB00" w14:textId="77777777" w:rsidR="00612DD1" w:rsidRPr="00612DD1" w:rsidRDefault="00612DD1" w:rsidP="00612DD1">
      <w:pPr>
        <w:pStyle w:val="ListParagraph"/>
        <w:jc w:val="both"/>
        <w:rPr>
          <w:rFonts w:ascii="Arial" w:hAnsi="Arial"/>
          <w:i/>
          <w:iCs/>
          <w:sz w:val="24"/>
          <w:lang w:val="en-CA"/>
        </w:rPr>
      </w:pPr>
      <w:r w:rsidRPr="00612DD1">
        <w:rPr>
          <w:rFonts w:ascii="Arial" w:hAnsi="Arial"/>
          <w:b/>
          <w:bCs/>
          <w:i/>
          <w:iCs/>
          <w:sz w:val="24"/>
          <w:u w:val="single"/>
          <w:lang w:val="en-CA"/>
        </w:rPr>
        <w:t>Highlights</w:t>
      </w:r>
    </w:p>
    <w:p w14:paraId="07713CE4" w14:textId="5B7EFC05" w:rsidR="00612DD1" w:rsidRDefault="00612DD1" w:rsidP="00612DD1">
      <w:pPr>
        <w:pStyle w:val="ListParagraph"/>
        <w:jc w:val="both"/>
        <w:rPr>
          <w:rFonts w:ascii="Arial" w:hAnsi="Arial"/>
          <w:i/>
          <w:iCs/>
          <w:sz w:val="24"/>
          <w:lang w:val="en-CA"/>
        </w:rPr>
      </w:pPr>
      <w:r w:rsidRPr="00612DD1">
        <w:rPr>
          <w:rFonts w:ascii="Arial" w:hAnsi="Arial"/>
          <w:i/>
          <w:iCs/>
          <w:sz w:val="24"/>
          <w:lang w:val="en-CA"/>
        </w:rPr>
        <w:t>Phase two drilling is designed to follow-up on exciting targets generated from phase one drilling and recently completed geophysical surveys at Mann Lake.</w:t>
      </w:r>
    </w:p>
    <w:p w14:paraId="31972415" w14:textId="77777777" w:rsidR="00612DD1" w:rsidRPr="00612DD1" w:rsidRDefault="00612DD1" w:rsidP="00612DD1">
      <w:pPr>
        <w:pStyle w:val="ListParagraph"/>
        <w:jc w:val="both"/>
        <w:rPr>
          <w:rFonts w:ascii="Arial" w:hAnsi="Arial"/>
          <w:i/>
          <w:iCs/>
          <w:sz w:val="24"/>
          <w:lang w:val="en-CA"/>
        </w:rPr>
      </w:pPr>
    </w:p>
    <w:p w14:paraId="1E399ACC" w14:textId="0E50126C" w:rsidR="00612DD1" w:rsidRDefault="00612DD1" w:rsidP="00612DD1">
      <w:pPr>
        <w:pStyle w:val="ListParagraph"/>
        <w:jc w:val="both"/>
        <w:rPr>
          <w:rFonts w:ascii="Arial" w:hAnsi="Arial"/>
          <w:i/>
          <w:iCs/>
          <w:sz w:val="24"/>
          <w:lang w:val="en-CA"/>
        </w:rPr>
      </w:pPr>
      <w:r w:rsidRPr="00612DD1">
        <w:rPr>
          <w:rFonts w:ascii="Arial" w:hAnsi="Arial"/>
          <w:i/>
          <w:iCs/>
          <w:sz w:val="24"/>
          <w:lang w:val="en-CA"/>
        </w:rPr>
        <w:t>Approximately 4,000 meters of core drilling is planned for phase two covering the southern portion of the project</w:t>
      </w:r>
    </w:p>
    <w:p w14:paraId="30DF7614" w14:textId="77777777" w:rsidR="00612DD1" w:rsidRPr="00612DD1" w:rsidRDefault="00612DD1" w:rsidP="00612DD1">
      <w:pPr>
        <w:pStyle w:val="ListParagraph"/>
        <w:jc w:val="both"/>
        <w:rPr>
          <w:rFonts w:ascii="Arial" w:hAnsi="Arial"/>
          <w:i/>
          <w:iCs/>
          <w:sz w:val="24"/>
          <w:lang w:val="en-CA"/>
        </w:rPr>
      </w:pPr>
    </w:p>
    <w:p w14:paraId="22F43EC8" w14:textId="07C1A3A1" w:rsidR="00612DD1" w:rsidRDefault="00612DD1" w:rsidP="00612DD1">
      <w:pPr>
        <w:pStyle w:val="ListParagraph"/>
        <w:jc w:val="both"/>
        <w:rPr>
          <w:rFonts w:ascii="Arial" w:hAnsi="Arial"/>
          <w:i/>
          <w:iCs/>
          <w:sz w:val="24"/>
          <w:lang w:val="en-CA"/>
        </w:rPr>
      </w:pPr>
      <w:r w:rsidRPr="00612DD1">
        <w:rPr>
          <w:rFonts w:ascii="Arial" w:hAnsi="Arial"/>
          <w:i/>
          <w:iCs/>
          <w:sz w:val="24"/>
          <w:lang w:val="en-CA"/>
        </w:rPr>
        <w:t>The first hole of phase two will follow up on uranium mineralization in hole MN22-002 (see Company’s news release dated September 7, 2022)</w:t>
      </w:r>
    </w:p>
    <w:p w14:paraId="2AAEFA1B" w14:textId="77777777" w:rsidR="00612DD1" w:rsidRPr="00612DD1" w:rsidRDefault="00612DD1" w:rsidP="00612DD1">
      <w:pPr>
        <w:pStyle w:val="ListParagraph"/>
        <w:jc w:val="both"/>
        <w:rPr>
          <w:rFonts w:ascii="Arial" w:hAnsi="Arial"/>
          <w:i/>
          <w:iCs/>
          <w:sz w:val="24"/>
          <w:lang w:val="en-CA"/>
        </w:rPr>
      </w:pPr>
    </w:p>
    <w:p w14:paraId="0F193AC1" w14:textId="6C309B30" w:rsidR="00612DD1" w:rsidRDefault="00612DD1" w:rsidP="00612DD1">
      <w:pPr>
        <w:pStyle w:val="ListParagraph"/>
        <w:jc w:val="both"/>
        <w:rPr>
          <w:rFonts w:ascii="Arial" w:hAnsi="Arial"/>
          <w:i/>
          <w:iCs/>
          <w:sz w:val="24"/>
          <w:lang w:val="en-CA"/>
        </w:rPr>
      </w:pPr>
      <w:r w:rsidRPr="00612DD1">
        <w:rPr>
          <w:rFonts w:ascii="Arial" w:hAnsi="Arial"/>
          <w:i/>
          <w:iCs/>
          <w:sz w:val="24"/>
          <w:lang w:val="en-CA"/>
        </w:rPr>
        <w:t>Drilling will also test conductive zones and structures identified in this summers Mobile MT survey along the unconformity contact that corresponds to prevalent gravity lows located near the southeastern portion of the project (see Company’s news release dated September 13, 2022)</w:t>
      </w:r>
    </w:p>
    <w:p w14:paraId="1FBE648B" w14:textId="6623F5BF" w:rsidR="006119A8" w:rsidRDefault="006119A8" w:rsidP="00612DD1">
      <w:pPr>
        <w:pStyle w:val="ListParagraph"/>
        <w:jc w:val="both"/>
        <w:rPr>
          <w:rFonts w:ascii="Arial" w:hAnsi="Arial"/>
          <w:i/>
          <w:iCs/>
          <w:sz w:val="24"/>
          <w:lang w:val="en-CA"/>
        </w:rPr>
      </w:pPr>
    </w:p>
    <w:p w14:paraId="76B0007A" w14:textId="06B61C7F" w:rsidR="006119A8" w:rsidRDefault="006119A8" w:rsidP="006119A8">
      <w:pPr>
        <w:pStyle w:val="ListParagraph"/>
        <w:jc w:val="both"/>
        <w:rPr>
          <w:rFonts w:ascii="Arial" w:hAnsi="Arial"/>
          <w:i/>
          <w:iCs/>
          <w:sz w:val="24"/>
          <w:lang w:val="en-CA"/>
        </w:rPr>
      </w:pPr>
      <w:r>
        <w:rPr>
          <w:rFonts w:ascii="Arial" w:hAnsi="Arial"/>
          <w:i/>
          <w:iCs/>
          <w:sz w:val="24"/>
          <w:lang w:val="en-CA"/>
        </w:rPr>
        <w:t xml:space="preserve">On September 23, 2022 the company announced </w:t>
      </w:r>
      <w:r w:rsidRPr="006119A8">
        <w:rPr>
          <w:rFonts w:ascii="Arial" w:hAnsi="Arial"/>
          <w:i/>
          <w:iCs/>
          <w:sz w:val="24"/>
          <w:lang w:val="en-CA"/>
        </w:rPr>
        <w:t>a non-brokered private placement (the “Unit Private Placement”) of units of the Company (the “Units”) at a price of $0.15 per Unit for gross proceeds of up to $1,000,000. Each Unit will be comprised of one common share in the capital of the Company (each, a “Share”) and one Share purchase warrant (each, a “Warrant”). Each Warrant is exercisable to purchase one additional Share for a period of 24 months from the closing date at an exercise price of $0.25 per Share.</w:t>
      </w:r>
    </w:p>
    <w:p w14:paraId="136FF21B" w14:textId="77777777" w:rsidR="006119A8" w:rsidRPr="006119A8" w:rsidRDefault="006119A8" w:rsidP="006119A8">
      <w:pPr>
        <w:pStyle w:val="ListParagraph"/>
        <w:jc w:val="both"/>
        <w:rPr>
          <w:rFonts w:ascii="Arial" w:hAnsi="Arial"/>
          <w:i/>
          <w:iCs/>
          <w:sz w:val="24"/>
          <w:lang w:val="en-CA"/>
        </w:rPr>
      </w:pPr>
    </w:p>
    <w:p w14:paraId="590F2F32" w14:textId="48A7B19A" w:rsidR="006119A8" w:rsidRDefault="006119A8" w:rsidP="006119A8">
      <w:pPr>
        <w:pStyle w:val="ListParagraph"/>
        <w:jc w:val="both"/>
        <w:rPr>
          <w:rFonts w:ascii="Arial" w:hAnsi="Arial"/>
          <w:i/>
          <w:iCs/>
          <w:sz w:val="24"/>
          <w:lang w:val="en-CA"/>
        </w:rPr>
      </w:pPr>
      <w:r w:rsidRPr="006119A8">
        <w:rPr>
          <w:rFonts w:ascii="Arial" w:hAnsi="Arial"/>
          <w:i/>
          <w:iCs/>
          <w:sz w:val="24"/>
          <w:lang w:val="en-CA"/>
        </w:rPr>
        <w:t>In addition, the Company will be also completing a non-brokered private placement (the “FT Private Placement”, and with the Unit Private Placement, the “Private Placements”) of “flow-through shares” of the Company within the meaning of the Income Tax Act (Canada) (each, a “FT Share”) at $0.18 per FT Share for gross proceeds of up to $1,000,000.</w:t>
      </w:r>
    </w:p>
    <w:p w14:paraId="645538D6" w14:textId="3472460E" w:rsidR="006119A8" w:rsidRDefault="006119A8" w:rsidP="006119A8">
      <w:pPr>
        <w:pStyle w:val="ListParagraph"/>
        <w:jc w:val="both"/>
        <w:rPr>
          <w:rFonts w:ascii="Arial" w:hAnsi="Arial"/>
          <w:i/>
          <w:iCs/>
          <w:sz w:val="24"/>
          <w:lang w:val="en-CA"/>
        </w:rPr>
      </w:pPr>
    </w:p>
    <w:p w14:paraId="0259DF11" w14:textId="4F78DEE9" w:rsidR="006119A8" w:rsidRDefault="006119A8" w:rsidP="006119A8">
      <w:pPr>
        <w:pStyle w:val="ListParagraph"/>
        <w:jc w:val="both"/>
        <w:rPr>
          <w:rFonts w:ascii="Arial" w:hAnsi="Arial"/>
          <w:i/>
          <w:iCs/>
          <w:sz w:val="24"/>
          <w:lang w:val="en-CA"/>
        </w:rPr>
      </w:pPr>
      <w:r>
        <w:rPr>
          <w:rFonts w:ascii="Arial" w:hAnsi="Arial"/>
          <w:i/>
          <w:iCs/>
          <w:sz w:val="24"/>
          <w:lang w:val="en-CA"/>
        </w:rPr>
        <w:lastRenderedPageBreak/>
        <w:t xml:space="preserve">On September 27, 2022 the company announced </w:t>
      </w:r>
      <w:r w:rsidRPr="006119A8">
        <w:rPr>
          <w:rFonts w:ascii="Arial" w:hAnsi="Arial"/>
          <w:i/>
          <w:iCs/>
          <w:sz w:val="24"/>
          <w:lang w:val="en-CA"/>
        </w:rPr>
        <w:t>the receipt of permits to conduct drilling on the Wray Mesa project (the “Property”) in eastern Utah. The Wray Mesa project consists of 308 unpatented lode claims totaling 6,282 acres of wholly-owned and optioned claims (option to earn a 100% interest) contiguous to and adjoining Energy Fuel’s (EFT-T, UUUU-NYSE) fully-permitted and production ready La Sal project which includes a number past-producing uranium and vanadium mines. The La Sal project is host to Measured &amp; Indicated resources of 4.1 Mlb of uranium (U</w:t>
      </w:r>
      <w:r w:rsidRPr="006119A8">
        <w:rPr>
          <w:rFonts w:ascii="Arial" w:hAnsi="Arial"/>
          <w:i/>
          <w:iCs/>
          <w:sz w:val="24"/>
          <w:lang w:val="en-CA"/>
        </w:rPr>
        <w:softHyphen/>
        <w:t>3</w:t>
      </w:r>
      <w:r w:rsidRPr="006119A8">
        <w:rPr>
          <w:rFonts w:ascii="Arial" w:hAnsi="Arial"/>
          <w:i/>
          <w:iCs/>
          <w:sz w:val="24"/>
          <w:lang w:val="en-CA"/>
        </w:rPr>
        <w:softHyphen/>
        <w:t>O8) plus 21.5 Mlb of vanadium (V2O5) plus Inferred resources of 0.4 Mlb of uranium plus 1.9 Mlb of vanadium (source: Technical Report on the La Sal District Project, prepared for Energy Fuels Inc. by D.C. Peters and dated March 25, 2014.).</w:t>
      </w:r>
    </w:p>
    <w:p w14:paraId="6B0C659C" w14:textId="77777777" w:rsidR="006119A8" w:rsidRPr="006119A8" w:rsidRDefault="006119A8" w:rsidP="006119A8">
      <w:pPr>
        <w:pStyle w:val="ListParagraph"/>
        <w:jc w:val="both"/>
        <w:rPr>
          <w:rFonts w:ascii="Arial" w:hAnsi="Arial"/>
          <w:i/>
          <w:iCs/>
          <w:sz w:val="24"/>
          <w:lang w:val="en-CA"/>
        </w:rPr>
      </w:pPr>
    </w:p>
    <w:p w14:paraId="4CCF33AA" w14:textId="6DC048AC" w:rsidR="006119A8" w:rsidRDefault="006119A8" w:rsidP="006119A8">
      <w:pPr>
        <w:pStyle w:val="ListParagraph"/>
        <w:jc w:val="both"/>
        <w:rPr>
          <w:rFonts w:ascii="Arial" w:hAnsi="Arial"/>
          <w:i/>
          <w:iCs/>
          <w:sz w:val="24"/>
          <w:lang w:val="en-CA"/>
        </w:rPr>
      </w:pPr>
      <w:r w:rsidRPr="006119A8">
        <w:rPr>
          <w:rFonts w:ascii="Arial" w:hAnsi="Arial"/>
          <w:i/>
          <w:iCs/>
          <w:sz w:val="24"/>
          <w:lang w:val="en-CA"/>
        </w:rPr>
        <w:t>Initial drilling will focus on the Ajax and Dylan mineralized bodies with 49 holes permitted between the two mineralized areas, including drill road access and site preparation. Basin is in the final stages of preparing for the upcoming drill program and will provide updates in the coming weeks as the project approaches mobilization.</w:t>
      </w:r>
    </w:p>
    <w:p w14:paraId="04B0E3E7" w14:textId="1123BA4F" w:rsidR="00A509C1" w:rsidRDefault="00A509C1" w:rsidP="006119A8">
      <w:pPr>
        <w:pStyle w:val="ListParagraph"/>
        <w:jc w:val="both"/>
        <w:rPr>
          <w:rFonts w:ascii="Arial" w:hAnsi="Arial"/>
          <w:i/>
          <w:iCs/>
          <w:sz w:val="24"/>
          <w:lang w:val="en-CA"/>
        </w:rPr>
      </w:pPr>
    </w:p>
    <w:p w14:paraId="22AF34AE" w14:textId="3B29EC1C" w:rsidR="00A509C1" w:rsidRPr="006119A8" w:rsidRDefault="00A509C1" w:rsidP="006119A8">
      <w:pPr>
        <w:pStyle w:val="ListParagraph"/>
        <w:jc w:val="both"/>
        <w:rPr>
          <w:rFonts w:ascii="Arial" w:hAnsi="Arial"/>
          <w:i/>
          <w:iCs/>
          <w:sz w:val="24"/>
          <w:lang w:val="en-CA"/>
        </w:rPr>
      </w:pPr>
      <w:r>
        <w:rPr>
          <w:rFonts w:ascii="Arial" w:hAnsi="Arial"/>
          <w:i/>
          <w:iCs/>
          <w:sz w:val="24"/>
          <w:lang w:val="en-CA"/>
        </w:rPr>
        <w:t xml:space="preserve">On October 19, 2022, the company announced </w:t>
      </w:r>
      <w:r w:rsidRPr="00A509C1">
        <w:rPr>
          <w:rFonts w:ascii="Arial" w:hAnsi="Arial"/>
          <w:i/>
          <w:iCs/>
          <w:sz w:val="24"/>
          <w:lang w:val="en-CA"/>
        </w:rPr>
        <w:t>further to its news release on September 23, 2022, it has closed its first tranche of its previously announced non-brokered private placement</w:t>
      </w:r>
      <w:r>
        <w:rPr>
          <w:rFonts w:ascii="Arial" w:hAnsi="Arial"/>
          <w:i/>
          <w:iCs/>
          <w:sz w:val="24"/>
          <w:lang w:val="en-CA"/>
        </w:rPr>
        <w:t xml:space="preserve">. </w:t>
      </w:r>
      <w:r w:rsidRPr="00A509C1">
        <w:rPr>
          <w:rFonts w:ascii="Arial" w:hAnsi="Arial"/>
          <w:i/>
          <w:iCs/>
          <w:sz w:val="24"/>
          <w:lang w:val="en-CA"/>
        </w:rPr>
        <w:t>(the “Unit Private Placement“) of units of the Company (the “Units“) at a price of $0.15 per Unit and non-brokered private placement (the “FT Private Placement“, and with the Unit Private Placement, the “Private Placements“) of “flow-through shares” of the Company within the meaning of the </w:t>
      </w:r>
      <w:r w:rsidRPr="00A509C1">
        <w:rPr>
          <w:rFonts w:ascii="Arial" w:hAnsi="Arial"/>
          <w:sz w:val="24"/>
          <w:lang w:val="en-CA"/>
        </w:rPr>
        <w:t>Income Tax Act</w:t>
      </w:r>
      <w:r w:rsidRPr="00A509C1">
        <w:rPr>
          <w:rFonts w:ascii="Arial" w:hAnsi="Arial"/>
          <w:i/>
          <w:iCs/>
          <w:sz w:val="24"/>
          <w:lang w:val="en-CA"/>
        </w:rPr>
        <w:t> (Canada) (each, a “FT Share“) at $0.18 per FT Share. The Company issued 6,249,270 Units and 557,000 FT Shares for aggregate gross proceeds of $1,037,650. Each Unit comprised of one common share in the capital of the Company (each, a “Share“) and one Share purchase warrant (each, a “Warrant“). Each Warrant is exercisable to purchase one additional Share until October 19, 2024 at $0.25 per Share.</w:t>
      </w:r>
      <w:r>
        <w:rPr>
          <w:rFonts w:ascii="Arial" w:hAnsi="Arial"/>
          <w:i/>
          <w:iCs/>
          <w:sz w:val="24"/>
          <w:lang w:val="en-CA"/>
        </w:rPr>
        <w:t xml:space="preserve"> </w:t>
      </w:r>
    </w:p>
    <w:p w14:paraId="1EF65889" w14:textId="5253D160" w:rsidR="006119A8" w:rsidRDefault="006119A8" w:rsidP="006119A8">
      <w:pPr>
        <w:pStyle w:val="ListParagraph"/>
        <w:jc w:val="both"/>
        <w:rPr>
          <w:rFonts w:ascii="Arial" w:hAnsi="Arial"/>
          <w:i/>
          <w:iCs/>
          <w:sz w:val="24"/>
          <w:lang w:val="en-CA"/>
        </w:rPr>
      </w:pPr>
    </w:p>
    <w:p w14:paraId="74943C98" w14:textId="1FD390A4" w:rsidR="00A509C1" w:rsidRDefault="00A509C1" w:rsidP="006119A8">
      <w:pPr>
        <w:pStyle w:val="ListParagraph"/>
        <w:jc w:val="both"/>
        <w:rPr>
          <w:rStyle w:val="Hyperlink"/>
        </w:rPr>
      </w:pPr>
      <w:r>
        <w:rPr>
          <w:rFonts w:ascii="Arial" w:hAnsi="Arial"/>
          <w:i/>
          <w:iCs/>
          <w:sz w:val="24"/>
          <w:lang w:val="en-CA"/>
        </w:rPr>
        <w:t>On October 24, 2022, the company provided an update on its Phase Two Diamond Drilling Program at Mann Lake</w:t>
      </w:r>
      <w:r w:rsidR="0054700C">
        <w:rPr>
          <w:rFonts w:ascii="Arial" w:hAnsi="Arial"/>
          <w:i/>
          <w:iCs/>
          <w:sz w:val="24"/>
          <w:lang w:val="en-CA"/>
        </w:rPr>
        <w:t xml:space="preserve"> </w:t>
      </w:r>
      <w:hyperlink r:id="rId7" w:history="1">
        <w:r w:rsidR="0054700C">
          <w:rPr>
            <w:rStyle w:val="Hyperlink"/>
          </w:rPr>
          <w:t>An Update on Basin Uranium’s Phase Two Diamond Drilling Program at Mann Lake – Basin Uranium Corp.</w:t>
        </w:r>
      </w:hyperlink>
    </w:p>
    <w:p w14:paraId="126099E7" w14:textId="1EFD00D9" w:rsidR="003C2284" w:rsidRDefault="003C2284" w:rsidP="006119A8">
      <w:pPr>
        <w:pStyle w:val="ListParagraph"/>
        <w:jc w:val="both"/>
        <w:rPr>
          <w:rFonts w:ascii="Arial" w:hAnsi="Arial"/>
          <w:i/>
          <w:iCs/>
          <w:sz w:val="24"/>
          <w:lang w:val="en-CA"/>
        </w:rPr>
      </w:pPr>
    </w:p>
    <w:p w14:paraId="6B1634B5" w14:textId="7C2239F2" w:rsidR="003C2284" w:rsidRDefault="003C2284" w:rsidP="006119A8">
      <w:pPr>
        <w:pStyle w:val="ListParagraph"/>
        <w:jc w:val="both"/>
        <w:rPr>
          <w:rFonts w:ascii="Arial" w:hAnsi="Arial"/>
          <w:i/>
          <w:iCs/>
          <w:sz w:val="24"/>
          <w:lang w:val="en-CA"/>
        </w:rPr>
      </w:pPr>
      <w:r w:rsidRPr="003C2284">
        <w:rPr>
          <w:rFonts w:ascii="Arial" w:hAnsi="Arial"/>
          <w:i/>
          <w:iCs/>
          <w:sz w:val="24"/>
          <w:lang w:val="en-CA"/>
        </w:rPr>
        <w:t>On November 16,2022, the company provided an update on its second and final tranche of its previously announced non-brokered private placement (the “Unit Private Placement</w:t>
      </w:r>
      <w:r w:rsidR="00AD27CA">
        <w:rPr>
          <w:rFonts w:ascii="Arial" w:hAnsi="Arial"/>
          <w:i/>
          <w:iCs/>
          <w:sz w:val="24"/>
          <w:lang w:val="en-CA"/>
        </w:rPr>
        <w:t>”</w:t>
      </w:r>
      <w:r w:rsidRPr="003C2284">
        <w:rPr>
          <w:rFonts w:ascii="Arial" w:hAnsi="Arial"/>
          <w:i/>
          <w:iCs/>
          <w:sz w:val="24"/>
          <w:lang w:val="en-CA"/>
        </w:rPr>
        <w:t>) of units of the Company (the “Units“). The Company issued an additional 3,763,966 Units for gross proceeds of $564,595. Together with the first tranche closing, the Company has now issued a total of 10,013,236 Units and 557,000 FT Shares for aggregate gross proceeds of $1,602,245. Each Unit is comprised of one common share in the capital of the Company (each, a “Share“) and one Share purchase warrant (each, a “Warrant“). Each Warrant is exercisable to purchase one additional Share until November 15, 2024 at $0.25 per Share.</w:t>
      </w:r>
    </w:p>
    <w:p w14:paraId="67F3179A" w14:textId="73DD5F2F" w:rsidR="003C2284" w:rsidRDefault="003C2284" w:rsidP="006119A8">
      <w:pPr>
        <w:pStyle w:val="ListParagraph"/>
        <w:jc w:val="both"/>
        <w:rPr>
          <w:rFonts w:ascii="Arial" w:hAnsi="Arial"/>
          <w:i/>
          <w:iCs/>
          <w:sz w:val="24"/>
          <w:lang w:val="en-CA"/>
        </w:rPr>
      </w:pPr>
    </w:p>
    <w:p w14:paraId="0E999207" w14:textId="35E1F90B" w:rsidR="003C2284" w:rsidRDefault="003C2284" w:rsidP="006119A8">
      <w:pPr>
        <w:pStyle w:val="ListParagraph"/>
        <w:jc w:val="both"/>
        <w:rPr>
          <w:rFonts w:ascii="Arial" w:hAnsi="Arial"/>
          <w:i/>
          <w:iCs/>
          <w:sz w:val="24"/>
          <w:lang w:val="en-CA"/>
        </w:rPr>
      </w:pPr>
      <w:r>
        <w:rPr>
          <w:rFonts w:ascii="Arial" w:hAnsi="Arial"/>
          <w:i/>
          <w:iCs/>
          <w:sz w:val="24"/>
          <w:lang w:val="en-CA"/>
        </w:rPr>
        <w:lastRenderedPageBreak/>
        <w:t xml:space="preserve">On November 25, 2022, the company announced it has completed </w:t>
      </w:r>
      <w:r w:rsidRPr="003C2284">
        <w:rPr>
          <w:rFonts w:ascii="Arial" w:hAnsi="Arial"/>
          <w:i/>
          <w:iCs/>
          <w:sz w:val="24"/>
          <w:lang w:val="en-CA"/>
        </w:rPr>
        <w:t>2022 drilling at its Mann Lake project located 25 km southwest of the McArthur River Mine and 15 km to the northeast along strike of Cameco’s Millennium uranium deposit.</w:t>
      </w:r>
    </w:p>
    <w:p w14:paraId="3F910DA2" w14:textId="3AC4D4BF" w:rsidR="003C2284" w:rsidRDefault="003C2284" w:rsidP="006119A8">
      <w:pPr>
        <w:pStyle w:val="ListParagraph"/>
        <w:jc w:val="both"/>
        <w:rPr>
          <w:rFonts w:ascii="Arial" w:hAnsi="Arial"/>
          <w:i/>
          <w:iCs/>
          <w:sz w:val="24"/>
          <w:lang w:val="en-CA"/>
        </w:rPr>
      </w:pPr>
    </w:p>
    <w:p w14:paraId="2C227582" w14:textId="68378E4E" w:rsidR="003C2284" w:rsidRDefault="003C2284" w:rsidP="006119A8">
      <w:pPr>
        <w:pStyle w:val="ListParagraph"/>
        <w:jc w:val="both"/>
        <w:rPr>
          <w:rFonts w:ascii="Arial" w:hAnsi="Arial"/>
          <w:i/>
          <w:iCs/>
          <w:sz w:val="24"/>
          <w:lang w:val="en-CA"/>
        </w:rPr>
      </w:pPr>
      <w:r w:rsidRPr="003C2284">
        <w:rPr>
          <w:rFonts w:ascii="Arial" w:hAnsi="Arial"/>
          <w:i/>
          <w:iCs/>
          <w:sz w:val="24"/>
          <w:lang w:val="en-CA"/>
        </w:rPr>
        <w:t>In total 6,279 meters were drilled 2022 over two phases of drilling. Phase two consisted of 2,776 meters of diamond drilling over four holes which followed up on targets from phase one drilling and geophysical programs completed earlier in the year. The Mann Lake camp has been demobbed for the winter and all drill sites have been reclaimed. All core samples have been submitted to the Saskatchewan Research Council (SRC) for analysis and the assays are pending and will be released once received.</w:t>
      </w:r>
    </w:p>
    <w:p w14:paraId="29C27269" w14:textId="77777777" w:rsidR="00612DD1" w:rsidRPr="003C2284" w:rsidRDefault="00612DD1" w:rsidP="003C2284">
      <w:pPr>
        <w:jc w:val="both"/>
        <w:rPr>
          <w:rFonts w:ascii="Arial" w:hAnsi="Arial"/>
          <w:i/>
          <w:iCs/>
          <w:sz w:val="24"/>
          <w:lang w:val="en-GB"/>
        </w:rPr>
      </w:pPr>
    </w:p>
    <w:p w14:paraId="4C2AE497" w14:textId="7608EB22" w:rsidR="00497A5B" w:rsidRPr="00EC397A" w:rsidRDefault="00497A5B" w:rsidP="00EC397A">
      <w:pPr>
        <w:ind w:left="720"/>
        <w:jc w:val="both"/>
        <w:rPr>
          <w:rFonts w:ascii="Arial" w:hAnsi="Arial"/>
          <w:i/>
          <w:iCs/>
          <w:sz w:val="24"/>
          <w:lang w:val="en-GB"/>
        </w:rPr>
      </w:pPr>
      <w:r w:rsidRPr="00EC397A">
        <w:rPr>
          <w:rFonts w:ascii="Arial" w:hAnsi="Arial"/>
          <w:i/>
          <w:iCs/>
          <w:sz w:val="24"/>
          <w:lang w:val="en-GB"/>
        </w:rPr>
        <w:t xml:space="preserve">During the month of </w:t>
      </w:r>
      <w:r w:rsidR="004A4DA9">
        <w:rPr>
          <w:rFonts w:ascii="Arial" w:hAnsi="Arial"/>
          <w:i/>
          <w:iCs/>
          <w:sz w:val="24"/>
          <w:lang w:val="en-GB"/>
        </w:rPr>
        <w:t>December</w:t>
      </w:r>
      <w:r w:rsidR="007B6834">
        <w:rPr>
          <w:rFonts w:ascii="Arial" w:hAnsi="Arial"/>
          <w:i/>
          <w:iCs/>
          <w:sz w:val="24"/>
          <w:lang w:val="en-GB"/>
        </w:rPr>
        <w:t xml:space="preserve"> 2022</w:t>
      </w:r>
      <w:r w:rsidRPr="00EC397A">
        <w:rPr>
          <w:rFonts w:ascii="Arial" w:hAnsi="Arial"/>
          <w:i/>
          <w:iCs/>
          <w:sz w:val="24"/>
          <w:lang w:val="en-GB"/>
        </w:rPr>
        <w:t>, the Company actively continued general and corporate operations.</w:t>
      </w:r>
    </w:p>
    <w:p w14:paraId="0ED8A1ED" w14:textId="0E1BB78E" w:rsidR="00BF420B" w:rsidRDefault="00BF420B" w:rsidP="00EC397A">
      <w:pPr>
        <w:pStyle w:val="ListParagraph"/>
        <w:jc w:val="both"/>
        <w:rPr>
          <w:rFonts w:ascii="Arial" w:hAnsi="Arial"/>
          <w:i/>
          <w:iCs/>
          <w:sz w:val="24"/>
          <w:lang w:val="en-GB"/>
        </w:rPr>
      </w:pPr>
    </w:p>
    <w:p w14:paraId="739444D5" w14:textId="34086316" w:rsidR="001368BB" w:rsidRPr="00AD27CA" w:rsidRDefault="00640E94" w:rsidP="00AD27CA">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16A93261" w14:textId="387BD66E" w:rsidR="00CE5063" w:rsidRPr="002867DD" w:rsidRDefault="001368BB" w:rsidP="002867DD">
      <w:pPr>
        <w:pStyle w:val="ListParagraph"/>
        <w:jc w:val="both"/>
        <w:rPr>
          <w:rFonts w:ascii="Arial" w:hAnsi="Arial"/>
          <w:i/>
          <w:iCs/>
          <w:sz w:val="24"/>
        </w:rPr>
      </w:pPr>
      <w:r>
        <w:rPr>
          <w:rFonts w:ascii="Arial" w:hAnsi="Arial"/>
          <w:i/>
          <w:iCs/>
          <w:sz w:val="24"/>
        </w:rPr>
        <w:t>None to report.</w:t>
      </w:r>
    </w:p>
    <w:p w14:paraId="01699945" w14:textId="24F5E3B8" w:rsidR="004864DA" w:rsidRDefault="00640E94" w:rsidP="004864DA">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4C18593A" w14:textId="0A1A9F96" w:rsidR="00020D4A" w:rsidRPr="00DC1C82" w:rsidRDefault="002C3CA6" w:rsidP="00DC1C82">
      <w:pPr>
        <w:pStyle w:val="List"/>
        <w:spacing w:before="120"/>
        <w:ind w:left="720" w:firstLine="0"/>
        <w:jc w:val="both"/>
        <w:rPr>
          <w:rFonts w:ascii="Arial" w:hAnsi="Arial"/>
          <w:i/>
          <w:iCs/>
          <w:lang w:val="en-US"/>
        </w:rPr>
      </w:pPr>
      <w:r>
        <w:rPr>
          <w:rFonts w:ascii="Arial" w:hAnsi="Arial"/>
          <w:i/>
          <w:iCs/>
          <w:lang w:val="en-US"/>
        </w:rPr>
        <w:t xml:space="preserve">None to report. </w:t>
      </w:r>
    </w:p>
    <w:p w14:paraId="7A08FE07" w14:textId="46A4F20F" w:rsidR="00640E94" w:rsidRDefault="00640E94" w:rsidP="00E86238">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164EFBDE" w14:textId="77777777" w:rsidR="004864DA" w:rsidRPr="004864DA" w:rsidRDefault="004864DA" w:rsidP="004864DA">
      <w:pPr>
        <w:pStyle w:val="List"/>
        <w:spacing w:before="120"/>
        <w:ind w:left="720" w:firstLine="0"/>
        <w:jc w:val="both"/>
        <w:rPr>
          <w:rFonts w:ascii="Arial" w:hAnsi="Arial"/>
          <w:i/>
          <w:iCs/>
        </w:rPr>
      </w:pPr>
      <w:r w:rsidRPr="004864DA">
        <w:rPr>
          <w:rFonts w:ascii="Arial" w:hAnsi="Arial"/>
          <w:i/>
          <w:iCs/>
        </w:rPr>
        <w:t>None to report.</w:t>
      </w:r>
    </w:p>
    <w:p w14:paraId="460640D6"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655CCB3" w14:textId="020EAA85" w:rsidR="0029400B" w:rsidRPr="004864DA" w:rsidRDefault="00CF5E8B" w:rsidP="0029400B">
      <w:pPr>
        <w:pStyle w:val="List"/>
        <w:spacing w:before="120"/>
        <w:ind w:left="720" w:firstLine="0"/>
        <w:jc w:val="both"/>
        <w:rPr>
          <w:rFonts w:ascii="Arial" w:hAnsi="Arial"/>
          <w:i/>
          <w:iCs/>
        </w:rPr>
      </w:pPr>
      <w:r>
        <w:rPr>
          <w:rFonts w:ascii="Arial" w:hAnsi="Arial"/>
          <w:i/>
          <w:iCs/>
        </w:rPr>
        <w:t>None to report</w:t>
      </w:r>
    </w:p>
    <w:p w14:paraId="78F239F7" w14:textId="306B5FE4"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1CDF63DA" w14:textId="77777777" w:rsidR="004864DA" w:rsidRPr="004864DA" w:rsidRDefault="004864DA" w:rsidP="004864DA">
      <w:pPr>
        <w:pStyle w:val="List"/>
        <w:spacing w:before="120"/>
        <w:ind w:left="720" w:firstLine="0"/>
        <w:jc w:val="both"/>
        <w:rPr>
          <w:rFonts w:ascii="Arial" w:hAnsi="Arial"/>
          <w:i/>
          <w:iCs/>
        </w:rPr>
      </w:pPr>
      <w:r w:rsidRPr="004864DA">
        <w:rPr>
          <w:rFonts w:ascii="Arial" w:hAnsi="Arial"/>
          <w:i/>
          <w:iCs/>
        </w:rPr>
        <w:t>None to report.</w:t>
      </w:r>
    </w:p>
    <w:p w14:paraId="3D5C193F" w14:textId="1E74BCCC" w:rsidR="004864DA" w:rsidRDefault="00640E94" w:rsidP="00950BB2">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r w:rsidR="004864DA">
        <w:rPr>
          <w:rFonts w:ascii="Arial" w:hAnsi="Arial"/>
        </w:rPr>
        <w:t xml:space="preserve"> </w:t>
      </w:r>
    </w:p>
    <w:p w14:paraId="7B404CB6" w14:textId="5609FE39" w:rsidR="00794C80" w:rsidRPr="004864DA" w:rsidRDefault="004864DA" w:rsidP="001056DA">
      <w:pPr>
        <w:pStyle w:val="List"/>
        <w:spacing w:before="120"/>
        <w:ind w:left="720" w:firstLine="0"/>
        <w:jc w:val="both"/>
        <w:rPr>
          <w:rFonts w:ascii="Arial" w:hAnsi="Arial"/>
          <w:i/>
          <w:iCs/>
        </w:rPr>
      </w:pPr>
      <w:r w:rsidRPr="004864DA">
        <w:rPr>
          <w:rFonts w:ascii="Arial" w:hAnsi="Arial"/>
          <w:i/>
          <w:iCs/>
        </w:rPr>
        <w:lastRenderedPageBreak/>
        <w:t>None to report.</w:t>
      </w:r>
    </w:p>
    <w:p w14:paraId="38203105" w14:textId="69443EAB"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7A2504E7" w14:textId="62B18BA6" w:rsidR="004864DA" w:rsidRPr="004864DA" w:rsidRDefault="004864DA" w:rsidP="004864DA">
      <w:pPr>
        <w:pStyle w:val="List"/>
        <w:spacing w:before="120"/>
        <w:ind w:left="720" w:firstLine="0"/>
        <w:jc w:val="both"/>
        <w:rPr>
          <w:rFonts w:ascii="Arial" w:hAnsi="Arial"/>
          <w:i/>
          <w:iCs/>
        </w:rPr>
      </w:pPr>
      <w:r w:rsidRPr="004864DA">
        <w:rPr>
          <w:rFonts w:ascii="Arial" w:hAnsi="Arial"/>
          <w:i/>
          <w:iCs/>
        </w:rPr>
        <w:t>None to report.</w:t>
      </w:r>
    </w:p>
    <w:p w14:paraId="46056442" w14:textId="1ABBF24C"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374B1FF5" w14:textId="6B9B2435" w:rsidR="004864DA" w:rsidRPr="004864DA" w:rsidRDefault="004864DA" w:rsidP="004864DA">
      <w:pPr>
        <w:pStyle w:val="List"/>
        <w:spacing w:before="120"/>
        <w:ind w:left="720" w:firstLine="0"/>
        <w:jc w:val="both"/>
        <w:rPr>
          <w:rFonts w:ascii="Arial" w:hAnsi="Arial"/>
          <w:i/>
          <w:iCs/>
        </w:rPr>
      </w:pPr>
      <w:r w:rsidRPr="004864DA">
        <w:rPr>
          <w:rFonts w:ascii="Arial" w:hAnsi="Arial"/>
          <w:i/>
          <w:iCs/>
        </w:rPr>
        <w:t>None to report.</w:t>
      </w:r>
    </w:p>
    <w:p w14:paraId="57E410D7" w14:textId="39C8FEF0"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6EE9166D" w14:textId="73D3C6A0" w:rsidR="004864DA" w:rsidRDefault="00794C80" w:rsidP="004864DA">
      <w:pPr>
        <w:pStyle w:val="List"/>
        <w:spacing w:before="120"/>
        <w:ind w:left="720" w:firstLine="0"/>
        <w:jc w:val="both"/>
        <w:rPr>
          <w:rFonts w:ascii="Arial" w:hAnsi="Arial"/>
          <w:i/>
          <w:iCs/>
        </w:rPr>
      </w:pPr>
      <w:r>
        <w:rPr>
          <w:rFonts w:ascii="Arial" w:hAnsi="Arial"/>
          <w:i/>
          <w:iCs/>
        </w:rPr>
        <w:t>None to report</w:t>
      </w:r>
    </w:p>
    <w:p w14:paraId="6366F247" w14:textId="2502E165"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A8DA1B3" w14:textId="7EA2DC4A" w:rsidR="004864DA" w:rsidRPr="004864DA" w:rsidRDefault="004864DA" w:rsidP="004864DA">
      <w:pPr>
        <w:pStyle w:val="List"/>
        <w:spacing w:before="120"/>
        <w:ind w:left="720" w:firstLine="0"/>
        <w:jc w:val="both"/>
        <w:rPr>
          <w:rFonts w:ascii="Arial" w:hAnsi="Arial"/>
          <w:i/>
          <w:iCs/>
        </w:rPr>
      </w:pPr>
      <w:r>
        <w:rPr>
          <w:rFonts w:ascii="Arial" w:hAnsi="Arial"/>
          <w:i/>
          <w:iCs/>
        </w:rPr>
        <w:t>None to report.</w:t>
      </w:r>
    </w:p>
    <w:p w14:paraId="7F697664" w14:textId="48EA05A2"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4E6F057" w14:textId="011C379C" w:rsidR="004864DA" w:rsidRPr="004864DA" w:rsidRDefault="004864DA" w:rsidP="004864DA">
      <w:pPr>
        <w:pStyle w:val="List"/>
        <w:spacing w:before="120"/>
        <w:ind w:left="720" w:firstLine="0"/>
        <w:jc w:val="both"/>
        <w:rPr>
          <w:rFonts w:ascii="Arial" w:hAnsi="Arial"/>
          <w:i/>
          <w:iCs/>
        </w:rPr>
      </w:pPr>
      <w:r w:rsidRPr="004864DA">
        <w:rPr>
          <w:rFonts w:ascii="Arial" w:hAnsi="Arial"/>
          <w:i/>
          <w:iCs/>
        </w:rPr>
        <w:t>None to report.</w:t>
      </w:r>
    </w:p>
    <w:p w14:paraId="0BEFCA0D" w14:textId="328DFFB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3C3BA5F5" w14:textId="2B986893" w:rsidR="002C3CA6" w:rsidRPr="004864DA" w:rsidRDefault="004864DA" w:rsidP="002C3CA6">
      <w:pPr>
        <w:pStyle w:val="List"/>
        <w:spacing w:before="120"/>
        <w:ind w:left="720" w:firstLine="0"/>
        <w:jc w:val="both"/>
        <w:rPr>
          <w:rFonts w:ascii="Arial" w:hAnsi="Arial"/>
          <w:i/>
          <w:iCs/>
        </w:rPr>
      </w:pPr>
      <w:r w:rsidRPr="004864DA">
        <w:rPr>
          <w:rFonts w:ascii="Arial" w:hAnsi="Arial"/>
          <w:i/>
          <w:iCs/>
        </w:rPr>
        <w:t>None to report.</w:t>
      </w:r>
    </w:p>
    <w:p w14:paraId="0927019C" w14:textId="34C3255F"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3D7D77FE" w14:textId="76AEF931" w:rsidR="00950BB2" w:rsidRPr="00950BB2" w:rsidRDefault="00E2772C" w:rsidP="00180A54">
      <w:pPr>
        <w:pStyle w:val="List"/>
        <w:keepNext/>
        <w:keepLines/>
        <w:spacing w:before="120"/>
        <w:ind w:left="720" w:firstLine="0"/>
        <w:jc w:val="both"/>
        <w:rPr>
          <w:rFonts w:ascii="Arial" w:hAnsi="Arial"/>
          <w:i/>
          <w:iCs/>
        </w:rPr>
      </w:pPr>
      <w:r>
        <w:rPr>
          <w:rFonts w:ascii="Arial" w:hAnsi="Arial"/>
          <w:i/>
          <w:iCs/>
        </w:rPr>
        <w:t>See above.</w:t>
      </w:r>
    </w:p>
    <w:p w14:paraId="3BEAB903" w14:textId="564E034E"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04604543" w14:textId="0FB69404" w:rsidR="002C3CA6" w:rsidRPr="00497A5B" w:rsidRDefault="00497A5B" w:rsidP="002C3CA6">
      <w:pPr>
        <w:pStyle w:val="List"/>
        <w:keepNext/>
        <w:keepLines/>
        <w:spacing w:before="120"/>
        <w:ind w:left="720" w:firstLine="0"/>
        <w:jc w:val="both"/>
        <w:rPr>
          <w:rFonts w:ascii="Arial" w:hAnsi="Arial"/>
          <w:i/>
          <w:iCs/>
        </w:rPr>
      </w:pPr>
      <w:r w:rsidRPr="00497A5B">
        <w:rPr>
          <w:rFonts w:ascii="Arial" w:hAnsi="Arial"/>
          <w:i/>
          <w:iCs/>
        </w:rPr>
        <w:t>None to report.</w:t>
      </w:r>
    </w:p>
    <w:p w14:paraId="36C88933" w14:textId="08BF60C4"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2747ADCF" w14:textId="40018726" w:rsidR="002C3CA6" w:rsidRPr="00497A5B" w:rsidRDefault="001368BB" w:rsidP="002C3CA6">
      <w:pPr>
        <w:pStyle w:val="List"/>
        <w:keepNext/>
        <w:keepLines/>
        <w:spacing w:before="120"/>
        <w:ind w:left="720" w:firstLine="0"/>
        <w:jc w:val="both"/>
        <w:rPr>
          <w:rFonts w:ascii="Arial" w:hAnsi="Arial"/>
          <w:i/>
          <w:iCs/>
        </w:rPr>
      </w:pPr>
      <w:r>
        <w:rPr>
          <w:rFonts w:ascii="Arial" w:hAnsi="Arial"/>
          <w:i/>
          <w:iCs/>
        </w:rPr>
        <w:t xml:space="preserve">None to report. </w:t>
      </w:r>
    </w:p>
    <w:p w14:paraId="46442C97" w14:textId="099A4634"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2A0C2B2E" w14:textId="4D6FC07E" w:rsidR="003C2284" w:rsidRPr="00497A5B" w:rsidRDefault="00497A5B" w:rsidP="003C2284">
      <w:pPr>
        <w:pStyle w:val="List"/>
        <w:spacing w:before="120"/>
        <w:ind w:left="720" w:firstLine="0"/>
        <w:jc w:val="both"/>
        <w:rPr>
          <w:rFonts w:ascii="Arial" w:hAnsi="Arial"/>
          <w:i/>
          <w:iCs/>
        </w:rPr>
      </w:pPr>
      <w:r w:rsidRPr="00497A5B">
        <w:rPr>
          <w:rFonts w:ascii="Arial" w:hAnsi="Arial"/>
          <w:i/>
          <w:iCs/>
        </w:rPr>
        <w:t xml:space="preserve">The trends and risks which are likely to impact the Company are detailed in the </w:t>
      </w:r>
      <w:r>
        <w:rPr>
          <w:rFonts w:ascii="Arial" w:hAnsi="Arial"/>
          <w:i/>
          <w:iCs/>
        </w:rPr>
        <w:t xml:space="preserve">Long Form </w:t>
      </w:r>
      <w:r w:rsidRPr="00497A5B">
        <w:rPr>
          <w:rFonts w:ascii="Arial" w:hAnsi="Arial"/>
          <w:i/>
          <w:iCs/>
        </w:rPr>
        <w:t xml:space="preserve">Prospectus dated </w:t>
      </w:r>
      <w:r>
        <w:rPr>
          <w:rFonts w:ascii="Arial" w:hAnsi="Arial"/>
          <w:i/>
          <w:iCs/>
        </w:rPr>
        <w:t>January 13</w:t>
      </w:r>
      <w:r w:rsidRPr="00497A5B">
        <w:rPr>
          <w:rFonts w:ascii="Arial" w:hAnsi="Arial"/>
          <w:i/>
          <w:iCs/>
        </w:rPr>
        <w:t xml:space="preserve">, 2021 (the “Prospectus”) and Form 2A - Listing Statement dated April </w:t>
      </w:r>
      <w:r>
        <w:rPr>
          <w:rFonts w:ascii="Arial" w:hAnsi="Arial"/>
          <w:i/>
          <w:iCs/>
        </w:rPr>
        <w:t>1</w:t>
      </w:r>
      <w:r w:rsidRPr="00497A5B">
        <w:rPr>
          <w:rFonts w:ascii="Arial" w:hAnsi="Arial"/>
          <w:i/>
          <w:iCs/>
        </w:rPr>
        <w:t xml:space="preserve">, 2021 (the “Listing Statement”), under the heading “Risk Factors”, as well as in the Issuer’s Management Discussion and Analysis dated </w:t>
      </w:r>
      <w:r>
        <w:rPr>
          <w:rFonts w:ascii="Arial" w:hAnsi="Arial"/>
          <w:i/>
          <w:iCs/>
        </w:rPr>
        <w:t>April 19</w:t>
      </w:r>
      <w:r w:rsidRPr="00497A5B">
        <w:rPr>
          <w:rFonts w:ascii="Arial" w:hAnsi="Arial"/>
          <w:i/>
          <w:iCs/>
        </w:rPr>
        <w:t xml:space="preserve">, 2021 (the “MD&amp;A”), under the heading “Risks and uncertainties”. The Prospectus was posted on the CSE website on </w:t>
      </w:r>
      <w:r>
        <w:rPr>
          <w:rFonts w:ascii="Arial" w:hAnsi="Arial"/>
          <w:i/>
          <w:iCs/>
        </w:rPr>
        <w:t>April 7, 2021</w:t>
      </w:r>
      <w:r w:rsidRPr="00497A5B">
        <w:rPr>
          <w:rFonts w:ascii="Arial" w:hAnsi="Arial"/>
          <w:i/>
          <w:iCs/>
        </w:rPr>
        <w:t xml:space="preserve">, the Listing Statement was posted on </w:t>
      </w:r>
      <w:r>
        <w:rPr>
          <w:rFonts w:ascii="Arial" w:hAnsi="Arial"/>
          <w:i/>
          <w:iCs/>
        </w:rPr>
        <w:t>April 7, 2021</w:t>
      </w:r>
      <w:r w:rsidRPr="00497A5B">
        <w:rPr>
          <w:rFonts w:ascii="Arial" w:hAnsi="Arial"/>
          <w:i/>
          <w:iCs/>
        </w:rPr>
        <w:t xml:space="preserve">, and the MD&amp;A can be viewed under the Issuer’s profile on SEDAR (www.sedar.com) and on the </w:t>
      </w:r>
      <w:r>
        <w:rPr>
          <w:rFonts w:ascii="Arial" w:hAnsi="Arial"/>
          <w:i/>
          <w:iCs/>
        </w:rPr>
        <w:t>Company</w:t>
      </w:r>
      <w:r w:rsidRPr="00497A5B">
        <w:rPr>
          <w:rFonts w:ascii="Arial" w:hAnsi="Arial"/>
          <w:i/>
          <w:iCs/>
        </w:rPr>
        <w:t>’s Disclosure Page in its Annual Filings on the Canadian Securities Exchange’s website.</w:t>
      </w:r>
    </w:p>
    <w:p w14:paraId="2C6176AC" w14:textId="77777777" w:rsidR="003C2284" w:rsidRDefault="003C2284">
      <w:pPr>
        <w:pStyle w:val="List"/>
        <w:keepNext/>
        <w:spacing w:before="120"/>
        <w:ind w:left="0" w:firstLine="0"/>
        <w:rPr>
          <w:rFonts w:ascii="Arial" w:hAnsi="Arial"/>
          <w:b/>
        </w:rPr>
      </w:pPr>
    </w:p>
    <w:p w14:paraId="406F6623" w14:textId="32127B67" w:rsidR="00640E94" w:rsidRDefault="00640E94">
      <w:pPr>
        <w:pStyle w:val="List"/>
        <w:keepNext/>
        <w:spacing w:before="120"/>
        <w:ind w:left="0" w:firstLine="0"/>
        <w:rPr>
          <w:rFonts w:ascii="Arial" w:hAnsi="Arial"/>
          <w:b/>
        </w:rPr>
      </w:pPr>
      <w:r>
        <w:rPr>
          <w:rFonts w:ascii="Arial" w:hAnsi="Arial"/>
          <w:b/>
        </w:rPr>
        <w:t>Certificate Of Compliance</w:t>
      </w:r>
    </w:p>
    <w:p w14:paraId="0CAE18EC" w14:textId="77777777" w:rsidR="00640E94" w:rsidRDefault="00640E94">
      <w:pPr>
        <w:pStyle w:val="BodyText"/>
        <w:keepNext/>
        <w:rPr>
          <w:rFonts w:ascii="Arial" w:hAnsi="Arial"/>
        </w:rPr>
      </w:pPr>
      <w:r>
        <w:rPr>
          <w:rFonts w:ascii="Arial" w:hAnsi="Arial"/>
        </w:rPr>
        <w:t>The undersigned hereby certifies that:</w:t>
      </w:r>
    </w:p>
    <w:p w14:paraId="0DFEBECC"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0EA6045" w14:textId="55324ECD" w:rsidR="00640E94" w:rsidRDefault="00640E94">
      <w:pPr>
        <w:pStyle w:val="List"/>
        <w:numPr>
          <w:ilvl w:val="0"/>
          <w:numId w:val="23"/>
        </w:numPr>
        <w:jc w:val="both"/>
        <w:rPr>
          <w:rFonts w:ascii="Arial" w:hAnsi="Arial"/>
        </w:rPr>
      </w:pPr>
      <w:r>
        <w:rPr>
          <w:rFonts w:ascii="Arial" w:hAnsi="Arial"/>
        </w:rPr>
        <w:t>As of the date hereof there were</w:t>
      </w:r>
      <w:r w:rsidR="00AD27CA">
        <w:rPr>
          <w:rFonts w:ascii="Arial" w:hAnsi="Arial"/>
        </w:rPr>
        <w:t>/</w:t>
      </w:r>
      <w:r>
        <w:rPr>
          <w:rFonts w:ascii="Arial" w:hAnsi="Arial"/>
        </w:rPr>
        <w:t>is no material information concerning the Issuer which has not been publicly disclosed.</w:t>
      </w:r>
    </w:p>
    <w:p w14:paraId="3A7BE779"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E6BCD79"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FCFE14E" w14:textId="77777777" w:rsidR="003C2284" w:rsidRDefault="003C2284" w:rsidP="004864DA">
      <w:pPr>
        <w:pStyle w:val="BodyText"/>
        <w:tabs>
          <w:tab w:val="left" w:pos="1057"/>
          <w:tab w:val="left" w:pos="4680"/>
          <w:tab w:val="left" w:pos="7200"/>
        </w:tabs>
        <w:spacing w:before="480"/>
        <w:jc w:val="both"/>
        <w:rPr>
          <w:rFonts w:ascii="Arial" w:hAnsi="Arial"/>
        </w:rPr>
      </w:pPr>
    </w:p>
    <w:p w14:paraId="02051D4C" w14:textId="77777777" w:rsidR="003C2284" w:rsidRDefault="003C2284" w:rsidP="004864DA">
      <w:pPr>
        <w:pStyle w:val="BodyText"/>
        <w:tabs>
          <w:tab w:val="left" w:pos="1057"/>
          <w:tab w:val="left" w:pos="4680"/>
          <w:tab w:val="left" w:pos="7200"/>
        </w:tabs>
        <w:spacing w:before="480"/>
        <w:jc w:val="both"/>
        <w:rPr>
          <w:rFonts w:ascii="Arial" w:hAnsi="Arial"/>
        </w:rPr>
      </w:pPr>
    </w:p>
    <w:p w14:paraId="05458211" w14:textId="77777777" w:rsidR="003C2284" w:rsidRDefault="003C2284" w:rsidP="004864DA">
      <w:pPr>
        <w:pStyle w:val="BodyText"/>
        <w:tabs>
          <w:tab w:val="left" w:pos="1057"/>
          <w:tab w:val="left" w:pos="4680"/>
          <w:tab w:val="left" w:pos="7200"/>
        </w:tabs>
        <w:spacing w:before="480"/>
        <w:jc w:val="both"/>
        <w:rPr>
          <w:rFonts w:ascii="Arial" w:hAnsi="Arial"/>
        </w:rPr>
      </w:pPr>
    </w:p>
    <w:p w14:paraId="26F85D6F" w14:textId="77777777" w:rsidR="003C2284" w:rsidRDefault="003C2284" w:rsidP="004864DA">
      <w:pPr>
        <w:pStyle w:val="BodyText"/>
        <w:tabs>
          <w:tab w:val="left" w:pos="1057"/>
          <w:tab w:val="left" w:pos="4680"/>
          <w:tab w:val="left" w:pos="7200"/>
        </w:tabs>
        <w:spacing w:before="480"/>
        <w:jc w:val="both"/>
        <w:rPr>
          <w:rFonts w:ascii="Arial" w:hAnsi="Arial"/>
        </w:rPr>
      </w:pPr>
    </w:p>
    <w:p w14:paraId="2C909CCE" w14:textId="77777777" w:rsidR="003C2284" w:rsidRDefault="003C2284" w:rsidP="004864DA">
      <w:pPr>
        <w:pStyle w:val="BodyText"/>
        <w:tabs>
          <w:tab w:val="left" w:pos="1057"/>
          <w:tab w:val="left" w:pos="4680"/>
          <w:tab w:val="left" w:pos="7200"/>
        </w:tabs>
        <w:spacing w:before="480"/>
        <w:jc w:val="both"/>
        <w:rPr>
          <w:rFonts w:ascii="Arial" w:hAnsi="Arial"/>
        </w:rPr>
      </w:pPr>
    </w:p>
    <w:p w14:paraId="18465E1B" w14:textId="77777777" w:rsidR="003C2284" w:rsidRDefault="003C2284" w:rsidP="004864DA">
      <w:pPr>
        <w:pStyle w:val="BodyText"/>
        <w:tabs>
          <w:tab w:val="left" w:pos="1057"/>
          <w:tab w:val="left" w:pos="4680"/>
          <w:tab w:val="left" w:pos="7200"/>
        </w:tabs>
        <w:spacing w:before="480"/>
        <w:jc w:val="both"/>
        <w:rPr>
          <w:rFonts w:ascii="Arial" w:hAnsi="Arial"/>
        </w:rPr>
      </w:pPr>
    </w:p>
    <w:p w14:paraId="1243C6A6" w14:textId="77777777" w:rsidR="003C2284" w:rsidRDefault="003C2284" w:rsidP="004864DA">
      <w:pPr>
        <w:pStyle w:val="BodyText"/>
        <w:tabs>
          <w:tab w:val="left" w:pos="1057"/>
          <w:tab w:val="left" w:pos="4680"/>
          <w:tab w:val="left" w:pos="7200"/>
        </w:tabs>
        <w:spacing w:before="480"/>
        <w:jc w:val="both"/>
        <w:rPr>
          <w:rFonts w:ascii="Arial" w:hAnsi="Arial"/>
        </w:rPr>
      </w:pPr>
    </w:p>
    <w:p w14:paraId="294C21B2" w14:textId="77777777" w:rsidR="003C2284" w:rsidRDefault="003C2284" w:rsidP="004864DA">
      <w:pPr>
        <w:pStyle w:val="BodyText"/>
        <w:tabs>
          <w:tab w:val="left" w:pos="1057"/>
          <w:tab w:val="left" w:pos="4680"/>
          <w:tab w:val="left" w:pos="7200"/>
        </w:tabs>
        <w:spacing w:before="480"/>
        <w:jc w:val="both"/>
        <w:rPr>
          <w:rFonts w:ascii="Arial" w:hAnsi="Arial"/>
        </w:rPr>
      </w:pPr>
    </w:p>
    <w:p w14:paraId="14F32F84" w14:textId="77777777" w:rsidR="003C2284" w:rsidRDefault="003C2284" w:rsidP="004864DA">
      <w:pPr>
        <w:pStyle w:val="BodyText"/>
        <w:tabs>
          <w:tab w:val="left" w:pos="1057"/>
          <w:tab w:val="left" w:pos="4680"/>
          <w:tab w:val="left" w:pos="7200"/>
        </w:tabs>
        <w:spacing w:before="480"/>
        <w:jc w:val="both"/>
        <w:rPr>
          <w:rFonts w:ascii="Arial" w:hAnsi="Arial"/>
        </w:rPr>
      </w:pPr>
    </w:p>
    <w:p w14:paraId="48B668F5" w14:textId="384118A9" w:rsidR="00640E94" w:rsidRDefault="00640E94" w:rsidP="004864DA">
      <w:pPr>
        <w:pStyle w:val="BodyText"/>
        <w:tabs>
          <w:tab w:val="left" w:pos="1057"/>
          <w:tab w:val="left" w:pos="4680"/>
          <w:tab w:val="left" w:pos="7200"/>
        </w:tabs>
        <w:spacing w:before="480"/>
        <w:jc w:val="both"/>
        <w:rPr>
          <w:rFonts w:ascii="Arial" w:hAnsi="Arial"/>
        </w:rPr>
      </w:pPr>
      <w:r>
        <w:rPr>
          <w:rFonts w:ascii="Arial" w:hAnsi="Arial"/>
        </w:rPr>
        <w:t xml:space="preserve">Dated </w:t>
      </w:r>
      <w:r>
        <w:rPr>
          <w:rFonts w:ascii="Arial" w:hAnsi="Arial"/>
          <w:u w:val="single"/>
        </w:rPr>
        <w:tab/>
      </w:r>
      <w:r w:rsidR="004A4DA9">
        <w:rPr>
          <w:rFonts w:ascii="Arial" w:hAnsi="Arial"/>
          <w:u w:val="single"/>
        </w:rPr>
        <w:t>January</w:t>
      </w:r>
      <w:r w:rsidR="003D750D" w:rsidRPr="00052AF0">
        <w:rPr>
          <w:rFonts w:ascii="Arial" w:hAnsi="Arial"/>
          <w:u w:val="single"/>
        </w:rPr>
        <w:t xml:space="preserve"> </w:t>
      </w:r>
      <w:r w:rsidR="004A4DA9">
        <w:rPr>
          <w:rFonts w:ascii="Arial" w:hAnsi="Arial"/>
          <w:u w:val="single"/>
        </w:rPr>
        <w:t>13</w:t>
      </w:r>
      <w:r w:rsidR="003D750D" w:rsidRPr="00052AF0">
        <w:rPr>
          <w:rFonts w:ascii="Arial" w:hAnsi="Arial"/>
          <w:u w:val="single"/>
        </w:rPr>
        <w:t>, 202</w:t>
      </w:r>
      <w:r w:rsidR="008F14B1">
        <w:rPr>
          <w:rFonts w:ascii="Arial" w:hAnsi="Arial"/>
          <w:u w:val="single"/>
        </w:rPr>
        <w:t>3</w:t>
      </w:r>
      <w:r w:rsidR="004864DA">
        <w:rPr>
          <w:rFonts w:ascii="Arial" w:hAnsi="Arial"/>
          <w:u w:val="single"/>
        </w:rPr>
        <w:tab/>
      </w:r>
      <w:r>
        <w:rPr>
          <w:rFonts w:ascii="Arial" w:hAnsi="Arial"/>
        </w:rPr>
        <w:t>.</w:t>
      </w:r>
    </w:p>
    <w:p w14:paraId="18E55C38" w14:textId="6D752906" w:rsidR="00640E94" w:rsidRDefault="00640E94">
      <w:pPr>
        <w:pStyle w:val="List"/>
        <w:tabs>
          <w:tab w:val="left" w:pos="9180"/>
        </w:tabs>
        <w:ind w:left="5760" w:hanging="5760"/>
        <w:rPr>
          <w:rFonts w:ascii="Arial" w:hAnsi="Arial"/>
        </w:rPr>
      </w:pPr>
      <w:r>
        <w:rPr>
          <w:rFonts w:ascii="Arial" w:hAnsi="Arial"/>
        </w:rPr>
        <w:lastRenderedPageBreak/>
        <w:tab/>
      </w:r>
      <w:r w:rsidR="008C3A9F">
        <w:rPr>
          <w:rFonts w:ascii="Arial" w:hAnsi="Arial"/>
          <w:u w:val="single"/>
        </w:rPr>
        <w:t>Joel Leonard</w:t>
      </w:r>
      <w:r w:rsidRPr="004864DA">
        <w:rPr>
          <w:rFonts w:ascii="Arial" w:hAnsi="Arial"/>
          <w:u w:val="single"/>
        </w:rPr>
        <w:tab/>
      </w:r>
      <w:r w:rsidRPr="004864DA">
        <w:rPr>
          <w:rFonts w:ascii="Arial" w:hAnsi="Arial"/>
          <w:u w:val="single"/>
        </w:rPr>
        <w:br/>
      </w:r>
      <w:r>
        <w:rPr>
          <w:rFonts w:ascii="Arial" w:hAnsi="Arial"/>
        </w:rPr>
        <w:t>Name of Director or Senior Officer</w:t>
      </w:r>
    </w:p>
    <w:p w14:paraId="320F8252" w14:textId="2EC01D38" w:rsidR="00640E94" w:rsidRDefault="00640E94">
      <w:pPr>
        <w:pStyle w:val="List"/>
        <w:tabs>
          <w:tab w:val="left" w:pos="9180"/>
          <w:tab w:val="left" w:pos="9360"/>
        </w:tabs>
        <w:ind w:left="5760" w:hanging="5760"/>
        <w:rPr>
          <w:rFonts w:ascii="Arial" w:hAnsi="Arial"/>
        </w:rPr>
      </w:pPr>
      <w:r>
        <w:rPr>
          <w:rFonts w:ascii="Arial" w:hAnsi="Arial"/>
        </w:rPr>
        <w:tab/>
      </w:r>
      <w:r w:rsidR="004864DA" w:rsidRPr="004864DA">
        <w:rPr>
          <w:rFonts w:ascii="Arial" w:hAnsi="Arial"/>
          <w:i/>
          <w:iCs/>
          <w:u w:val="single"/>
        </w:rPr>
        <w:t>/</w:t>
      </w:r>
      <w:r w:rsidR="00E6743D">
        <w:rPr>
          <w:rFonts w:ascii="Arial" w:hAnsi="Arial"/>
          <w:i/>
          <w:iCs/>
          <w:u w:val="single"/>
        </w:rPr>
        <w:t>s</w:t>
      </w:r>
      <w:r w:rsidR="004864DA" w:rsidRPr="004864DA">
        <w:rPr>
          <w:rFonts w:ascii="Arial" w:hAnsi="Arial"/>
          <w:i/>
          <w:iCs/>
          <w:u w:val="single"/>
        </w:rPr>
        <w:t xml:space="preserve">/ </w:t>
      </w:r>
      <w:r w:rsidR="008C3A9F">
        <w:rPr>
          <w:rFonts w:ascii="Arial" w:hAnsi="Arial"/>
          <w:i/>
          <w:iCs/>
          <w:u w:val="single"/>
        </w:rPr>
        <w:t>Joel Leonard</w:t>
      </w:r>
      <w:r w:rsidRPr="004864DA">
        <w:rPr>
          <w:rFonts w:ascii="Arial" w:hAnsi="Arial"/>
          <w:i/>
          <w:iCs/>
          <w:u w:val="single"/>
        </w:rPr>
        <w:tab/>
      </w:r>
      <w:r>
        <w:rPr>
          <w:rFonts w:ascii="Arial" w:hAnsi="Arial"/>
        </w:rPr>
        <w:br/>
        <w:t>Signature</w:t>
      </w:r>
    </w:p>
    <w:p w14:paraId="1807638D" w14:textId="1B2DB2F4" w:rsidR="00640E94" w:rsidRDefault="004864DA">
      <w:pPr>
        <w:pStyle w:val="BodyText"/>
        <w:tabs>
          <w:tab w:val="left" w:pos="9180"/>
        </w:tabs>
        <w:spacing w:before="0"/>
        <w:ind w:left="5760"/>
        <w:rPr>
          <w:rFonts w:ascii="Arial" w:hAnsi="Arial"/>
        </w:rPr>
      </w:pPr>
      <w:r>
        <w:rPr>
          <w:rFonts w:ascii="Arial" w:hAnsi="Arial"/>
          <w:u w:val="single"/>
        </w:rPr>
        <w:br/>
      </w:r>
      <w:r w:rsidR="00497A5B">
        <w:rPr>
          <w:rFonts w:ascii="Arial" w:hAnsi="Arial"/>
          <w:u w:val="single"/>
        </w:rPr>
        <w:t>CFO</w:t>
      </w:r>
      <w:r w:rsidR="00640E94">
        <w:rPr>
          <w:rFonts w:ascii="Arial" w:hAnsi="Arial"/>
          <w:u w:val="single"/>
        </w:rPr>
        <w:tab/>
      </w:r>
      <w:r w:rsidR="00640E94">
        <w:rPr>
          <w:rFonts w:ascii="Arial" w:hAnsi="Arial"/>
        </w:rPr>
        <w:br/>
        <w:t>Official Capacity</w:t>
      </w:r>
      <w:bookmarkEnd w:id="4"/>
    </w:p>
    <w:p w14:paraId="6E82D0F1"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525068C8" w14:textId="77777777">
        <w:tc>
          <w:tcPr>
            <w:tcW w:w="4878" w:type="dxa"/>
            <w:tcBorders>
              <w:top w:val="single" w:sz="18" w:space="0" w:color="auto"/>
              <w:bottom w:val="nil"/>
              <w:right w:val="single" w:sz="18" w:space="0" w:color="auto"/>
            </w:tcBorders>
          </w:tcPr>
          <w:p w14:paraId="2B969AA6" w14:textId="77777777" w:rsidR="00640E94" w:rsidRDefault="00640E94">
            <w:pPr>
              <w:pStyle w:val="BodyText"/>
              <w:spacing w:before="0"/>
              <w:rPr>
                <w:rFonts w:ascii="Arial" w:hAnsi="Arial"/>
                <w:b/>
                <w:i/>
              </w:rPr>
            </w:pPr>
            <w:r>
              <w:rPr>
                <w:rFonts w:ascii="Arial" w:hAnsi="Arial"/>
                <w:b/>
                <w:i/>
              </w:rPr>
              <w:t>Issuer Details</w:t>
            </w:r>
          </w:p>
          <w:p w14:paraId="4BB797C3" w14:textId="77777777" w:rsidR="00640E94" w:rsidRDefault="00640E94">
            <w:pPr>
              <w:pStyle w:val="BodyText"/>
              <w:spacing w:before="0"/>
              <w:rPr>
                <w:rFonts w:ascii="Arial" w:hAnsi="Arial"/>
              </w:rPr>
            </w:pPr>
            <w:r>
              <w:rPr>
                <w:rFonts w:ascii="Arial" w:hAnsi="Arial"/>
              </w:rPr>
              <w:t>Name of Issuer</w:t>
            </w:r>
          </w:p>
          <w:p w14:paraId="5D45FC4A" w14:textId="1209275A" w:rsidR="00640E94" w:rsidRDefault="008C3A9F">
            <w:pPr>
              <w:pStyle w:val="BodyText"/>
              <w:rPr>
                <w:rFonts w:ascii="Arial" w:hAnsi="Arial"/>
              </w:rPr>
            </w:pPr>
            <w:r>
              <w:rPr>
                <w:rFonts w:ascii="Arial" w:hAnsi="Arial"/>
              </w:rPr>
              <w:t>Basin Uranium Corp.</w:t>
            </w:r>
          </w:p>
        </w:tc>
        <w:tc>
          <w:tcPr>
            <w:tcW w:w="1800" w:type="dxa"/>
            <w:tcBorders>
              <w:top w:val="single" w:sz="18" w:space="0" w:color="auto"/>
              <w:left w:val="single" w:sz="18" w:space="0" w:color="auto"/>
              <w:bottom w:val="nil"/>
              <w:right w:val="single" w:sz="18" w:space="0" w:color="auto"/>
            </w:tcBorders>
          </w:tcPr>
          <w:p w14:paraId="49332F33" w14:textId="77777777" w:rsidR="00640E94" w:rsidRDefault="00640E94">
            <w:pPr>
              <w:pStyle w:val="BodyText"/>
              <w:spacing w:before="0"/>
              <w:rPr>
                <w:rFonts w:ascii="Arial" w:hAnsi="Arial"/>
              </w:rPr>
            </w:pPr>
            <w:r>
              <w:rPr>
                <w:rFonts w:ascii="Arial" w:hAnsi="Arial"/>
              </w:rPr>
              <w:t>For  Month End</w:t>
            </w:r>
            <w:r w:rsidR="004864DA">
              <w:rPr>
                <w:rFonts w:ascii="Arial" w:hAnsi="Arial"/>
              </w:rPr>
              <w:t>:</w:t>
            </w:r>
          </w:p>
          <w:p w14:paraId="531A72AD" w14:textId="77777777" w:rsidR="004864DA" w:rsidRDefault="004864DA">
            <w:pPr>
              <w:pStyle w:val="BodyText"/>
              <w:spacing w:before="0"/>
              <w:rPr>
                <w:rFonts w:ascii="Arial" w:hAnsi="Arial"/>
              </w:rPr>
            </w:pPr>
          </w:p>
          <w:p w14:paraId="60EC84AA" w14:textId="1FBF9145" w:rsidR="004864DA" w:rsidRDefault="004A4DA9">
            <w:pPr>
              <w:pStyle w:val="BodyText"/>
              <w:spacing w:before="0"/>
              <w:rPr>
                <w:rFonts w:ascii="Arial" w:hAnsi="Arial"/>
              </w:rPr>
            </w:pPr>
            <w:r>
              <w:rPr>
                <w:rFonts w:ascii="Arial" w:hAnsi="Arial"/>
              </w:rPr>
              <w:t>December</w:t>
            </w:r>
            <w:r w:rsidR="00950BB2">
              <w:rPr>
                <w:rFonts w:ascii="Arial" w:hAnsi="Arial"/>
              </w:rPr>
              <w:t xml:space="preserve"> 2022</w:t>
            </w:r>
          </w:p>
        </w:tc>
        <w:tc>
          <w:tcPr>
            <w:tcW w:w="2898" w:type="dxa"/>
            <w:tcBorders>
              <w:top w:val="single" w:sz="18" w:space="0" w:color="auto"/>
              <w:left w:val="single" w:sz="18" w:space="0" w:color="auto"/>
              <w:bottom w:val="nil"/>
            </w:tcBorders>
          </w:tcPr>
          <w:p w14:paraId="6CAA492B" w14:textId="77777777" w:rsidR="00640E94" w:rsidRDefault="00640E94">
            <w:pPr>
              <w:pStyle w:val="BodyText"/>
              <w:spacing w:before="0"/>
              <w:rPr>
                <w:rFonts w:ascii="Arial" w:hAnsi="Arial"/>
              </w:rPr>
            </w:pPr>
            <w:r>
              <w:rPr>
                <w:rFonts w:ascii="Arial" w:hAnsi="Arial"/>
              </w:rPr>
              <w:t>Date of Report</w:t>
            </w:r>
          </w:p>
          <w:p w14:paraId="6FA4E3F6" w14:textId="77777777" w:rsidR="00640E94" w:rsidRDefault="00640E94">
            <w:pPr>
              <w:pStyle w:val="BodyText"/>
              <w:spacing w:before="0"/>
              <w:rPr>
                <w:rFonts w:ascii="Arial" w:hAnsi="Arial"/>
              </w:rPr>
            </w:pPr>
            <w:r>
              <w:rPr>
                <w:rFonts w:ascii="Arial" w:hAnsi="Arial"/>
              </w:rPr>
              <w:t>YY/MM/D</w:t>
            </w:r>
          </w:p>
          <w:p w14:paraId="23F8B857" w14:textId="77777777" w:rsidR="004864DA" w:rsidRDefault="004864DA">
            <w:pPr>
              <w:pStyle w:val="BodyText"/>
              <w:spacing w:before="0"/>
              <w:rPr>
                <w:rFonts w:ascii="Arial" w:hAnsi="Arial"/>
              </w:rPr>
            </w:pPr>
          </w:p>
          <w:p w14:paraId="5BC5E789" w14:textId="235E5375" w:rsidR="004864DA" w:rsidRDefault="004864DA">
            <w:pPr>
              <w:pStyle w:val="BodyText"/>
              <w:spacing w:before="0"/>
              <w:rPr>
                <w:rFonts w:ascii="Arial" w:hAnsi="Arial"/>
              </w:rPr>
            </w:pPr>
            <w:r w:rsidRPr="00052AF0">
              <w:rPr>
                <w:rFonts w:ascii="Arial" w:hAnsi="Arial"/>
              </w:rPr>
              <w:t>202</w:t>
            </w:r>
            <w:r w:rsidR="004A4DA9">
              <w:rPr>
                <w:rFonts w:ascii="Arial" w:hAnsi="Arial"/>
              </w:rPr>
              <w:t>3</w:t>
            </w:r>
            <w:r w:rsidR="00794C80" w:rsidRPr="00052AF0">
              <w:rPr>
                <w:rFonts w:ascii="Arial" w:hAnsi="Arial"/>
              </w:rPr>
              <w:t>/</w:t>
            </w:r>
            <w:r w:rsidR="004A4DA9">
              <w:rPr>
                <w:rFonts w:ascii="Arial" w:hAnsi="Arial"/>
              </w:rPr>
              <w:t>01</w:t>
            </w:r>
            <w:r w:rsidR="003D750D" w:rsidRPr="00052AF0">
              <w:rPr>
                <w:rFonts w:ascii="Arial" w:hAnsi="Arial"/>
              </w:rPr>
              <w:t>/</w:t>
            </w:r>
            <w:r w:rsidR="004A4DA9">
              <w:rPr>
                <w:rFonts w:ascii="Arial" w:hAnsi="Arial"/>
              </w:rPr>
              <w:t>13</w:t>
            </w:r>
          </w:p>
        </w:tc>
      </w:tr>
      <w:tr w:rsidR="00640E94" w14:paraId="6074D0BE" w14:textId="77777777">
        <w:trPr>
          <w:cantSplit/>
        </w:trPr>
        <w:tc>
          <w:tcPr>
            <w:tcW w:w="9576" w:type="dxa"/>
            <w:gridSpan w:val="3"/>
            <w:tcBorders>
              <w:top w:val="single" w:sz="18" w:space="0" w:color="auto"/>
              <w:bottom w:val="single" w:sz="18" w:space="0" w:color="auto"/>
            </w:tcBorders>
          </w:tcPr>
          <w:p w14:paraId="71D09DB7" w14:textId="77777777" w:rsidR="00640E94" w:rsidRDefault="00640E94">
            <w:pPr>
              <w:pStyle w:val="BodyText"/>
              <w:spacing w:before="0"/>
              <w:rPr>
                <w:rFonts w:ascii="Arial" w:hAnsi="Arial"/>
              </w:rPr>
            </w:pPr>
            <w:r>
              <w:rPr>
                <w:rFonts w:ascii="Arial" w:hAnsi="Arial"/>
              </w:rPr>
              <w:t>Issuer Address</w:t>
            </w:r>
          </w:p>
          <w:p w14:paraId="6B3F663F" w14:textId="77777777" w:rsidR="00640E94" w:rsidRDefault="00640E94">
            <w:pPr>
              <w:pStyle w:val="BodyText"/>
              <w:spacing w:before="0"/>
              <w:rPr>
                <w:rFonts w:ascii="Arial" w:hAnsi="Arial"/>
              </w:rPr>
            </w:pPr>
          </w:p>
          <w:p w14:paraId="7A4266F5" w14:textId="24D11EBB" w:rsidR="00640E94" w:rsidRDefault="004864DA">
            <w:pPr>
              <w:pStyle w:val="BodyText"/>
              <w:spacing w:before="0"/>
              <w:rPr>
                <w:rFonts w:ascii="Arial" w:hAnsi="Arial"/>
              </w:rPr>
            </w:pPr>
            <w:r>
              <w:rPr>
                <w:rFonts w:ascii="Arial" w:hAnsi="Arial"/>
              </w:rPr>
              <w:t xml:space="preserve">Suite </w:t>
            </w:r>
            <w:r w:rsidR="00E15E98">
              <w:rPr>
                <w:rFonts w:ascii="Arial" w:hAnsi="Arial"/>
              </w:rPr>
              <w:t>503, 905</w:t>
            </w:r>
            <w:r>
              <w:rPr>
                <w:rFonts w:ascii="Arial" w:hAnsi="Arial"/>
              </w:rPr>
              <w:t xml:space="preserve"> West Pender Street</w:t>
            </w:r>
          </w:p>
        </w:tc>
      </w:tr>
      <w:tr w:rsidR="00640E94" w14:paraId="0B3E6CA0" w14:textId="77777777">
        <w:tc>
          <w:tcPr>
            <w:tcW w:w="4878" w:type="dxa"/>
            <w:tcBorders>
              <w:top w:val="single" w:sz="18" w:space="0" w:color="auto"/>
              <w:bottom w:val="single" w:sz="18" w:space="0" w:color="auto"/>
              <w:right w:val="single" w:sz="18" w:space="0" w:color="auto"/>
            </w:tcBorders>
          </w:tcPr>
          <w:p w14:paraId="7C790015" w14:textId="77777777" w:rsidR="00640E94" w:rsidRPr="00857CB7" w:rsidRDefault="00640E94">
            <w:pPr>
              <w:pStyle w:val="BodyText"/>
              <w:spacing w:before="0"/>
              <w:rPr>
                <w:rFonts w:ascii="Arial" w:hAnsi="Arial"/>
                <w:lang w:val="fr-FR"/>
              </w:rPr>
            </w:pPr>
            <w:r w:rsidRPr="00857CB7">
              <w:rPr>
                <w:rFonts w:ascii="Arial" w:hAnsi="Arial"/>
                <w:lang w:val="fr-FR"/>
              </w:rPr>
              <w:t>City/Province/Postal Code</w:t>
            </w:r>
          </w:p>
          <w:p w14:paraId="49051785" w14:textId="77777777" w:rsidR="00640E94" w:rsidRPr="00857CB7" w:rsidRDefault="00640E94">
            <w:pPr>
              <w:pStyle w:val="BodyText"/>
              <w:spacing w:before="0"/>
              <w:rPr>
                <w:rFonts w:ascii="Arial" w:hAnsi="Arial"/>
                <w:lang w:val="fr-FR"/>
              </w:rPr>
            </w:pPr>
          </w:p>
          <w:p w14:paraId="636426C0" w14:textId="656238F6" w:rsidR="00640E94" w:rsidRPr="00857CB7" w:rsidRDefault="004864DA">
            <w:pPr>
              <w:pStyle w:val="BodyText"/>
              <w:spacing w:before="0"/>
              <w:rPr>
                <w:rFonts w:ascii="Arial" w:hAnsi="Arial"/>
                <w:lang w:val="fr-FR"/>
              </w:rPr>
            </w:pPr>
            <w:r w:rsidRPr="00857CB7">
              <w:rPr>
                <w:rFonts w:ascii="Arial" w:hAnsi="Arial"/>
                <w:lang w:val="fr-FR"/>
              </w:rPr>
              <w:t xml:space="preserve">Vancouver, BC, V6C </w:t>
            </w:r>
            <w:r w:rsidR="00E15E98" w:rsidRPr="00857CB7">
              <w:rPr>
                <w:rFonts w:ascii="Arial" w:hAnsi="Arial"/>
                <w:lang w:val="fr-FR"/>
              </w:rPr>
              <w:t>1L6</w:t>
            </w:r>
          </w:p>
        </w:tc>
        <w:tc>
          <w:tcPr>
            <w:tcW w:w="1800" w:type="dxa"/>
            <w:tcBorders>
              <w:top w:val="single" w:sz="18" w:space="0" w:color="auto"/>
              <w:left w:val="single" w:sz="18" w:space="0" w:color="auto"/>
              <w:bottom w:val="single" w:sz="18" w:space="0" w:color="auto"/>
              <w:right w:val="single" w:sz="18" w:space="0" w:color="auto"/>
            </w:tcBorders>
          </w:tcPr>
          <w:p w14:paraId="142F8100" w14:textId="77777777" w:rsidR="00640E94" w:rsidRDefault="00640E94">
            <w:pPr>
              <w:pStyle w:val="BodyText"/>
              <w:spacing w:before="0"/>
              <w:rPr>
                <w:rFonts w:ascii="Arial" w:hAnsi="Arial"/>
              </w:rPr>
            </w:pPr>
            <w:r>
              <w:rPr>
                <w:rFonts w:ascii="Arial" w:hAnsi="Arial"/>
              </w:rPr>
              <w:t>Issuer Fax No.</w:t>
            </w:r>
          </w:p>
          <w:p w14:paraId="51B2F63B" w14:textId="77777777" w:rsidR="004864DA" w:rsidRDefault="004864DA">
            <w:pPr>
              <w:pStyle w:val="BodyText"/>
              <w:spacing w:before="0"/>
              <w:rPr>
                <w:rFonts w:ascii="Arial" w:hAnsi="Arial"/>
              </w:rPr>
            </w:pPr>
          </w:p>
          <w:p w14:paraId="7D748A07" w14:textId="00BF9B3C" w:rsidR="00640E94" w:rsidRDefault="004864DA">
            <w:pPr>
              <w:pStyle w:val="BodyText"/>
              <w:spacing w:before="0"/>
              <w:rPr>
                <w:rFonts w:ascii="Arial" w:hAnsi="Arial"/>
              </w:rPr>
            </w:pPr>
            <w:r>
              <w:rPr>
                <w:rFonts w:ascii="Arial" w:hAnsi="Arial"/>
              </w:rPr>
              <w:t>N/A</w:t>
            </w:r>
          </w:p>
        </w:tc>
        <w:tc>
          <w:tcPr>
            <w:tcW w:w="2898" w:type="dxa"/>
            <w:tcBorders>
              <w:top w:val="single" w:sz="18" w:space="0" w:color="auto"/>
              <w:left w:val="single" w:sz="18" w:space="0" w:color="auto"/>
              <w:bottom w:val="single" w:sz="18" w:space="0" w:color="auto"/>
            </w:tcBorders>
          </w:tcPr>
          <w:p w14:paraId="7AE0351C" w14:textId="77777777" w:rsidR="00640E94" w:rsidRDefault="00640E94">
            <w:pPr>
              <w:pStyle w:val="BodyText"/>
              <w:spacing w:before="0"/>
              <w:rPr>
                <w:rFonts w:ascii="Arial" w:hAnsi="Arial"/>
              </w:rPr>
            </w:pPr>
            <w:r>
              <w:rPr>
                <w:rFonts w:ascii="Arial" w:hAnsi="Arial"/>
              </w:rPr>
              <w:t>Issuer Telephone No.</w:t>
            </w:r>
          </w:p>
          <w:p w14:paraId="7396F19A" w14:textId="77777777" w:rsidR="004864DA" w:rsidRDefault="004864DA">
            <w:pPr>
              <w:pStyle w:val="BodyText"/>
              <w:spacing w:before="0"/>
              <w:rPr>
                <w:rFonts w:ascii="Arial" w:hAnsi="Arial"/>
              </w:rPr>
            </w:pPr>
          </w:p>
          <w:p w14:paraId="06627C12" w14:textId="13F5E84E" w:rsidR="00640E94" w:rsidRDefault="004864DA">
            <w:pPr>
              <w:pStyle w:val="BodyText"/>
              <w:spacing w:before="0"/>
              <w:rPr>
                <w:rFonts w:ascii="Arial" w:hAnsi="Arial"/>
              </w:rPr>
            </w:pPr>
            <w:r w:rsidRPr="004864DA">
              <w:rPr>
                <w:rFonts w:ascii="Arial" w:hAnsi="Arial"/>
              </w:rPr>
              <w:t>+1 (</w:t>
            </w:r>
            <w:r w:rsidR="008C3A9F">
              <w:rPr>
                <w:rFonts w:ascii="Arial" w:hAnsi="Arial"/>
              </w:rPr>
              <w:t>778) 838-3692</w:t>
            </w:r>
          </w:p>
        </w:tc>
      </w:tr>
      <w:tr w:rsidR="00640E94" w14:paraId="5319AFB8" w14:textId="77777777">
        <w:tc>
          <w:tcPr>
            <w:tcW w:w="4878" w:type="dxa"/>
            <w:tcBorders>
              <w:top w:val="single" w:sz="18" w:space="0" w:color="auto"/>
              <w:bottom w:val="single" w:sz="18" w:space="0" w:color="auto"/>
              <w:right w:val="single" w:sz="18" w:space="0" w:color="auto"/>
            </w:tcBorders>
          </w:tcPr>
          <w:p w14:paraId="74D9DE6F" w14:textId="77777777" w:rsidR="00640E94" w:rsidRDefault="00640E94">
            <w:pPr>
              <w:pStyle w:val="BodyText"/>
              <w:spacing w:before="0"/>
              <w:rPr>
                <w:rFonts w:ascii="Arial" w:hAnsi="Arial"/>
              </w:rPr>
            </w:pPr>
            <w:r>
              <w:rPr>
                <w:rFonts w:ascii="Arial" w:hAnsi="Arial"/>
              </w:rPr>
              <w:t>Contact Name</w:t>
            </w:r>
          </w:p>
          <w:p w14:paraId="65373DE3" w14:textId="77777777" w:rsidR="00640E94" w:rsidRDefault="00640E94">
            <w:pPr>
              <w:pStyle w:val="BodyText"/>
              <w:spacing w:before="0"/>
              <w:rPr>
                <w:rFonts w:ascii="Arial" w:hAnsi="Arial"/>
              </w:rPr>
            </w:pPr>
          </w:p>
          <w:p w14:paraId="134E0728" w14:textId="31229E5D" w:rsidR="00640E94" w:rsidRDefault="008C3A9F">
            <w:pPr>
              <w:pStyle w:val="BodyText"/>
              <w:spacing w:before="0"/>
              <w:rPr>
                <w:rFonts w:ascii="Arial" w:hAnsi="Arial"/>
              </w:rPr>
            </w:pPr>
            <w:r>
              <w:rPr>
                <w:rFonts w:ascii="Arial" w:hAnsi="Arial"/>
              </w:rPr>
              <w:t>Joel Leonard</w:t>
            </w:r>
          </w:p>
        </w:tc>
        <w:tc>
          <w:tcPr>
            <w:tcW w:w="1800" w:type="dxa"/>
            <w:tcBorders>
              <w:top w:val="single" w:sz="18" w:space="0" w:color="auto"/>
              <w:left w:val="single" w:sz="18" w:space="0" w:color="auto"/>
              <w:bottom w:val="single" w:sz="18" w:space="0" w:color="auto"/>
              <w:right w:val="single" w:sz="18" w:space="0" w:color="auto"/>
            </w:tcBorders>
          </w:tcPr>
          <w:p w14:paraId="4010DC4B" w14:textId="77777777" w:rsidR="00640E94" w:rsidRDefault="00640E94">
            <w:pPr>
              <w:pStyle w:val="BodyText"/>
              <w:spacing w:before="0"/>
              <w:rPr>
                <w:rFonts w:ascii="Arial" w:hAnsi="Arial"/>
              </w:rPr>
            </w:pPr>
            <w:r>
              <w:rPr>
                <w:rFonts w:ascii="Arial" w:hAnsi="Arial"/>
              </w:rPr>
              <w:t>Contact Position</w:t>
            </w:r>
          </w:p>
          <w:p w14:paraId="33754D44" w14:textId="6E51D69F" w:rsidR="004864DA" w:rsidRDefault="004864DA">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1ED0A8C3" w14:textId="77777777" w:rsidR="00640E94" w:rsidRDefault="00640E94">
            <w:pPr>
              <w:pStyle w:val="BodyText"/>
              <w:spacing w:before="0"/>
              <w:rPr>
                <w:rFonts w:ascii="Arial" w:hAnsi="Arial"/>
              </w:rPr>
            </w:pPr>
            <w:r>
              <w:rPr>
                <w:rFonts w:ascii="Arial" w:hAnsi="Arial"/>
              </w:rPr>
              <w:t>Contact Telephone No.</w:t>
            </w:r>
          </w:p>
          <w:p w14:paraId="78200E8D" w14:textId="77777777" w:rsidR="004864DA" w:rsidRDefault="004864DA">
            <w:pPr>
              <w:pStyle w:val="BodyText"/>
              <w:spacing w:before="0"/>
              <w:rPr>
                <w:rFonts w:ascii="Arial" w:hAnsi="Arial"/>
              </w:rPr>
            </w:pPr>
          </w:p>
          <w:p w14:paraId="36220B56" w14:textId="2C8892D0" w:rsidR="004864DA" w:rsidRDefault="004864DA">
            <w:pPr>
              <w:pStyle w:val="BodyText"/>
              <w:spacing w:before="0"/>
              <w:rPr>
                <w:rFonts w:ascii="Arial" w:hAnsi="Arial"/>
              </w:rPr>
            </w:pPr>
            <w:r w:rsidRPr="004864DA">
              <w:rPr>
                <w:rFonts w:ascii="Arial" w:hAnsi="Arial"/>
              </w:rPr>
              <w:t>+1 (</w:t>
            </w:r>
            <w:r w:rsidR="008C3A9F">
              <w:rPr>
                <w:rFonts w:ascii="Arial" w:hAnsi="Arial"/>
              </w:rPr>
              <w:t>778) 838-3692</w:t>
            </w:r>
          </w:p>
        </w:tc>
      </w:tr>
      <w:tr w:rsidR="00640E94" w14:paraId="33AB6109" w14:textId="77777777">
        <w:trPr>
          <w:cantSplit/>
        </w:trPr>
        <w:tc>
          <w:tcPr>
            <w:tcW w:w="4878" w:type="dxa"/>
            <w:tcBorders>
              <w:top w:val="single" w:sz="18" w:space="0" w:color="auto"/>
              <w:bottom w:val="single" w:sz="18" w:space="0" w:color="auto"/>
              <w:right w:val="single" w:sz="18" w:space="0" w:color="auto"/>
            </w:tcBorders>
          </w:tcPr>
          <w:p w14:paraId="1B76F8A4" w14:textId="77777777" w:rsidR="00640E94" w:rsidRDefault="00640E94">
            <w:pPr>
              <w:pStyle w:val="BodyText"/>
              <w:spacing w:before="0"/>
              <w:rPr>
                <w:rFonts w:ascii="Arial" w:hAnsi="Arial"/>
              </w:rPr>
            </w:pPr>
            <w:r>
              <w:rPr>
                <w:rFonts w:ascii="Arial" w:hAnsi="Arial"/>
              </w:rPr>
              <w:t>Contact Email Address</w:t>
            </w:r>
          </w:p>
          <w:p w14:paraId="3E2D7A67" w14:textId="556F36FE" w:rsidR="00640E94" w:rsidRDefault="00950BB2">
            <w:pPr>
              <w:pStyle w:val="BodyText"/>
              <w:spacing w:before="0"/>
              <w:rPr>
                <w:rFonts w:ascii="Arial" w:hAnsi="Arial"/>
              </w:rPr>
            </w:pPr>
            <w:r>
              <w:rPr>
                <w:rFonts w:ascii="Arial" w:hAnsi="Arial"/>
              </w:rPr>
              <w:t>Joel.leonard</w:t>
            </w:r>
            <w:r w:rsidR="008C3A9F">
              <w:rPr>
                <w:rFonts w:ascii="Arial" w:hAnsi="Arial"/>
              </w:rPr>
              <w:t>@jclpartners.ca</w:t>
            </w:r>
          </w:p>
        </w:tc>
        <w:tc>
          <w:tcPr>
            <w:tcW w:w="4698" w:type="dxa"/>
            <w:gridSpan w:val="2"/>
            <w:tcBorders>
              <w:top w:val="single" w:sz="18" w:space="0" w:color="auto"/>
              <w:left w:val="single" w:sz="18" w:space="0" w:color="auto"/>
              <w:bottom w:val="single" w:sz="18" w:space="0" w:color="auto"/>
            </w:tcBorders>
          </w:tcPr>
          <w:p w14:paraId="71BD9E8D" w14:textId="77777777" w:rsidR="00640E94" w:rsidRDefault="00640E94">
            <w:pPr>
              <w:pStyle w:val="BodyText"/>
              <w:spacing w:before="0"/>
              <w:rPr>
                <w:rFonts w:ascii="Arial" w:hAnsi="Arial"/>
              </w:rPr>
            </w:pPr>
            <w:r>
              <w:rPr>
                <w:rFonts w:ascii="Arial" w:hAnsi="Arial"/>
              </w:rPr>
              <w:t>Web Site Address</w:t>
            </w:r>
          </w:p>
          <w:p w14:paraId="12787EF6" w14:textId="54D680E3" w:rsidR="00640E94" w:rsidRDefault="00950BB2">
            <w:pPr>
              <w:pStyle w:val="BodyText"/>
              <w:spacing w:before="0"/>
              <w:rPr>
                <w:rFonts w:ascii="Arial" w:hAnsi="Arial"/>
              </w:rPr>
            </w:pPr>
            <w:r w:rsidRPr="00950BB2">
              <w:rPr>
                <w:rFonts w:ascii="Arial" w:hAnsi="Arial"/>
              </w:rPr>
              <w:t>basinuranium.ca</w:t>
            </w:r>
          </w:p>
        </w:tc>
      </w:tr>
    </w:tbl>
    <w:p w14:paraId="54A1BBEF" w14:textId="14853BA6" w:rsidR="00497A5B" w:rsidRPr="00497A5B" w:rsidRDefault="00497A5B" w:rsidP="003C2284">
      <w:pPr>
        <w:tabs>
          <w:tab w:val="left" w:pos="5286"/>
        </w:tabs>
        <w:rPr>
          <w:lang w:val="en-GB"/>
        </w:rPr>
      </w:pPr>
    </w:p>
    <w:sectPr w:rsidR="00497A5B" w:rsidRPr="00497A5B"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C2E9A" w14:textId="77777777" w:rsidR="00A617B1" w:rsidRDefault="00A617B1">
      <w:r>
        <w:separator/>
      </w:r>
    </w:p>
  </w:endnote>
  <w:endnote w:type="continuationSeparator" w:id="0">
    <w:p w14:paraId="24CD8C47" w14:textId="77777777" w:rsidR="00A617B1" w:rsidRDefault="00A6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6481F" w14:textId="77777777" w:rsidR="00640E94" w:rsidRDefault="00640E94">
    <w:pPr>
      <w:pStyle w:val="Footer"/>
      <w:tabs>
        <w:tab w:val="clear" w:pos="4320"/>
        <w:tab w:val="clear" w:pos="8640"/>
        <w:tab w:val="center" w:pos="4680"/>
        <w:tab w:val="right" w:pos="9360"/>
      </w:tabs>
      <w:rPr>
        <w:b/>
      </w:rPr>
    </w:pPr>
  </w:p>
  <w:p w14:paraId="398995B8"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1AD8600" wp14:editId="68FA7C4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5C9F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6E41801E" w14:textId="282EA9F2" w:rsidR="00640E94" w:rsidRPr="006D1A06" w:rsidRDefault="004A4DA9"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December</w:t>
    </w:r>
    <w:r w:rsidR="000A1AB1">
      <w:rPr>
        <w:rStyle w:val="PageNumber"/>
        <w:rFonts w:ascii="Arial" w:hAnsi="Arial" w:cs="Arial"/>
        <w:sz w:val="16"/>
        <w:szCs w:val="16"/>
      </w:rPr>
      <w:t xml:space="preserve"> 20</w:t>
    </w:r>
    <w:r w:rsidR="009642EE">
      <w:rPr>
        <w:rStyle w:val="PageNumber"/>
        <w:rFonts w:ascii="Arial" w:hAnsi="Arial" w:cs="Arial"/>
        <w:sz w:val="16"/>
        <w:szCs w:val="16"/>
      </w:rPr>
      <w:t>22</w:t>
    </w:r>
  </w:p>
  <w:p w14:paraId="61DCFBA7"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0E330" w14:textId="77777777" w:rsidR="00640E94" w:rsidRDefault="00640E94">
    <w:pPr>
      <w:pStyle w:val="Footer"/>
      <w:tabs>
        <w:tab w:val="clear" w:pos="4320"/>
        <w:tab w:val="clear" w:pos="8640"/>
        <w:tab w:val="center" w:pos="4680"/>
        <w:tab w:val="right" w:pos="9360"/>
      </w:tabs>
      <w:rPr>
        <w:b/>
      </w:rPr>
    </w:pPr>
  </w:p>
  <w:p w14:paraId="37C887AC"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C7F68B1" wp14:editId="6EE03C85">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3D9DD"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2309A628"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43809BF"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47736" w14:textId="77777777" w:rsidR="00A617B1" w:rsidRDefault="00A617B1">
      <w:r>
        <w:separator/>
      </w:r>
    </w:p>
  </w:footnote>
  <w:footnote w:type="continuationSeparator" w:id="0">
    <w:p w14:paraId="0B7EB56B" w14:textId="77777777" w:rsidR="00A617B1" w:rsidRDefault="00A61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3A43"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1281BB8"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0836"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835204"/>
    <w:multiLevelType w:val="multilevel"/>
    <w:tmpl w:val="3830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352218B"/>
    <w:multiLevelType w:val="multilevel"/>
    <w:tmpl w:val="2624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BFB27E4"/>
    <w:multiLevelType w:val="hybridMultilevel"/>
    <w:tmpl w:val="5FA48756"/>
    <w:lvl w:ilvl="0" w:tplc="3C38941C">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806435584">
    <w:abstractNumId w:val="19"/>
  </w:num>
  <w:num w:numId="2" w16cid:durableId="1855146473">
    <w:abstractNumId w:val="23"/>
  </w:num>
  <w:num w:numId="3" w16cid:durableId="331371998">
    <w:abstractNumId w:val="18"/>
  </w:num>
  <w:num w:numId="4" w16cid:durableId="922497092">
    <w:abstractNumId w:val="13"/>
  </w:num>
  <w:num w:numId="5" w16cid:durableId="149950873">
    <w:abstractNumId w:val="4"/>
  </w:num>
  <w:num w:numId="6" w16cid:durableId="345207850">
    <w:abstractNumId w:val="25"/>
  </w:num>
  <w:num w:numId="7" w16cid:durableId="1001087122">
    <w:abstractNumId w:val="9"/>
  </w:num>
  <w:num w:numId="8" w16cid:durableId="180971315">
    <w:abstractNumId w:val="27"/>
  </w:num>
  <w:num w:numId="9" w16cid:durableId="1139809314">
    <w:abstractNumId w:val="22"/>
  </w:num>
  <w:num w:numId="10" w16cid:durableId="1600797477">
    <w:abstractNumId w:val="11"/>
  </w:num>
  <w:num w:numId="11" w16cid:durableId="943342025">
    <w:abstractNumId w:val="15"/>
  </w:num>
  <w:num w:numId="12" w16cid:durableId="845023625">
    <w:abstractNumId w:val="16"/>
  </w:num>
  <w:num w:numId="13" w16cid:durableId="1189683493">
    <w:abstractNumId w:val="29"/>
  </w:num>
  <w:num w:numId="14" w16cid:durableId="1656759762">
    <w:abstractNumId w:val="7"/>
  </w:num>
  <w:num w:numId="15" w16cid:durableId="1768309162">
    <w:abstractNumId w:val="10"/>
  </w:num>
  <w:num w:numId="16" w16cid:durableId="2138570825">
    <w:abstractNumId w:val="12"/>
  </w:num>
  <w:num w:numId="17" w16cid:durableId="2100321944">
    <w:abstractNumId w:val="20"/>
  </w:num>
  <w:num w:numId="18" w16cid:durableId="1304892780">
    <w:abstractNumId w:val="3"/>
  </w:num>
  <w:num w:numId="19" w16cid:durableId="836963119">
    <w:abstractNumId w:val="8"/>
  </w:num>
  <w:num w:numId="20" w16cid:durableId="848133513">
    <w:abstractNumId w:val="26"/>
  </w:num>
  <w:num w:numId="21" w16cid:durableId="1300264928">
    <w:abstractNumId w:val="1"/>
  </w:num>
  <w:num w:numId="22" w16cid:durableId="828327760">
    <w:abstractNumId w:val="0"/>
  </w:num>
  <w:num w:numId="23" w16cid:durableId="1424759640">
    <w:abstractNumId w:val="24"/>
  </w:num>
  <w:num w:numId="24" w16cid:durableId="2016837547">
    <w:abstractNumId w:val="21"/>
  </w:num>
  <w:num w:numId="25" w16cid:durableId="359354597">
    <w:abstractNumId w:val="5"/>
  </w:num>
  <w:num w:numId="26" w16cid:durableId="617101172">
    <w:abstractNumId w:val="28"/>
  </w:num>
  <w:num w:numId="27" w16cid:durableId="1317951856">
    <w:abstractNumId w:val="30"/>
  </w:num>
  <w:num w:numId="28" w16cid:durableId="1962573591">
    <w:abstractNumId w:val="6"/>
  </w:num>
  <w:num w:numId="29" w16cid:durableId="350255510">
    <w:abstractNumId w:val="17"/>
  </w:num>
  <w:num w:numId="30" w16cid:durableId="1103962966">
    <w:abstractNumId w:val="14"/>
  </w:num>
  <w:num w:numId="31" w16cid:durableId="5253369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519A"/>
    <w:rsid w:val="00020D4A"/>
    <w:rsid w:val="00052AF0"/>
    <w:rsid w:val="000A1AB1"/>
    <w:rsid w:val="00104755"/>
    <w:rsid w:val="001056DA"/>
    <w:rsid w:val="001368BB"/>
    <w:rsid w:val="00146009"/>
    <w:rsid w:val="0015295D"/>
    <w:rsid w:val="00173131"/>
    <w:rsid w:val="00180A54"/>
    <w:rsid w:val="0018725E"/>
    <w:rsid w:val="00191816"/>
    <w:rsid w:val="001D6630"/>
    <w:rsid w:val="001E7E1E"/>
    <w:rsid w:val="002326EE"/>
    <w:rsid w:val="002867DD"/>
    <w:rsid w:val="0029400B"/>
    <w:rsid w:val="002A0985"/>
    <w:rsid w:val="002A227E"/>
    <w:rsid w:val="002C0E01"/>
    <w:rsid w:val="002C281E"/>
    <w:rsid w:val="002C3CA6"/>
    <w:rsid w:val="002F00EB"/>
    <w:rsid w:val="003369F6"/>
    <w:rsid w:val="003410E7"/>
    <w:rsid w:val="003511B5"/>
    <w:rsid w:val="003669A9"/>
    <w:rsid w:val="00371A64"/>
    <w:rsid w:val="00382566"/>
    <w:rsid w:val="00387FA8"/>
    <w:rsid w:val="003C2284"/>
    <w:rsid w:val="003D750D"/>
    <w:rsid w:val="003F4FC1"/>
    <w:rsid w:val="00402682"/>
    <w:rsid w:val="00414AD8"/>
    <w:rsid w:val="00431153"/>
    <w:rsid w:val="004864DA"/>
    <w:rsid w:val="00497A5B"/>
    <w:rsid w:val="004A4DA9"/>
    <w:rsid w:val="004A7F07"/>
    <w:rsid w:val="004C6EAF"/>
    <w:rsid w:val="00505C18"/>
    <w:rsid w:val="00512EC4"/>
    <w:rsid w:val="00533832"/>
    <w:rsid w:val="005453C8"/>
    <w:rsid w:val="0054700C"/>
    <w:rsid w:val="005E3418"/>
    <w:rsid w:val="005F4627"/>
    <w:rsid w:val="005F6D8F"/>
    <w:rsid w:val="006119A8"/>
    <w:rsid w:val="00612DD1"/>
    <w:rsid w:val="00620E7F"/>
    <w:rsid w:val="0062690F"/>
    <w:rsid w:val="0063180F"/>
    <w:rsid w:val="00633ED3"/>
    <w:rsid w:val="00635E9A"/>
    <w:rsid w:val="00640E94"/>
    <w:rsid w:val="00654CB8"/>
    <w:rsid w:val="006A5A93"/>
    <w:rsid w:val="006C4D69"/>
    <w:rsid w:val="006D1A06"/>
    <w:rsid w:val="006F0C87"/>
    <w:rsid w:val="00737CA6"/>
    <w:rsid w:val="00794C80"/>
    <w:rsid w:val="007A014F"/>
    <w:rsid w:val="007B31D6"/>
    <w:rsid w:val="007B6834"/>
    <w:rsid w:val="007E69DE"/>
    <w:rsid w:val="007F35B8"/>
    <w:rsid w:val="008176F3"/>
    <w:rsid w:val="00824899"/>
    <w:rsid w:val="00857CB7"/>
    <w:rsid w:val="008713DD"/>
    <w:rsid w:val="00887CAB"/>
    <w:rsid w:val="00891DB9"/>
    <w:rsid w:val="008B7E92"/>
    <w:rsid w:val="008C3A9F"/>
    <w:rsid w:val="008E1098"/>
    <w:rsid w:val="008E2965"/>
    <w:rsid w:val="008F14B1"/>
    <w:rsid w:val="00922A46"/>
    <w:rsid w:val="00950BB2"/>
    <w:rsid w:val="009642EE"/>
    <w:rsid w:val="009944A3"/>
    <w:rsid w:val="009A4D00"/>
    <w:rsid w:val="009C3D6C"/>
    <w:rsid w:val="00A25603"/>
    <w:rsid w:val="00A27906"/>
    <w:rsid w:val="00A33641"/>
    <w:rsid w:val="00A45A65"/>
    <w:rsid w:val="00A47914"/>
    <w:rsid w:val="00A509C1"/>
    <w:rsid w:val="00A617B1"/>
    <w:rsid w:val="00AD27CA"/>
    <w:rsid w:val="00AD5B21"/>
    <w:rsid w:val="00B22458"/>
    <w:rsid w:val="00B34F43"/>
    <w:rsid w:val="00B4613C"/>
    <w:rsid w:val="00BE0B7F"/>
    <w:rsid w:val="00BE37C6"/>
    <w:rsid w:val="00BF420B"/>
    <w:rsid w:val="00C11CD3"/>
    <w:rsid w:val="00C27A18"/>
    <w:rsid w:val="00C620BA"/>
    <w:rsid w:val="00C6383E"/>
    <w:rsid w:val="00C64DDD"/>
    <w:rsid w:val="00CE5063"/>
    <w:rsid w:val="00CF5E8B"/>
    <w:rsid w:val="00D56655"/>
    <w:rsid w:val="00D616DA"/>
    <w:rsid w:val="00D65F51"/>
    <w:rsid w:val="00D7043A"/>
    <w:rsid w:val="00D93E81"/>
    <w:rsid w:val="00DC1C82"/>
    <w:rsid w:val="00DE741C"/>
    <w:rsid w:val="00E031E0"/>
    <w:rsid w:val="00E15E98"/>
    <w:rsid w:val="00E23386"/>
    <w:rsid w:val="00E258D8"/>
    <w:rsid w:val="00E2772C"/>
    <w:rsid w:val="00E36141"/>
    <w:rsid w:val="00E61EFE"/>
    <w:rsid w:val="00E6743D"/>
    <w:rsid w:val="00E83E58"/>
    <w:rsid w:val="00E86238"/>
    <w:rsid w:val="00E92A72"/>
    <w:rsid w:val="00E95406"/>
    <w:rsid w:val="00EC397A"/>
    <w:rsid w:val="00F47617"/>
    <w:rsid w:val="00F971C3"/>
    <w:rsid w:val="00FC0D69"/>
    <w:rsid w:val="00FE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260759"/>
  <w15:docId w15:val="{74D4462E-386F-7545-860E-E08D2EBE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link w:val="ListParagraphChar"/>
    <w:uiPriority w:val="34"/>
    <w:qFormat/>
    <w:rsid w:val="004864DA"/>
    <w:pPr>
      <w:ind w:left="720"/>
      <w:contextualSpacing/>
    </w:pPr>
  </w:style>
  <w:style w:type="character" w:styleId="Hyperlink">
    <w:name w:val="Hyperlink"/>
    <w:basedOn w:val="DefaultParagraphFont"/>
    <w:uiPriority w:val="99"/>
    <w:unhideWhenUsed/>
    <w:rsid w:val="004864DA"/>
    <w:rPr>
      <w:color w:val="0000FF" w:themeColor="hyperlink"/>
      <w:u w:val="single"/>
    </w:rPr>
  </w:style>
  <w:style w:type="character" w:styleId="UnresolvedMention">
    <w:name w:val="Unresolved Mention"/>
    <w:basedOn w:val="DefaultParagraphFont"/>
    <w:uiPriority w:val="99"/>
    <w:semiHidden/>
    <w:unhideWhenUsed/>
    <w:rsid w:val="004864DA"/>
    <w:rPr>
      <w:color w:val="605E5C"/>
      <w:shd w:val="clear" w:color="auto" w:fill="E1DFDD"/>
    </w:rPr>
  </w:style>
  <w:style w:type="character" w:customStyle="1" w:styleId="ListParagraphChar">
    <w:name w:val="List Paragraph Char"/>
    <w:link w:val="ListParagraph"/>
    <w:uiPriority w:val="34"/>
    <w:rsid w:val="00505C18"/>
  </w:style>
  <w:style w:type="paragraph" w:styleId="NormalWeb">
    <w:name w:val="Normal (Web)"/>
    <w:basedOn w:val="Normal"/>
    <w:uiPriority w:val="99"/>
    <w:unhideWhenUsed/>
    <w:rsid w:val="0029400B"/>
    <w:pPr>
      <w:spacing w:before="100" w:beforeAutospacing="1" w:after="100" w:afterAutospacing="1"/>
    </w:pPr>
    <w:rPr>
      <w:sz w:val="24"/>
      <w:szCs w:val="24"/>
      <w:lang w:val="en-CA" w:eastAsia="en-CA"/>
    </w:rPr>
  </w:style>
  <w:style w:type="character" w:styleId="Strong">
    <w:name w:val="Strong"/>
    <w:basedOn w:val="DefaultParagraphFont"/>
    <w:uiPriority w:val="22"/>
    <w:qFormat/>
    <w:rsid w:val="0029400B"/>
    <w:rPr>
      <w:b/>
      <w:bCs/>
    </w:rPr>
  </w:style>
  <w:style w:type="character" w:styleId="Emphasis">
    <w:name w:val="Emphasis"/>
    <w:basedOn w:val="DefaultParagraphFont"/>
    <w:uiPriority w:val="20"/>
    <w:qFormat/>
    <w:rsid w:val="002940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73966">
      <w:bodyDiv w:val="1"/>
      <w:marLeft w:val="0"/>
      <w:marRight w:val="0"/>
      <w:marTop w:val="0"/>
      <w:marBottom w:val="0"/>
      <w:divBdr>
        <w:top w:val="none" w:sz="0" w:space="0" w:color="auto"/>
        <w:left w:val="none" w:sz="0" w:space="0" w:color="auto"/>
        <w:bottom w:val="none" w:sz="0" w:space="0" w:color="auto"/>
        <w:right w:val="none" w:sz="0" w:space="0" w:color="auto"/>
      </w:divBdr>
    </w:div>
    <w:div w:id="782189866">
      <w:bodyDiv w:val="1"/>
      <w:marLeft w:val="0"/>
      <w:marRight w:val="0"/>
      <w:marTop w:val="0"/>
      <w:marBottom w:val="0"/>
      <w:divBdr>
        <w:top w:val="none" w:sz="0" w:space="0" w:color="auto"/>
        <w:left w:val="none" w:sz="0" w:space="0" w:color="auto"/>
        <w:bottom w:val="none" w:sz="0" w:space="0" w:color="auto"/>
        <w:right w:val="none" w:sz="0" w:space="0" w:color="auto"/>
      </w:divBdr>
    </w:div>
    <w:div w:id="944574130">
      <w:bodyDiv w:val="1"/>
      <w:marLeft w:val="0"/>
      <w:marRight w:val="0"/>
      <w:marTop w:val="0"/>
      <w:marBottom w:val="0"/>
      <w:divBdr>
        <w:top w:val="none" w:sz="0" w:space="0" w:color="auto"/>
        <w:left w:val="none" w:sz="0" w:space="0" w:color="auto"/>
        <w:bottom w:val="none" w:sz="0" w:space="0" w:color="auto"/>
        <w:right w:val="none" w:sz="0" w:space="0" w:color="auto"/>
      </w:divBdr>
    </w:div>
    <w:div w:id="1243561882">
      <w:bodyDiv w:val="1"/>
      <w:marLeft w:val="0"/>
      <w:marRight w:val="0"/>
      <w:marTop w:val="0"/>
      <w:marBottom w:val="0"/>
      <w:divBdr>
        <w:top w:val="none" w:sz="0" w:space="0" w:color="auto"/>
        <w:left w:val="none" w:sz="0" w:space="0" w:color="auto"/>
        <w:bottom w:val="none" w:sz="0" w:space="0" w:color="auto"/>
        <w:right w:val="none" w:sz="0" w:space="0" w:color="auto"/>
      </w:divBdr>
    </w:div>
    <w:div w:id="1286734551">
      <w:bodyDiv w:val="1"/>
      <w:marLeft w:val="0"/>
      <w:marRight w:val="0"/>
      <w:marTop w:val="0"/>
      <w:marBottom w:val="0"/>
      <w:divBdr>
        <w:top w:val="none" w:sz="0" w:space="0" w:color="auto"/>
        <w:left w:val="none" w:sz="0" w:space="0" w:color="auto"/>
        <w:bottom w:val="none" w:sz="0" w:space="0" w:color="auto"/>
        <w:right w:val="none" w:sz="0" w:space="0" w:color="auto"/>
      </w:divBdr>
    </w:div>
    <w:div w:id="1373142911">
      <w:bodyDiv w:val="1"/>
      <w:marLeft w:val="0"/>
      <w:marRight w:val="0"/>
      <w:marTop w:val="0"/>
      <w:marBottom w:val="0"/>
      <w:divBdr>
        <w:top w:val="none" w:sz="0" w:space="0" w:color="auto"/>
        <w:left w:val="none" w:sz="0" w:space="0" w:color="auto"/>
        <w:bottom w:val="none" w:sz="0" w:space="0" w:color="auto"/>
        <w:right w:val="none" w:sz="0" w:space="0" w:color="auto"/>
      </w:divBdr>
    </w:div>
    <w:div w:id="1414202872">
      <w:bodyDiv w:val="1"/>
      <w:marLeft w:val="0"/>
      <w:marRight w:val="0"/>
      <w:marTop w:val="0"/>
      <w:marBottom w:val="0"/>
      <w:divBdr>
        <w:top w:val="none" w:sz="0" w:space="0" w:color="auto"/>
        <w:left w:val="none" w:sz="0" w:space="0" w:color="auto"/>
        <w:bottom w:val="none" w:sz="0" w:space="0" w:color="auto"/>
        <w:right w:val="none" w:sz="0" w:space="0" w:color="auto"/>
      </w:divBdr>
    </w:div>
    <w:div w:id="1420907027">
      <w:bodyDiv w:val="1"/>
      <w:marLeft w:val="0"/>
      <w:marRight w:val="0"/>
      <w:marTop w:val="0"/>
      <w:marBottom w:val="0"/>
      <w:divBdr>
        <w:top w:val="none" w:sz="0" w:space="0" w:color="auto"/>
        <w:left w:val="none" w:sz="0" w:space="0" w:color="auto"/>
        <w:bottom w:val="none" w:sz="0" w:space="0" w:color="auto"/>
        <w:right w:val="none" w:sz="0" w:space="0" w:color="auto"/>
      </w:divBdr>
    </w:div>
    <w:div w:id="1555968185">
      <w:bodyDiv w:val="1"/>
      <w:marLeft w:val="0"/>
      <w:marRight w:val="0"/>
      <w:marTop w:val="0"/>
      <w:marBottom w:val="0"/>
      <w:divBdr>
        <w:top w:val="none" w:sz="0" w:space="0" w:color="auto"/>
        <w:left w:val="none" w:sz="0" w:space="0" w:color="auto"/>
        <w:bottom w:val="none" w:sz="0" w:space="0" w:color="auto"/>
        <w:right w:val="none" w:sz="0" w:space="0" w:color="auto"/>
      </w:divBdr>
    </w:div>
    <w:div w:id="182262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sinuranium.ca/an-update-on-basin-uraniums-phase-two-diamond-drilling-program-at-mann-lak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3553</Words>
  <Characters>18711</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22220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Patrick McCarthy</cp:lastModifiedBy>
  <cp:revision>4</cp:revision>
  <cp:lastPrinted>2022-10-07T18:42:00Z</cp:lastPrinted>
  <dcterms:created xsi:type="dcterms:W3CDTF">2023-01-13T17:41:00Z</dcterms:created>
  <dcterms:modified xsi:type="dcterms:W3CDTF">2023-01-13T17:44:00Z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