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6C57CF93"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0B621A" w:rsidRPr="000B621A">
        <w:rPr>
          <w:rFonts w:ascii="Arial" w:hAnsi="Arial"/>
          <w:i/>
          <w:color w:val="000000"/>
        </w:rPr>
        <w:t>85,</w:t>
      </w:r>
      <w:r w:rsidR="007E507F">
        <w:rPr>
          <w:rFonts w:ascii="Arial" w:hAnsi="Arial"/>
          <w:i/>
          <w:color w:val="000000"/>
        </w:rPr>
        <w:t>401</w:t>
      </w:r>
      <w:r w:rsidR="000B621A" w:rsidRPr="000B621A">
        <w:rPr>
          <w:rFonts w:ascii="Arial" w:hAnsi="Arial"/>
          <w:i/>
          <w:color w:val="000000"/>
        </w:rPr>
        <w:t>,241</w:t>
      </w:r>
      <w:r w:rsidR="00B85C1C" w:rsidRPr="00B85C1C">
        <w:rPr>
          <w:rFonts w:ascii="Arial" w:hAnsi="Arial"/>
          <w:i/>
          <w:color w:val="000000"/>
        </w:rPr>
        <w:t xml:space="preserve"> c</w:t>
      </w:r>
      <w:r w:rsidR="007736E2" w:rsidRPr="00B85C1C">
        <w:rPr>
          <w:rFonts w:ascii="Arial" w:hAnsi="Arial"/>
          <w:i/>
          <w:color w:val="000000"/>
        </w:rPr>
        <w:t>ommon shares</w:t>
      </w:r>
    </w:p>
    <w:p w14:paraId="5DC34BD2" w14:textId="69C2D85B"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8B0BAF">
        <w:rPr>
          <w:rFonts w:ascii="Arial" w:hAnsi="Arial"/>
          <w:color w:val="000000"/>
        </w:rPr>
        <w:t xml:space="preserve">September </w:t>
      </w:r>
      <w:r w:rsidR="00212E65">
        <w:rPr>
          <w:rFonts w:ascii="Arial" w:hAnsi="Arial"/>
          <w:color w:val="000000"/>
        </w:rPr>
        <w:t>8</w:t>
      </w:r>
      <w:r w:rsidR="00FD2A92">
        <w:rPr>
          <w:rFonts w:ascii="Arial" w:hAnsi="Arial"/>
          <w:color w:val="000000"/>
        </w:rPr>
        <w:t>, 202</w:t>
      </w:r>
      <w:r w:rsidR="000F18A3">
        <w:rPr>
          <w:rFonts w:ascii="Arial" w:hAnsi="Arial"/>
          <w:color w:val="000000"/>
        </w:rPr>
        <w:t>2</w:t>
      </w:r>
    </w:p>
    <w:p w14:paraId="534E1A77" w14:textId="77777777" w:rsidR="00A16B3B" w:rsidRDefault="00A16B3B">
      <w:pPr>
        <w:pStyle w:val="List"/>
        <w:keepLines/>
        <w:spacing w:before="120"/>
        <w:ind w:left="0" w:firstLine="0"/>
        <w:rPr>
          <w:rFonts w:ascii="Arial" w:hAnsi="Arial"/>
          <w:b/>
        </w:rPr>
      </w:pPr>
    </w:p>
    <w:p w14:paraId="50880B19" w14:textId="7DD44453"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C4E66F3" w14:textId="64321899" w:rsidR="000B621A" w:rsidRPr="000B621A" w:rsidRDefault="004B506B" w:rsidP="000B621A">
      <w:pPr>
        <w:pStyle w:val="List"/>
        <w:ind w:left="720" w:firstLine="0"/>
        <w:jc w:val="both"/>
        <w:rPr>
          <w:rFonts w:ascii="Arial" w:hAnsi="Arial"/>
          <w:i/>
          <w:iCs/>
          <w:u w:val="single"/>
        </w:rPr>
      </w:pPr>
      <w:r>
        <w:rPr>
          <w:rFonts w:ascii="Arial" w:hAnsi="Arial"/>
          <w:i/>
          <w:iCs/>
          <w:u w:val="single"/>
        </w:rPr>
        <w:t>BETR-001</w:t>
      </w:r>
    </w:p>
    <w:p w14:paraId="2C07568A" w14:textId="4B7532FC" w:rsidR="007E507F" w:rsidRDefault="002F617B" w:rsidP="007E507F">
      <w:pPr>
        <w:pStyle w:val="List"/>
        <w:ind w:left="720" w:firstLine="0"/>
        <w:jc w:val="both"/>
        <w:rPr>
          <w:rFonts w:ascii="Arial" w:hAnsi="Arial"/>
          <w:i/>
          <w:iCs/>
        </w:rPr>
      </w:pPr>
      <w:r w:rsidRPr="002F617B">
        <w:rPr>
          <w:rFonts w:ascii="Arial" w:hAnsi="Arial"/>
          <w:i/>
          <w:iCs/>
        </w:rPr>
        <w:t xml:space="preserve">During </w:t>
      </w:r>
      <w:r w:rsidR="008B0BAF">
        <w:rPr>
          <w:rFonts w:ascii="Arial" w:hAnsi="Arial"/>
          <w:i/>
          <w:iCs/>
        </w:rPr>
        <w:t>August</w:t>
      </w:r>
      <w:r w:rsidRPr="002F617B">
        <w:rPr>
          <w:rFonts w:ascii="Arial" w:hAnsi="Arial"/>
          <w:i/>
          <w:iCs/>
        </w:rPr>
        <w:t xml:space="preserve"> 2022, the Company</w:t>
      </w:r>
      <w:r w:rsidR="008B0BAF">
        <w:rPr>
          <w:rFonts w:ascii="Arial" w:hAnsi="Arial"/>
          <w:i/>
          <w:iCs/>
        </w:rPr>
        <w:t xml:space="preserve"> announced that</w:t>
      </w:r>
      <w:r w:rsidR="008B0BAF" w:rsidRPr="008B0BAF">
        <w:rPr>
          <w:rFonts w:ascii="Arial" w:hAnsi="Arial"/>
          <w:i/>
          <w:iCs/>
        </w:rPr>
        <w:t xml:space="preserve"> recent study, published in Experimental Neurology, has provided some new evidence that LSD has nootropic effects which are believed to be driven by neuroplasticity promotion. Researchers found that LSD increased neuroplasticity in ‘human brain organoids, increased novelty preference in rats, and improved memory performance in humans.’ Increased structural plasticity in the brain neurons (mainly prefrontal cortex) has also been linked to the sustained antidepressant effects.</w:t>
      </w:r>
      <w:r w:rsidR="00D57C7C">
        <w:rPr>
          <w:rFonts w:ascii="Arial" w:hAnsi="Arial"/>
          <w:i/>
          <w:iCs/>
        </w:rPr>
        <w:t xml:space="preserve">  The Company’s</w:t>
      </w:r>
      <w:r w:rsidR="00D57C7C" w:rsidRPr="00D57C7C">
        <w:rPr>
          <w:rFonts w:ascii="Arial" w:hAnsi="Arial"/>
          <w:i/>
          <w:iCs/>
        </w:rPr>
        <w:t xml:space="preserve"> </w:t>
      </w:r>
      <w:hyperlink r:id="rId7" w:history="1">
        <w:r w:rsidR="00D57C7C" w:rsidRPr="00D57C7C">
          <w:rPr>
            <w:rStyle w:val="Hyperlink"/>
            <w:rFonts w:ascii="Arial" w:hAnsi="Arial"/>
            <w:i/>
            <w:iCs/>
          </w:rPr>
          <w:t>neuroplasticity study</w:t>
        </w:r>
      </w:hyperlink>
      <w:r w:rsidR="00D57C7C" w:rsidRPr="00D57C7C">
        <w:rPr>
          <w:rFonts w:ascii="Arial" w:hAnsi="Arial"/>
          <w:i/>
          <w:iCs/>
        </w:rPr>
        <w:t xml:space="preserve"> similarly demonstrated that, in the treatment of rat embryonic cortical neurons</w:t>
      </w:r>
      <w:r w:rsidR="00D57C7C">
        <w:rPr>
          <w:rFonts w:ascii="Arial" w:hAnsi="Arial"/>
          <w:i/>
          <w:iCs/>
        </w:rPr>
        <w:t>,</w:t>
      </w:r>
      <w:r w:rsidR="00D57C7C" w:rsidRPr="00D57C7C">
        <w:rPr>
          <w:rFonts w:ascii="Arial" w:hAnsi="Arial"/>
          <w:i/>
          <w:iCs/>
        </w:rPr>
        <w:t xml:space="preserve"> the Company’s lead drug, BETR-001 (2-bromo-LSD) increases the structural complexity of neurons (dendrite growth and complexity) indicating the neural plasticity activity of BETR-001. In certain measurements of structural plasticity in neurons, BETR-001 performs better than ketamine in this model.</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lastRenderedPageBreak/>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377FA14F" w:rsidR="00A23C08" w:rsidRPr="00D861FE" w:rsidRDefault="00023421" w:rsidP="00A23C08">
      <w:pPr>
        <w:pStyle w:val="List"/>
        <w:spacing w:before="120"/>
        <w:ind w:left="720" w:firstLine="0"/>
        <w:jc w:val="both"/>
        <w:rPr>
          <w:rFonts w:ascii="Arial" w:hAnsi="Arial"/>
          <w:i/>
        </w:rPr>
      </w:pPr>
      <w:r>
        <w:rPr>
          <w:rFonts w:ascii="Arial" w:hAnsi="Arial"/>
          <w:i/>
        </w:rPr>
        <w:t>N/A</w:t>
      </w:r>
      <w:r w:rsidR="000B0D70">
        <w:rPr>
          <w:rFonts w:ascii="Arial" w:hAnsi="Arial"/>
          <w:i/>
        </w:rPr>
        <w:t>.</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2D83F38D" w:rsidR="00C358BE" w:rsidRPr="0014406D" w:rsidRDefault="00A706C8"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4C277C2F" w:rsidR="003138E2" w:rsidRPr="0014406D" w:rsidRDefault="000945FF" w:rsidP="003138E2">
      <w:pPr>
        <w:pStyle w:val="List"/>
        <w:spacing w:before="120"/>
        <w:ind w:left="720" w:firstLine="0"/>
        <w:jc w:val="both"/>
        <w:rPr>
          <w:rFonts w:ascii="Arial" w:hAnsi="Arial"/>
          <w:i/>
        </w:rPr>
      </w:pPr>
      <w:r>
        <w:rPr>
          <w:rFonts w:ascii="Arial" w:hAnsi="Arial"/>
          <w:i/>
        </w:rPr>
        <w:t>N/A</w:t>
      </w:r>
      <w:r w:rsidR="00215CEC">
        <w:rPr>
          <w:rFonts w:ascii="Arial" w:hAnsi="Arial"/>
          <w:i/>
        </w:rPr>
        <w:t>.</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127BF38B" w:rsid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99627384"/>
      <w:bookmarkStart w:id="11" w:name="_Hlk26261408"/>
      <w:bookmarkStart w:id="12" w:name="_Hlk23950278"/>
      <w:bookmarkStart w:id="13" w:name="_Hlk23950309"/>
      <w:r w:rsidRPr="004D7FAB">
        <w:rPr>
          <w:rFonts w:ascii="Arial" w:hAnsi="Arial"/>
        </w:rPr>
        <w:t>Describe</w:t>
      </w:r>
      <w:r>
        <w:rPr>
          <w:rFonts w:ascii="Arial" w:hAnsi="Arial"/>
        </w:rPr>
        <w:t xml:space="preserve"> and provide details of legal proceedings to which the Issuer became a party, including the </w:t>
      </w:r>
      <w:bookmarkStart w:id="14" w:name="_Hlk99628830"/>
      <w:r>
        <w:rPr>
          <w:rFonts w:ascii="Arial" w:hAnsi="Arial"/>
        </w:rPr>
        <w:t>name of the court or agency, the date instituted, the principal parties to the proceedings, the nature of the claim, the amount claimed, if any, if the proceedings are being contested, and the present status of the proceedings</w:t>
      </w:r>
      <w:bookmarkEnd w:id="9"/>
      <w:bookmarkEnd w:id="14"/>
      <w:r>
        <w:rPr>
          <w:rFonts w:ascii="Arial" w:hAnsi="Arial"/>
        </w:rPr>
        <w:t>.</w:t>
      </w:r>
      <w:bookmarkEnd w:id="10"/>
    </w:p>
    <w:p w14:paraId="6B2A4491" w14:textId="07590862" w:rsidR="00425411" w:rsidRDefault="00AF37FA" w:rsidP="008B5131">
      <w:pPr>
        <w:pStyle w:val="List"/>
        <w:spacing w:before="120"/>
        <w:ind w:left="720" w:firstLine="0"/>
        <w:jc w:val="both"/>
        <w:rPr>
          <w:rFonts w:ascii="Arial" w:hAnsi="Arial"/>
          <w:i/>
        </w:rPr>
      </w:pPr>
      <w:bookmarkStart w:id="15" w:name="_Hlk99628789"/>
      <w:bookmarkStart w:id="16" w:name="_Hlk113008518"/>
      <w:bookmarkStart w:id="17" w:name="_Hlk94777421"/>
      <w:bookmarkEnd w:id="11"/>
      <w:bookmarkEnd w:id="12"/>
      <w:bookmarkEnd w:id="13"/>
      <w:r>
        <w:rPr>
          <w:rFonts w:ascii="Arial" w:hAnsi="Arial"/>
          <w:i/>
        </w:rPr>
        <w:t>As noted in the Company’s previous Monthly Progress Reports, the Company’s subsidiary</w:t>
      </w:r>
      <w:r w:rsidRPr="00011A25">
        <w:rPr>
          <w:rFonts w:ascii="Arial" w:hAnsi="Arial"/>
          <w:i/>
        </w:rPr>
        <w:t xml:space="preserve"> filed a Notice of Civil Claim against its former directors, Ali Ardakani (“Ardakani”) and </w:t>
      </w:r>
      <w:r w:rsidR="006504BB">
        <w:rPr>
          <w:rFonts w:ascii="Arial" w:hAnsi="Arial"/>
          <w:i/>
        </w:rPr>
        <w:t>Nancy Miller-Rich (“</w:t>
      </w:r>
      <w:r w:rsidRPr="00011A25">
        <w:rPr>
          <w:rFonts w:ascii="Arial" w:hAnsi="Arial"/>
          <w:i/>
        </w:rPr>
        <w:t>Miller-Rich</w:t>
      </w:r>
      <w:r w:rsidR="006504BB">
        <w:rPr>
          <w:rFonts w:ascii="Arial" w:hAnsi="Arial"/>
          <w:i/>
        </w:rPr>
        <w:t>”)</w:t>
      </w:r>
      <w:r w:rsidRPr="00011A25">
        <w:rPr>
          <w:rFonts w:ascii="Arial" w:hAnsi="Arial"/>
          <w:i/>
        </w:rPr>
        <w:t>, in the Supreme Court of British Columbia for breach of fiduciary and statutory duties</w:t>
      </w:r>
      <w:r>
        <w:rPr>
          <w:rFonts w:ascii="Arial" w:hAnsi="Arial"/>
          <w:i/>
        </w:rPr>
        <w:t xml:space="preserve"> and breach of contract.  Relief sought include general and special damages.</w:t>
      </w:r>
      <w:bookmarkEnd w:id="15"/>
      <w:r>
        <w:rPr>
          <w:rFonts w:ascii="Arial" w:hAnsi="Arial"/>
          <w:i/>
        </w:rPr>
        <w:t xml:space="preserve">  The Notice of Civil Claim is being contested by Ardakani, as previously disclosed, and Miller-Rich.</w:t>
      </w:r>
      <w:r w:rsidR="00EA074B">
        <w:rPr>
          <w:rFonts w:ascii="Arial" w:hAnsi="Arial"/>
          <w:i/>
        </w:rPr>
        <w:t xml:space="preserve"> </w:t>
      </w:r>
    </w:p>
    <w:p w14:paraId="0FE91DB3" w14:textId="0ECA3AAE" w:rsidR="006504BB" w:rsidRPr="00011A25" w:rsidRDefault="006504BB" w:rsidP="008B5131">
      <w:pPr>
        <w:pStyle w:val="List"/>
        <w:spacing w:before="120"/>
        <w:ind w:left="720" w:firstLine="0"/>
        <w:jc w:val="both"/>
        <w:rPr>
          <w:rFonts w:ascii="Arial" w:hAnsi="Arial"/>
          <w:i/>
        </w:rPr>
      </w:pPr>
      <w:r>
        <w:rPr>
          <w:rFonts w:ascii="Arial" w:hAnsi="Arial"/>
          <w:i/>
        </w:rPr>
        <w:lastRenderedPageBreak/>
        <w:t>In August 2022, the Company filed a petition in the Supreme Court of British Columbia against its former Chief Executive Officer, Patrick Frankham</w:t>
      </w:r>
      <w:r w:rsidR="008F62EB">
        <w:rPr>
          <w:rFonts w:ascii="Arial" w:hAnsi="Arial"/>
          <w:i/>
        </w:rPr>
        <w:t xml:space="preserve"> (“Frankham”)</w:t>
      </w:r>
      <w:r>
        <w:rPr>
          <w:rFonts w:ascii="Arial" w:hAnsi="Arial"/>
          <w:i/>
        </w:rPr>
        <w:t>, seeking</w:t>
      </w:r>
      <w:r w:rsidR="00F9640E">
        <w:rPr>
          <w:rFonts w:ascii="Arial" w:hAnsi="Arial"/>
          <w:i/>
        </w:rPr>
        <w:t xml:space="preserve"> a declaration that </w:t>
      </w:r>
      <w:r w:rsidR="008F62EB">
        <w:rPr>
          <w:rFonts w:ascii="Arial" w:hAnsi="Arial"/>
          <w:i/>
        </w:rPr>
        <w:t>an alleged employment contract is not a valid and binding contract in British Columbia.  As noted in the Company’s previous Monthly Progress Report, Frankham filed an originating application with the Superior Court in the province of Quebec for damages stemming from a termination of employment.</w:t>
      </w:r>
      <w:bookmarkEnd w:id="16"/>
    </w:p>
    <w:bookmarkEnd w:id="17"/>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BFF38B5" w14:textId="192F6381" w:rsidR="000A4E15" w:rsidRPr="0014406D" w:rsidRDefault="00A75CB6" w:rsidP="000A4E15">
      <w:pPr>
        <w:pStyle w:val="List"/>
        <w:spacing w:before="120"/>
        <w:ind w:left="720" w:firstLine="0"/>
        <w:jc w:val="both"/>
        <w:rPr>
          <w:rFonts w:ascii="Arial" w:hAnsi="Arial"/>
          <w:i/>
        </w:rPr>
      </w:pPr>
      <w:r>
        <w:rPr>
          <w:rFonts w:ascii="Arial" w:hAnsi="Arial"/>
          <w:i/>
        </w:rPr>
        <w:t>N/A</w:t>
      </w:r>
      <w:r w:rsidR="0090315D">
        <w:rPr>
          <w:rFonts w:ascii="Arial" w:hAnsi="Arial"/>
          <w:i/>
        </w:rPr>
        <w:t>.</w:t>
      </w:r>
    </w:p>
    <w:p w14:paraId="56485FA8" w14:textId="4A0906FB"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85CEC99" w14:textId="0C2A110E" w:rsidR="00AF78A3" w:rsidRPr="00AF78A3" w:rsidRDefault="0087765E" w:rsidP="0090315D">
      <w:pPr>
        <w:pStyle w:val="List"/>
        <w:keepNext/>
        <w:keepLines/>
        <w:spacing w:before="120"/>
        <w:ind w:left="720" w:firstLine="0"/>
        <w:jc w:val="both"/>
        <w:rPr>
          <w:rFonts w:ascii="Arial" w:hAnsi="Arial"/>
          <w:i/>
          <w:iCs/>
        </w:rPr>
      </w:pPr>
      <w:r>
        <w:rPr>
          <w:rFonts w:ascii="Arial" w:hAnsi="Arial"/>
          <w:i/>
        </w:rPr>
        <w:t>N/A</w:t>
      </w:r>
      <w:r w:rsidR="0046492A">
        <w:rPr>
          <w:rFonts w:ascii="Arial" w:hAnsi="Arial"/>
          <w:i/>
        </w:rPr>
        <w:t>.</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8" w:name="_Hlk36806284"/>
      <w:r>
        <w:rPr>
          <w:rFonts w:ascii="Arial" w:hAnsi="Arial"/>
        </w:rPr>
        <w:t>Discuss any trends which are likely to impact the Issuer including trends in the Issuer’s market(s) or political/regulatory trends.</w:t>
      </w:r>
    </w:p>
    <w:bookmarkEnd w:id="18"/>
    <w:p w14:paraId="511DAB59" w14:textId="4D058AFD" w:rsidR="00A37A50" w:rsidRPr="004E4F81" w:rsidRDefault="000F18A3" w:rsidP="00C358BE">
      <w:pPr>
        <w:pStyle w:val="List"/>
        <w:keepNext/>
        <w:spacing w:before="120"/>
        <w:ind w:left="720" w:firstLine="0"/>
        <w:jc w:val="both"/>
        <w:rPr>
          <w:rFonts w:ascii="Arial" w:hAnsi="Arial" w:cs="Arial"/>
          <w:bCs/>
          <w:i/>
          <w:iCs/>
        </w:rPr>
      </w:pPr>
      <w:r>
        <w:rPr>
          <w:rFonts w:ascii="Arial" w:hAnsi="Arial" w:cs="Arial"/>
          <w:bCs/>
          <w:i/>
          <w:iCs/>
        </w:rPr>
        <w:t>N/A</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4D5945C1"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D57C7C">
        <w:rPr>
          <w:rFonts w:ascii="Arial" w:hAnsi="Arial"/>
        </w:rPr>
        <w:t>September</w:t>
      </w:r>
      <w:r w:rsidR="0087765E">
        <w:rPr>
          <w:rFonts w:ascii="Arial" w:hAnsi="Arial"/>
        </w:rPr>
        <w:t xml:space="preserve"> </w:t>
      </w:r>
      <w:r w:rsidR="00212E65">
        <w:rPr>
          <w:rFonts w:ascii="Arial" w:hAnsi="Arial"/>
        </w:rPr>
        <w:t>8</w:t>
      </w:r>
      <w:r w:rsidR="004E4F81">
        <w:rPr>
          <w:rFonts w:ascii="Arial" w:hAnsi="Arial"/>
        </w:rPr>
        <w:t>,</w:t>
      </w:r>
      <w:r w:rsidR="005F4DD8">
        <w:rPr>
          <w:rFonts w:ascii="Arial" w:hAnsi="Arial"/>
        </w:rPr>
        <w:t xml:space="preserve"> </w:t>
      </w:r>
      <w:r w:rsidR="00F21064">
        <w:rPr>
          <w:rFonts w:ascii="Arial" w:hAnsi="Arial"/>
        </w:rPr>
        <w:t>202</w:t>
      </w:r>
      <w:r w:rsidR="000F18A3">
        <w:rPr>
          <w:rFonts w:ascii="Arial" w:hAnsi="Arial"/>
        </w:rPr>
        <w:t>2</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4A4EE4C1" w:rsidR="007736E2" w:rsidRDefault="00D57C7C">
            <w:pPr>
              <w:pStyle w:val="BodyText"/>
              <w:spacing w:before="0"/>
              <w:rPr>
                <w:rFonts w:ascii="Arial" w:hAnsi="Arial"/>
              </w:rPr>
            </w:pPr>
            <w:r>
              <w:rPr>
                <w:rFonts w:ascii="Arial" w:hAnsi="Arial"/>
              </w:rPr>
              <w:t>August</w:t>
            </w:r>
            <w:r w:rsidR="00A706C8">
              <w:rPr>
                <w:rFonts w:ascii="Arial" w:hAnsi="Arial"/>
              </w:rPr>
              <w:t xml:space="preserve"> 2022</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4A50C410" w:rsidR="007736E2" w:rsidRDefault="0047210C" w:rsidP="00D708C2">
            <w:pPr>
              <w:pStyle w:val="BodyText"/>
              <w:spacing w:before="0"/>
              <w:rPr>
                <w:rFonts w:ascii="Arial" w:hAnsi="Arial"/>
              </w:rPr>
            </w:pPr>
            <w:r>
              <w:rPr>
                <w:rFonts w:ascii="Arial" w:hAnsi="Arial"/>
              </w:rPr>
              <w:t>20</w:t>
            </w:r>
            <w:r w:rsidR="001E25F7">
              <w:rPr>
                <w:rFonts w:ascii="Arial" w:hAnsi="Arial"/>
              </w:rPr>
              <w:t>2</w:t>
            </w:r>
            <w:r w:rsidR="000F18A3">
              <w:rPr>
                <w:rFonts w:ascii="Arial" w:hAnsi="Arial"/>
              </w:rPr>
              <w:t>2</w:t>
            </w:r>
            <w:r w:rsidR="001E25F7">
              <w:rPr>
                <w:rFonts w:ascii="Arial" w:hAnsi="Arial"/>
              </w:rPr>
              <w:t>/</w:t>
            </w:r>
            <w:r w:rsidR="000F18A3">
              <w:rPr>
                <w:rFonts w:ascii="Arial" w:hAnsi="Arial"/>
              </w:rPr>
              <w:t>0</w:t>
            </w:r>
            <w:r w:rsidR="00D57C7C">
              <w:rPr>
                <w:rFonts w:ascii="Arial" w:hAnsi="Arial"/>
              </w:rPr>
              <w:t>9</w:t>
            </w:r>
            <w:r w:rsidR="00023421">
              <w:rPr>
                <w:rFonts w:ascii="Arial" w:hAnsi="Arial"/>
              </w:rPr>
              <w:t>/</w:t>
            </w:r>
            <w:r w:rsidR="00023421" w:rsidRPr="000A4E15">
              <w:rPr>
                <w:rFonts w:ascii="Arial" w:hAnsi="Arial"/>
              </w:rPr>
              <w:t>0</w:t>
            </w:r>
            <w:r w:rsidR="00212E65">
              <w:rPr>
                <w:rFonts w:ascii="Arial" w:hAnsi="Arial"/>
              </w:rPr>
              <w:t>8</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A293" w14:textId="77777777" w:rsidR="000B50B3" w:rsidRDefault="000B50B3">
      <w:r>
        <w:separator/>
      </w:r>
    </w:p>
  </w:endnote>
  <w:endnote w:type="continuationSeparator" w:id="0">
    <w:p w14:paraId="62E7EC0B" w14:textId="77777777" w:rsidR="000B50B3" w:rsidRDefault="000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363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644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FB6F" w14:textId="77777777" w:rsidR="000B50B3" w:rsidRDefault="000B50B3">
      <w:r>
        <w:separator/>
      </w:r>
    </w:p>
  </w:footnote>
  <w:footnote w:type="continuationSeparator" w:id="0">
    <w:p w14:paraId="623690E1" w14:textId="77777777" w:rsidR="000B50B3" w:rsidRDefault="000B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52318666">
    <w:abstractNumId w:val="20"/>
  </w:num>
  <w:num w:numId="2" w16cid:durableId="999650319">
    <w:abstractNumId w:val="25"/>
  </w:num>
  <w:num w:numId="3" w16cid:durableId="553546407">
    <w:abstractNumId w:val="19"/>
  </w:num>
  <w:num w:numId="4" w16cid:durableId="1223567763">
    <w:abstractNumId w:val="15"/>
  </w:num>
  <w:num w:numId="5" w16cid:durableId="275988599">
    <w:abstractNumId w:val="4"/>
  </w:num>
  <w:num w:numId="6" w16cid:durableId="1973360475">
    <w:abstractNumId w:val="27"/>
  </w:num>
  <w:num w:numId="7" w16cid:durableId="810905557">
    <w:abstractNumId w:val="10"/>
  </w:num>
  <w:num w:numId="8" w16cid:durableId="1541937595">
    <w:abstractNumId w:val="31"/>
  </w:num>
  <w:num w:numId="9" w16cid:durableId="1949702368">
    <w:abstractNumId w:val="23"/>
  </w:num>
  <w:num w:numId="10" w16cid:durableId="1211190665">
    <w:abstractNumId w:val="12"/>
  </w:num>
  <w:num w:numId="11" w16cid:durableId="181821794">
    <w:abstractNumId w:val="16"/>
  </w:num>
  <w:num w:numId="12" w16cid:durableId="1658261503">
    <w:abstractNumId w:val="18"/>
  </w:num>
  <w:num w:numId="13" w16cid:durableId="1425421276">
    <w:abstractNumId w:val="33"/>
  </w:num>
  <w:num w:numId="14" w16cid:durableId="1679847024">
    <w:abstractNumId w:val="8"/>
  </w:num>
  <w:num w:numId="15" w16cid:durableId="925727261">
    <w:abstractNumId w:val="11"/>
  </w:num>
  <w:num w:numId="16" w16cid:durableId="1546328848">
    <w:abstractNumId w:val="14"/>
  </w:num>
  <w:num w:numId="17" w16cid:durableId="1015839486">
    <w:abstractNumId w:val="21"/>
  </w:num>
  <w:num w:numId="18" w16cid:durableId="1454208141">
    <w:abstractNumId w:val="3"/>
  </w:num>
  <w:num w:numId="19" w16cid:durableId="1288391168">
    <w:abstractNumId w:val="9"/>
  </w:num>
  <w:num w:numId="20" w16cid:durableId="2135754166">
    <w:abstractNumId w:val="30"/>
  </w:num>
  <w:num w:numId="21" w16cid:durableId="1077939371">
    <w:abstractNumId w:val="1"/>
  </w:num>
  <w:num w:numId="22" w16cid:durableId="148789464">
    <w:abstractNumId w:val="0"/>
  </w:num>
  <w:num w:numId="23" w16cid:durableId="1469665749">
    <w:abstractNumId w:val="26"/>
  </w:num>
  <w:num w:numId="24" w16cid:durableId="1871142051">
    <w:abstractNumId w:val="22"/>
  </w:num>
  <w:num w:numId="25" w16cid:durableId="380788749">
    <w:abstractNumId w:val="6"/>
  </w:num>
  <w:num w:numId="26" w16cid:durableId="547185786">
    <w:abstractNumId w:val="32"/>
  </w:num>
  <w:num w:numId="27" w16cid:durableId="1381975079">
    <w:abstractNumId w:val="34"/>
  </w:num>
  <w:num w:numId="28" w16cid:durableId="1831675251">
    <w:abstractNumId w:val="7"/>
  </w:num>
  <w:num w:numId="29" w16cid:durableId="625938527">
    <w:abstractNumId w:val="13"/>
  </w:num>
  <w:num w:numId="30" w16cid:durableId="1845242515">
    <w:abstractNumId w:val="17"/>
  </w:num>
  <w:num w:numId="31" w16cid:durableId="2073458493">
    <w:abstractNumId w:val="5"/>
  </w:num>
  <w:num w:numId="32" w16cid:durableId="449014438">
    <w:abstractNumId w:val="24"/>
  </w:num>
  <w:num w:numId="33" w16cid:durableId="1099258582">
    <w:abstractNumId w:val="2"/>
  </w:num>
  <w:num w:numId="34" w16cid:durableId="411124110">
    <w:abstractNumId w:val="29"/>
  </w:num>
  <w:num w:numId="35" w16cid:durableId="5384759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1A25"/>
    <w:rsid w:val="000130BC"/>
    <w:rsid w:val="00023421"/>
    <w:rsid w:val="00030265"/>
    <w:rsid w:val="00033ABE"/>
    <w:rsid w:val="000462DC"/>
    <w:rsid w:val="000620B8"/>
    <w:rsid w:val="00073BA8"/>
    <w:rsid w:val="00074550"/>
    <w:rsid w:val="00081928"/>
    <w:rsid w:val="00094394"/>
    <w:rsid w:val="000945FF"/>
    <w:rsid w:val="00094955"/>
    <w:rsid w:val="000954E9"/>
    <w:rsid w:val="000A1679"/>
    <w:rsid w:val="000A1AB1"/>
    <w:rsid w:val="000A4E15"/>
    <w:rsid w:val="000B0D70"/>
    <w:rsid w:val="000B1BCE"/>
    <w:rsid w:val="000B2461"/>
    <w:rsid w:val="000B50B3"/>
    <w:rsid w:val="000B5711"/>
    <w:rsid w:val="000B621A"/>
    <w:rsid w:val="000B6D2A"/>
    <w:rsid w:val="000C008E"/>
    <w:rsid w:val="000C1488"/>
    <w:rsid w:val="000C228A"/>
    <w:rsid w:val="000C2C22"/>
    <w:rsid w:val="000C4603"/>
    <w:rsid w:val="000E548E"/>
    <w:rsid w:val="000F18A3"/>
    <w:rsid w:val="000F7CC4"/>
    <w:rsid w:val="001224F6"/>
    <w:rsid w:val="00124212"/>
    <w:rsid w:val="00126180"/>
    <w:rsid w:val="0014081F"/>
    <w:rsid w:val="0014406D"/>
    <w:rsid w:val="00152273"/>
    <w:rsid w:val="00162C67"/>
    <w:rsid w:val="00165CB6"/>
    <w:rsid w:val="00166158"/>
    <w:rsid w:val="001740BD"/>
    <w:rsid w:val="00185EC3"/>
    <w:rsid w:val="00196ACD"/>
    <w:rsid w:val="001A5AA6"/>
    <w:rsid w:val="001B28AF"/>
    <w:rsid w:val="001B67EA"/>
    <w:rsid w:val="001C2D52"/>
    <w:rsid w:val="001C5D5E"/>
    <w:rsid w:val="001D0265"/>
    <w:rsid w:val="001D23CE"/>
    <w:rsid w:val="001D6115"/>
    <w:rsid w:val="001E25F7"/>
    <w:rsid w:val="001F49A4"/>
    <w:rsid w:val="00211658"/>
    <w:rsid w:val="00212E65"/>
    <w:rsid w:val="00215CEC"/>
    <w:rsid w:val="00220054"/>
    <w:rsid w:val="00223C6F"/>
    <w:rsid w:val="002377E3"/>
    <w:rsid w:val="00244B2C"/>
    <w:rsid w:val="00245BA2"/>
    <w:rsid w:val="00253AD3"/>
    <w:rsid w:val="0025435B"/>
    <w:rsid w:val="00257A8A"/>
    <w:rsid w:val="002601A7"/>
    <w:rsid w:val="00260EF9"/>
    <w:rsid w:val="00263DC1"/>
    <w:rsid w:val="00267035"/>
    <w:rsid w:val="00284B6B"/>
    <w:rsid w:val="00292B6D"/>
    <w:rsid w:val="002974B1"/>
    <w:rsid w:val="002A1DC9"/>
    <w:rsid w:val="002B127E"/>
    <w:rsid w:val="002B63BD"/>
    <w:rsid w:val="002C0211"/>
    <w:rsid w:val="002C281E"/>
    <w:rsid w:val="002D76E9"/>
    <w:rsid w:val="002E34E0"/>
    <w:rsid w:val="002F00EB"/>
    <w:rsid w:val="002F2114"/>
    <w:rsid w:val="002F617B"/>
    <w:rsid w:val="002F72D5"/>
    <w:rsid w:val="003031CE"/>
    <w:rsid w:val="003058BE"/>
    <w:rsid w:val="00311869"/>
    <w:rsid w:val="003138E2"/>
    <w:rsid w:val="00315ED8"/>
    <w:rsid w:val="0032425A"/>
    <w:rsid w:val="00327E49"/>
    <w:rsid w:val="0034304E"/>
    <w:rsid w:val="00347220"/>
    <w:rsid w:val="00347A87"/>
    <w:rsid w:val="003626DE"/>
    <w:rsid w:val="0036452A"/>
    <w:rsid w:val="003669A9"/>
    <w:rsid w:val="00371A64"/>
    <w:rsid w:val="00375D16"/>
    <w:rsid w:val="00376748"/>
    <w:rsid w:val="00387FA8"/>
    <w:rsid w:val="003B53F8"/>
    <w:rsid w:val="003B7A52"/>
    <w:rsid w:val="003C02A4"/>
    <w:rsid w:val="003C15A9"/>
    <w:rsid w:val="003C51C5"/>
    <w:rsid w:val="003D3F52"/>
    <w:rsid w:val="003E5061"/>
    <w:rsid w:val="003F1389"/>
    <w:rsid w:val="003F3026"/>
    <w:rsid w:val="003F5D79"/>
    <w:rsid w:val="003F6706"/>
    <w:rsid w:val="00400696"/>
    <w:rsid w:val="004016FD"/>
    <w:rsid w:val="0040580F"/>
    <w:rsid w:val="004177D4"/>
    <w:rsid w:val="00425411"/>
    <w:rsid w:val="0042595D"/>
    <w:rsid w:val="00436BA3"/>
    <w:rsid w:val="00442270"/>
    <w:rsid w:val="00445648"/>
    <w:rsid w:val="00462376"/>
    <w:rsid w:val="0046492A"/>
    <w:rsid w:val="0047210C"/>
    <w:rsid w:val="00472CA2"/>
    <w:rsid w:val="00474991"/>
    <w:rsid w:val="004822FC"/>
    <w:rsid w:val="004A0A0F"/>
    <w:rsid w:val="004A1C7B"/>
    <w:rsid w:val="004A2915"/>
    <w:rsid w:val="004A3B17"/>
    <w:rsid w:val="004A5891"/>
    <w:rsid w:val="004A59B5"/>
    <w:rsid w:val="004B3D99"/>
    <w:rsid w:val="004B506B"/>
    <w:rsid w:val="004C07A1"/>
    <w:rsid w:val="004D7FAB"/>
    <w:rsid w:val="004E4F81"/>
    <w:rsid w:val="004E5AD5"/>
    <w:rsid w:val="004E5AFC"/>
    <w:rsid w:val="004F119A"/>
    <w:rsid w:val="004F3B84"/>
    <w:rsid w:val="004F66AB"/>
    <w:rsid w:val="00507ACF"/>
    <w:rsid w:val="00522B71"/>
    <w:rsid w:val="00541EF4"/>
    <w:rsid w:val="00542A53"/>
    <w:rsid w:val="00545268"/>
    <w:rsid w:val="005453C8"/>
    <w:rsid w:val="00554B84"/>
    <w:rsid w:val="005568F1"/>
    <w:rsid w:val="005625B1"/>
    <w:rsid w:val="00566B1E"/>
    <w:rsid w:val="005762A4"/>
    <w:rsid w:val="00576D3E"/>
    <w:rsid w:val="00584732"/>
    <w:rsid w:val="00590CBD"/>
    <w:rsid w:val="005A1DED"/>
    <w:rsid w:val="005A24F4"/>
    <w:rsid w:val="005B2B8E"/>
    <w:rsid w:val="005B36B7"/>
    <w:rsid w:val="005B3DB7"/>
    <w:rsid w:val="005C629E"/>
    <w:rsid w:val="005C7EC2"/>
    <w:rsid w:val="005D11CD"/>
    <w:rsid w:val="005E15E0"/>
    <w:rsid w:val="005E7FD4"/>
    <w:rsid w:val="005F4DD8"/>
    <w:rsid w:val="005F6D8F"/>
    <w:rsid w:val="00601264"/>
    <w:rsid w:val="0061199A"/>
    <w:rsid w:val="006124C1"/>
    <w:rsid w:val="00620E7F"/>
    <w:rsid w:val="006210E6"/>
    <w:rsid w:val="00621E6A"/>
    <w:rsid w:val="006222DD"/>
    <w:rsid w:val="00633ED3"/>
    <w:rsid w:val="00635E9A"/>
    <w:rsid w:val="00640E94"/>
    <w:rsid w:val="00645116"/>
    <w:rsid w:val="00645202"/>
    <w:rsid w:val="006504BB"/>
    <w:rsid w:val="00650B94"/>
    <w:rsid w:val="006729E5"/>
    <w:rsid w:val="0067500B"/>
    <w:rsid w:val="0068157A"/>
    <w:rsid w:val="00692C83"/>
    <w:rsid w:val="0069326C"/>
    <w:rsid w:val="00694CC7"/>
    <w:rsid w:val="006A0B2A"/>
    <w:rsid w:val="006B36FB"/>
    <w:rsid w:val="006B458A"/>
    <w:rsid w:val="006C1E0C"/>
    <w:rsid w:val="006C2178"/>
    <w:rsid w:val="006C62F7"/>
    <w:rsid w:val="006C7370"/>
    <w:rsid w:val="006C7657"/>
    <w:rsid w:val="006D1A06"/>
    <w:rsid w:val="006D4439"/>
    <w:rsid w:val="006E08F1"/>
    <w:rsid w:val="006E26FE"/>
    <w:rsid w:val="006E3ACF"/>
    <w:rsid w:val="006F67D3"/>
    <w:rsid w:val="00715E34"/>
    <w:rsid w:val="00724D53"/>
    <w:rsid w:val="0072797B"/>
    <w:rsid w:val="00732D30"/>
    <w:rsid w:val="00732E24"/>
    <w:rsid w:val="007345E3"/>
    <w:rsid w:val="0075799B"/>
    <w:rsid w:val="007613A6"/>
    <w:rsid w:val="00763A9D"/>
    <w:rsid w:val="007728D7"/>
    <w:rsid w:val="007736E2"/>
    <w:rsid w:val="007748C9"/>
    <w:rsid w:val="00774A0A"/>
    <w:rsid w:val="007836A2"/>
    <w:rsid w:val="00786F84"/>
    <w:rsid w:val="007908E7"/>
    <w:rsid w:val="00793E9F"/>
    <w:rsid w:val="00797FFA"/>
    <w:rsid w:val="007A4D47"/>
    <w:rsid w:val="007D5D33"/>
    <w:rsid w:val="007D63AD"/>
    <w:rsid w:val="007E507F"/>
    <w:rsid w:val="007F57F9"/>
    <w:rsid w:val="008024AE"/>
    <w:rsid w:val="008066D6"/>
    <w:rsid w:val="0083066F"/>
    <w:rsid w:val="008349A0"/>
    <w:rsid w:val="00842030"/>
    <w:rsid w:val="0084310F"/>
    <w:rsid w:val="00851007"/>
    <w:rsid w:val="00853E80"/>
    <w:rsid w:val="00861BB4"/>
    <w:rsid w:val="008734B8"/>
    <w:rsid w:val="00875113"/>
    <w:rsid w:val="0087765E"/>
    <w:rsid w:val="0089367E"/>
    <w:rsid w:val="008954FB"/>
    <w:rsid w:val="00897238"/>
    <w:rsid w:val="008A0473"/>
    <w:rsid w:val="008A07A7"/>
    <w:rsid w:val="008A1BFD"/>
    <w:rsid w:val="008B0BAF"/>
    <w:rsid w:val="008B2474"/>
    <w:rsid w:val="008B5131"/>
    <w:rsid w:val="008B7E92"/>
    <w:rsid w:val="008C26E9"/>
    <w:rsid w:val="008C73C8"/>
    <w:rsid w:val="008D270C"/>
    <w:rsid w:val="008D5122"/>
    <w:rsid w:val="008E3B35"/>
    <w:rsid w:val="008F0D4D"/>
    <w:rsid w:val="008F19CC"/>
    <w:rsid w:val="008F30A1"/>
    <w:rsid w:val="008F62EB"/>
    <w:rsid w:val="00900A38"/>
    <w:rsid w:val="0090315D"/>
    <w:rsid w:val="009055C8"/>
    <w:rsid w:val="0090592A"/>
    <w:rsid w:val="00910E5D"/>
    <w:rsid w:val="00912C13"/>
    <w:rsid w:val="00922A46"/>
    <w:rsid w:val="00922FC1"/>
    <w:rsid w:val="00923162"/>
    <w:rsid w:val="00930B9E"/>
    <w:rsid w:val="0093703B"/>
    <w:rsid w:val="00943782"/>
    <w:rsid w:val="009515A6"/>
    <w:rsid w:val="009547B8"/>
    <w:rsid w:val="00972C40"/>
    <w:rsid w:val="009806EB"/>
    <w:rsid w:val="00984D1E"/>
    <w:rsid w:val="0098583F"/>
    <w:rsid w:val="0098661E"/>
    <w:rsid w:val="00993477"/>
    <w:rsid w:val="00994923"/>
    <w:rsid w:val="00994941"/>
    <w:rsid w:val="00997F6C"/>
    <w:rsid w:val="009A55A6"/>
    <w:rsid w:val="009A7B4E"/>
    <w:rsid w:val="009B11AF"/>
    <w:rsid w:val="009B5585"/>
    <w:rsid w:val="009D16F2"/>
    <w:rsid w:val="009D6A8C"/>
    <w:rsid w:val="009E14BB"/>
    <w:rsid w:val="009E16F8"/>
    <w:rsid w:val="009E6418"/>
    <w:rsid w:val="009E6BED"/>
    <w:rsid w:val="00A017A6"/>
    <w:rsid w:val="00A0532E"/>
    <w:rsid w:val="00A16B3B"/>
    <w:rsid w:val="00A2251A"/>
    <w:rsid w:val="00A23C08"/>
    <w:rsid w:val="00A241EF"/>
    <w:rsid w:val="00A33D53"/>
    <w:rsid w:val="00A343E7"/>
    <w:rsid w:val="00A35B7D"/>
    <w:rsid w:val="00A364F7"/>
    <w:rsid w:val="00A37A50"/>
    <w:rsid w:val="00A37FA3"/>
    <w:rsid w:val="00A47914"/>
    <w:rsid w:val="00A530B7"/>
    <w:rsid w:val="00A66377"/>
    <w:rsid w:val="00A670A4"/>
    <w:rsid w:val="00A6779D"/>
    <w:rsid w:val="00A6786C"/>
    <w:rsid w:val="00A67EA2"/>
    <w:rsid w:val="00A706C8"/>
    <w:rsid w:val="00A73C0A"/>
    <w:rsid w:val="00A75CB6"/>
    <w:rsid w:val="00A76CAF"/>
    <w:rsid w:val="00A81B8A"/>
    <w:rsid w:val="00A843AF"/>
    <w:rsid w:val="00A85270"/>
    <w:rsid w:val="00A87D08"/>
    <w:rsid w:val="00A94A83"/>
    <w:rsid w:val="00A96F89"/>
    <w:rsid w:val="00AA175B"/>
    <w:rsid w:val="00AB142B"/>
    <w:rsid w:val="00AC7F78"/>
    <w:rsid w:val="00AE2CC4"/>
    <w:rsid w:val="00AE46DB"/>
    <w:rsid w:val="00AE6EAA"/>
    <w:rsid w:val="00AF10EF"/>
    <w:rsid w:val="00AF37FA"/>
    <w:rsid w:val="00AF78A3"/>
    <w:rsid w:val="00B00844"/>
    <w:rsid w:val="00B17AEE"/>
    <w:rsid w:val="00B234CB"/>
    <w:rsid w:val="00B24671"/>
    <w:rsid w:val="00B249ED"/>
    <w:rsid w:val="00B30351"/>
    <w:rsid w:val="00B3075C"/>
    <w:rsid w:val="00B44F42"/>
    <w:rsid w:val="00B45744"/>
    <w:rsid w:val="00B61330"/>
    <w:rsid w:val="00B6661A"/>
    <w:rsid w:val="00B77573"/>
    <w:rsid w:val="00B83197"/>
    <w:rsid w:val="00B85C1C"/>
    <w:rsid w:val="00B926A7"/>
    <w:rsid w:val="00B97A23"/>
    <w:rsid w:val="00BA59F9"/>
    <w:rsid w:val="00BA6077"/>
    <w:rsid w:val="00BB1D75"/>
    <w:rsid w:val="00BB29A2"/>
    <w:rsid w:val="00BB7B06"/>
    <w:rsid w:val="00BC20AB"/>
    <w:rsid w:val="00BC51E5"/>
    <w:rsid w:val="00BD6039"/>
    <w:rsid w:val="00BD671E"/>
    <w:rsid w:val="00BE06CE"/>
    <w:rsid w:val="00BF1A4D"/>
    <w:rsid w:val="00BF3379"/>
    <w:rsid w:val="00BF49FB"/>
    <w:rsid w:val="00C05A86"/>
    <w:rsid w:val="00C076AB"/>
    <w:rsid w:val="00C10872"/>
    <w:rsid w:val="00C173A3"/>
    <w:rsid w:val="00C17B54"/>
    <w:rsid w:val="00C27A18"/>
    <w:rsid w:val="00C34CF9"/>
    <w:rsid w:val="00C358BE"/>
    <w:rsid w:val="00C429D7"/>
    <w:rsid w:val="00C463A8"/>
    <w:rsid w:val="00C46579"/>
    <w:rsid w:val="00C518E4"/>
    <w:rsid w:val="00C6383E"/>
    <w:rsid w:val="00C65022"/>
    <w:rsid w:val="00C701F8"/>
    <w:rsid w:val="00C71B03"/>
    <w:rsid w:val="00C75951"/>
    <w:rsid w:val="00C8589C"/>
    <w:rsid w:val="00C934D3"/>
    <w:rsid w:val="00C93831"/>
    <w:rsid w:val="00CA5F81"/>
    <w:rsid w:val="00CB4136"/>
    <w:rsid w:val="00CB5D66"/>
    <w:rsid w:val="00CB791E"/>
    <w:rsid w:val="00CC4C88"/>
    <w:rsid w:val="00CD3E73"/>
    <w:rsid w:val="00CE1159"/>
    <w:rsid w:val="00CE7076"/>
    <w:rsid w:val="00CF07E2"/>
    <w:rsid w:val="00CF63D0"/>
    <w:rsid w:val="00CF7D3E"/>
    <w:rsid w:val="00D02ECB"/>
    <w:rsid w:val="00D038AE"/>
    <w:rsid w:val="00D03F31"/>
    <w:rsid w:val="00D05442"/>
    <w:rsid w:val="00D1723F"/>
    <w:rsid w:val="00D2133D"/>
    <w:rsid w:val="00D23C7D"/>
    <w:rsid w:val="00D304BB"/>
    <w:rsid w:val="00D3256B"/>
    <w:rsid w:val="00D32B38"/>
    <w:rsid w:val="00D533D0"/>
    <w:rsid w:val="00D57C7C"/>
    <w:rsid w:val="00D60620"/>
    <w:rsid w:val="00D660D0"/>
    <w:rsid w:val="00D708C2"/>
    <w:rsid w:val="00D77E39"/>
    <w:rsid w:val="00D814DD"/>
    <w:rsid w:val="00D859EC"/>
    <w:rsid w:val="00D861FE"/>
    <w:rsid w:val="00D866ED"/>
    <w:rsid w:val="00D90C9A"/>
    <w:rsid w:val="00DA25CF"/>
    <w:rsid w:val="00DD1AB4"/>
    <w:rsid w:val="00DD50CB"/>
    <w:rsid w:val="00DF5F05"/>
    <w:rsid w:val="00E018A5"/>
    <w:rsid w:val="00E01B1C"/>
    <w:rsid w:val="00E02B18"/>
    <w:rsid w:val="00E05ACB"/>
    <w:rsid w:val="00E24293"/>
    <w:rsid w:val="00E24ABB"/>
    <w:rsid w:val="00E2661F"/>
    <w:rsid w:val="00E27E4F"/>
    <w:rsid w:val="00E351EE"/>
    <w:rsid w:val="00E36141"/>
    <w:rsid w:val="00E3730E"/>
    <w:rsid w:val="00E43BC0"/>
    <w:rsid w:val="00E60542"/>
    <w:rsid w:val="00E619ED"/>
    <w:rsid w:val="00E61B41"/>
    <w:rsid w:val="00E63353"/>
    <w:rsid w:val="00E63ACF"/>
    <w:rsid w:val="00E63CFA"/>
    <w:rsid w:val="00E67F38"/>
    <w:rsid w:val="00E7727D"/>
    <w:rsid w:val="00E83E58"/>
    <w:rsid w:val="00E84EBC"/>
    <w:rsid w:val="00E965C9"/>
    <w:rsid w:val="00EA074B"/>
    <w:rsid w:val="00EE4168"/>
    <w:rsid w:val="00F0055B"/>
    <w:rsid w:val="00F10F1D"/>
    <w:rsid w:val="00F12933"/>
    <w:rsid w:val="00F1359E"/>
    <w:rsid w:val="00F1704B"/>
    <w:rsid w:val="00F21064"/>
    <w:rsid w:val="00F30EE0"/>
    <w:rsid w:val="00F338B9"/>
    <w:rsid w:val="00F411CB"/>
    <w:rsid w:val="00F45BFA"/>
    <w:rsid w:val="00F701CF"/>
    <w:rsid w:val="00F71BA8"/>
    <w:rsid w:val="00F7616A"/>
    <w:rsid w:val="00F90126"/>
    <w:rsid w:val="00F9640E"/>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obenewswire.com/news-release/2022/02/15/2385232/0/en/BetterLife-Lead-Drug-BETR-001-Promotes-Structural-Neural-Plasticity-in-Preclinical-Mode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11732</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Investor Relations</cp:lastModifiedBy>
  <cp:revision>189</cp:revision>
  <cp:lastPrinted>2004-05-10T18:28:00Z</cp:lastPrinted>
  <dcterms:created xsi:type="dcterms:W3CDTF">2018-02-01T18:59:00Z</dcterms:created>
  <dcterms:modified xsi:type="dcterms:W3CDTF">2022-09-06T03:00:00Z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