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6C57CF93"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21A" w:rsidRPr="000B621A">
        <w:rPr>
          <w:rFonts w:ascii="Arial" w:hAnsi="Arial"/>
          <w:i/>
          <w:color w:val="000000"/>
        </w:rPr>
        <w:t>85,</w:t>
      </w:r>
      <w:r w:rsidR="007E507F">
        <w:rPr>
          <w:rFonts w:ascii="Arial" w:hAnsi="Arial"/>
          <w:i/>
          <w:color w:val="000000"/>
        </w:rPr>
        <w:t>401</w:t>
      </w:r>
      <w:r w:rsidR="000B621A" w:rsidRPr="000B621A">
        <w:rPr>
          <w:rFonts w:ascii="Arial" w:hAnsi="Arial"/>
          <w:i/>
          <w:color w:val="000000"/>
        </w:rPr>
        <w:t>,241</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296FFBFB"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376748">
        <w:rPr>
          <w:rFonts w:ascii="Arial" w:hAnsi="Arial"/>
          <w:color w:val="000000"/>
        </w:rPr>
        <w:t>August 2</w:t>
      </w:r>
      <w:r w:rsidR="00FD2A92">
        <w:rPr>
          <w:rFonts w:ascii="Arial" w:hAnsi="Arial"/>
          <w:color w:val="000000"/>
        </w:rPr>
        <w:t>, 202</w:t>
      </w:r>
      <w:r w:rsidR="000F18A3">
        <w:rPr>
          <w:rFonts w:ascii="Arial" w:hAnsi="Arial"/>
          <w:color w:val="000000"/>
        </w:rPr>
        <w:t>2</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C4E66F3" w14:textId="64321899" w:rsidR="000B621A" w:rsidRPr="000B621A" w:rsidRDefault="004B506B" w:rsidP="000B621A">
      <w:pPr>
        <w:pStyle w:val="List"/>
        <w:ind w:left="720" w:firstLine="0"/>
        <w:jc w:val="both"/>
        <w:rPr>
          <w:rFonts w:ascii="Arial" w:hAnsi="Arial"/>
          <w:i/>
          <w:iCs/>
          <w:u w:val="single"/>
        </w:rPr>
      </w:pPr>
      <w:r>
        <w:rPr>
          <w:rFonts w:ascii="Arial" w:hAnsi="Arial"/>
          <w:i/>
          <w:iCs/>
          <w:u w:val="single"/>
        </w:rPr>
        <w:t>BETR-001</w:t>
      </w:r>
    </w:p>
    <w:p w14:paraId="2C07568A" w14:textId="4282A9FE" w:rsidR="007E507F" w:rsidRDefault="002F617B" w:rsidP="007E507F">
      <w:pPr>
        <w:pStyle w:val="List"/>
        <w:ind w:left="720" w:firstLine="0"/>
        <w:jc w:val="both"/>
        <w:rPr>
          <w:rFonts w:ascii="Arial" w:hAnsi="Arial"/>
          <w:i/>
          <w:iCs/>
        </w:rPr>
      </w:pPr>
      <w:r w:rsidRPr="002F617B">
        <w:rPr>
          <w:rFonts w:ascii="Arial" w:hAnsi="Arial"/>
          <w:i/>
          <w:iCs/>
        </w:rPr>
        <w:t xml:space="preserve">During July 2022, the Company’s joint application to the </w:t>
      </w:r>
      <w:proofErr w:type="spellStart"/>
      <w:r w:rsidRPr="002F617B">
        <w:rPr>
          <w:rFonts w:ascii="Arial" w:hAnsi="Arial"/>
          <w:i/>
          <w:iCs/>
        </w:rPr>
        <w:t>Mitacs</w:t>
      </w:r>
      <w:proofErr w:type="spellEnd"/>
      <w:r w:rsidRPr="002F617B">
        <w:rPr>
          <w:rFonts w:ascii="Arial" w:hAnsi="Arial"/>
          <w:i/>
          <w:iCs/>
        </w:rPr>
        <w:t xml:space="preserve"> Accelerate program, in collaboration with </w:t>
      </w:r>
      <w:proofErr w:type="spellStart"/>
      <w:r w:rsidRPr="002F617B">
        <w:rPr>
          <w:rFonts w:ascii="Arial" w:hAnsi="Arial"/>
          <w:i/>
          <w:iCs/>
        </w:rPr>
        <w:t>Dr.</w:t>
      </w:r>
      <w:proofErr w:type="spellEnd"/>
      <w:r w:rsidRPr="002F617B">
        <w:rPr>
          <w:rFonts w:ascii="Arial" w:hAnsi="Arial"/>
          <w:i/>
          <w:iCs/>
        </w:rPr>
        <w:t xml:space="preserve"> Argel Aguilar-Valles at Carleton University (Carleton) Department of Neuroscience, was successfully funded for research into the anti-depressant effects and mechanism of action of BETR-001 in preclinical models of depression</w:t>
      </w:r>
      <w:r w:rsidR="007E507F">
        <w:rPr>
          <w:rFonts w:ascii="Arial" w:hAnsi="Arial"/>
          <w:i/>
          <w:iCs/>
        </w:rPr>
        <w:t>.</w:t>
      </w:r>
    </w:p>
    <w:p w14:paraId="45B0A637" w14:textId="37994FF3" w:rsidR="007E507F" w:rsidRDefault="00376748" w:rsidP="007E507F">
      <w:pPr>
        <w:pStyle w:val="List"/>
        <w:ind w:left="720" w:firstLine="0"/>
        <w:jc w:val="both"/>
        <w:rPr>
          <w:rFonts w:ascii="Arial" w:hAnsi="Arial"/>
          <w:i/>
          <w:iCs/>
        </w:rPr>
      </w:pPr>
      <w:r>
        <w:rPr>
          <w:rFonts w:ascii="Arial" w:hAnsi="Arial"/>
          <w:i/>
          <w:iCs/>
        </w:rPr>
        <w:t>A</w:t>
      </w:r>
      <w:r w:rsidR="007E507F" w:rsidRPr="007E507F">
        <w:rPr>
          <w:rFonts w:ascii="Arial" w:hAnsi="Arial"/>
          <w:i/>
          <w:iCs/>
        </w:rPr>
        <w:t xml:space="preserve">n abstract on the anti-depressant activity of BETR-001 was </w:t>
      </w:r>
      <w:r>
        <w:rPr>
          <w:rFonts w:ascii="Arial" w:hAnsi="Arial"/>
          <w:i/>
          <w:iCs/>
        </w:rPr>
        <w:t>presented</w:t>
      </w:r>
      <w:r w:rsidR="007E507F" w:rsidRPr="007E507F">
        <w:rPr>
          <w:rFonts w:ascii="Arial" w:hAnsi="Arial"/>
          <w:i/>
          <w:iCs/>
        </w:rPr>
        <w:t xml:space="preserve"> at the FENS Forum, held July 9-13 in Paris, France. The study, led by </w:t>
      </w:r>
      <w:proofErr w:type="spellStart"/>
      <w:r w:rsidR="007E507F" w:rsidRPr="007E507F">
        <w:rPr>
          <w:rFonts w:ascii="Arial" w:hAnsi="Arial"/>
          <w:i/>
          <w:iCs/>
        </w:rPr>
        <w:t>Dr.</w:t>
      </w:r>
      <w:proofErr w:type="spellEnd"/>
      <w:r w:rsidR="007E507F" w:rsidRPr="007E507F">
        <w:rPr>
          <w:rFonts w:ascii="Arial" w:hAnsi="Arial"/>
          <w:i/>
          <w:iCs/>
        </w:rPr>
        <w:t xml:space="preserve"> Vern Lewis, </w:t>
      </w:r>
      <w:r>
        <w:rPr>
          <w:rFonts w:ascii="Arial" w:hAnsi="Arial"/>
          <w:i/>
          <w:iCs/>
        </w:rPr>
        <w:t>was</w:t>
      </w:r>
      <w:r w:rsidR="007E507F" w:rsidRPr="007E507F">
        <w:rPr>
          <w:rFonts w:ascii="Arial" w:hAnsi="Arial"/>
          <w:i/>
          <w:iCs/>
        </w:rPr>
        <w:t xml:space="preserve"> part of </w:t>
      </w:r>
      <w:r w:rsidR="0046492A">
        <w:rPr>
          <w:rFonts w:ascii="Arial" w:hAnsi="Arial"/>
          <w:i/>
          <w:iCs/>
        </w:rPr>
        <w:t>the Company’s</w:t>
      </w:r>
      <w:r w:rsidR="007E507F" w:rsidRPr="007E507F">
        <w:rPr>
          <w:rFonts w:ascii="Arial" w:hAnsi="Arial"/>
          <w:i/>
          <w:iCs/>
        </w:rPr>
        <w:t xml:space="preserve"> collaboration with the laboratory of </w:t>
      </w:r>
      <w:proofErr w:type="spellStart"/>
      <w:r w:rsidR="007E507F" w:rsidRPr="007E507F">
        <w:rPr>
          <w:rFonts w:ascii="Arial" w:hAnsi="Arial"/>
          <w:i/>
          <w:iCs/>
        </w:rPr>
        <w:t>Dr.</w:t>
      </w:r>
      <w:proofErr w:type="spellEnd"/>
      <w:r w:rsidR="007E507F" w:rsidRPr="007E507F">
        <w:rPr>
          <w:rFonts w:ascii="Arial" w:hAnsi="Arial"/>
          <w:i/>
          <w:iCs/>
        </w:rPr>
        <w:t xml:space="preserve"> Argel Aguilar-Valles at Carleton.</w:t>
      </w:r>
      <w:r w:rsidR="0046492A">
        <w:rPr>
          <w:rFonts w:ascii="Arial" w:hAnsi="Arial"/>
          <w:i/>
          <w:iCs/>
        </w:rPr>
        <w:t xml:space="preserve">  </w:t>
      </w:r>
      <w:proofErr w:type="spellStart"/>
      <w:r w:rsidR="0046492A" w:rsidRPr="0046492A">
        <w:rPr>
          <w:rFonts w:ascii="Arial" w:hAnsi="Arial"/>
          <w:i/>
          <w:iCs/>
        </w:rPr>
        <w:t>Dr.</w:t>
      </w:r>
      <w:proofErr w:type="spellEnd"/>
      <w:r w:rsidR="0046492A" w:rsidRPr="0046492A">
        <w:rPr>
          <w:rFonts w:ascii="Arial" w:hAnsi="Arial"/>
          <w:i/>
          <w:iCs/>
        </w:rPr>
        <w:t xml:space="preserve"> Lewis </w:t>
      </w:r>
      <w:r>
        <w:rPr>
          <w:rFonts w:ascii="Arial" w:hAnsi="Arial"/>
          <w:i/>
          <w:iCs/>
        </w:rPr>
        <w:t>presented</w:t>
      </w:r>
      <w:r w:rsidR="0046492A" w:rsidRPr="0046492A">
        <w:rPr>
          <w:rFonts w:ascii="Arial" w:hAnsi="Arial"/>
          <w:i/>
          <w:iCs/>
        </w:rPr>
        <w:t xml:space="preserve"> preclinical data demonstrating the anti-depressant and neural plasticity-promoting properties of BETR-001 from both in vitro and in vivo studies. </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4C277C2F" w:rsidR="003138E2" w:rsidRPr="0014406D" w:rsidRDefault="000945FF"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name of the court or agency, the date instituted, the principal 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6B2A4491" w14:textId="1C4D6C77" w:rsidR="00425411" w:rsidRPr="00011A25" w:rsidRDefault="0087765E" w:rsidP="008B5131">
      <w:pPr>
        <w:pStyle w:val="List"/>
        <w:spacing w:before="120"/>
        <w:ind w:left="720" w:firstLine="0"/>
        <w:jc w:val="both"/>
        <w:rPr>
          <w:rFonts w:ascii="Arial" w:hAnsi="Arial"/>
          <w:i/>
        </w:rPr>
      </w:pPr>
      <w:bookmarkStart w:id="15" w:name="_Hlk94777421"/>
      <w:bookmarkEnd w:id="11"/>
      <w:bookmarkEnd w:id="12"/>
      <w:bookmarkEnd w:id="13"/>
      <w:r>
        <w:rPr>
          <w:rFonts w:ascii="Arial" w:hAnsi="Arial" w:cs="Arial"/>
          <w:i/>
          <w:iCs/>
          <w:color w:val="000000"/>
        </w:rPr>
        <w:t>N/A.</w:t>
      </w:r>
      <w:r w:rsidR="00EA074B">
        <w:rPr>
          <w:rFonts w:ascii="Arial" w:hAnsi="Arial"/>
          <w:i/>
        </w:rPr>
        <w:t xml:space="preserve">  </w:t>
      </w:r>
    </w:p>
    <w:bookmarkEnd w:id="15"/>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BFF38B5" w14:textId="192F6381" w:rsidR="000A4E15" w:rsidRPr="0014406D" w:rsidRDefault="00A75CB6" w:rsidP="000A4E15">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0C2A110E" w:rsidR="00AF78A3" w:rsidRPr="00AF78A3" w:rsidRDefault="0087765E" w:rsidP="0090315D">
      <w:pPr>
        <w:pStyle w:val="List"/>
        <w:keepNext/>
        <w:keepLines/>
        <w:spacing w:before="120"/>
        <w:ind w:left="720" w:firstLine="0"/>
        <w:jc w:val="both"/>
        <w:rPr>
          <w:rFonts w:ascii="Arial" w:hAnsi="Arial"/>
          <w:i/>
          <w:iCs/>
        </w:rPr>
      </w:pPr>
      <w:r>
        <w:rPr>
          <w:rFonts w:ascii="Arial" w:hAnsi="Arial"/>
          <w:i/>
        </w:rPr>
        <w:lastRenderedPageBreak/>
        <w:t>N/A</w:t>
      </w:r>
      <w:r w:rsidR="0046492A">
        <w:rPr>
          <w:rFonts w:ascii="Arial" w:hAnsi="Arial"/>
          <w:i/>
        </w:rPr>
        <w:t>.</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6" w:name="_Hlk36806284"/>
      <w:r>
        <w:rPr>
          <w:rFonts w:ascii="Arial" w:hAnsi="Arial"/>
        </w:rPr>
        <w:t>Discuss any trends which are likely to impact the Issuer including trends in the Issuer’s market(s) or political/regulatory trends.</w:t>
      </w:r>
    </w:p>
    <w:bookmarkEnd w:id="16"/>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653BABA4"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87765E">
        <w:rPr>
          <w:rFonts w:ascii="Arial" w:hAnsi="Arial"/>
        </w:rPr>
        <w:t>August 2</w:t>
      </w:r>
      <w:r w:rsidR="004E4F81">
        <w:rPr>
          <w:rFonts w:ascii="Arial" w:hAnsi="Arial"/>
        </w:rPr>
        <w:t>,</w:t>
      </w:r>
      <w:r w:rsidR="005F4DD8">
        <w:rPr>
          <w:rFonts w:ascii="Arial" w:hAnsi="Arial"/>
        </w:rPr>
        <w:t xml:space="preserve"> </w:t>
      </w:r>
      <w:r w:rsidR="00F21064">
        <w:rPr>
          <w:rFonts w:ascii="Arial" w:hAnsi="Arial"/>
        </w:rPr>
        <w:t>202</w:t>
      </w:r>
      <w:r w:rsidR="000F18A3">
        <w:rPr>
          <w:rFonts w:ascii="Arial" w:hAnsi="Arial"/>
        </w:rPr>
        <w:t>2</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1F02E060" w:rsidR="007736E2" w:rsidRDefault="0087765E">
            <w:pPr>
              <w:pStyle w:val="BodyText"/>
              <w:spacing w:before="0"/>
              <w:rPr>
                <w:rFonts w:ascii="Arial" w:hAnsi="Arial"/>
              </w:rPr>
            </w:pPr>
            <w:r>
              <w:rPr>
                <w:rFonts w:ascii="Arial" w:hAnsi="Arial"/>
              </w:rPr>
              <w:t>July</w:t>
            </w:r>
            <w:r w:rsidR="00A706C8">
              <w:rPr>
                <w:rFonts w:ascii="Arial" w:hAnsi="Arial"/>
              </w:rPr>
              <w:t xml:space="preserve">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7A3B8F4D" w:rsidR="007736E2" w:rsidRDefault="0047210C" w:rsidP="00D708C2">
            <w:pPr>
              <w:pStyle w:val="BodyText"/>
              <w:spacing w:before="0"/>
              <w:rPr>
                <w:rFonts w:ascii="Arial" w:hAnsi="Arial"/>
              </w:rPr>
            </w:pPr>
            <w:r>
              <w:rPr>
                <w:rFonts w:ascii="Arial" w:hAnsi="Arial"/>
              </w:rPr>
              <w:t>20</w:t>
            </w:r>
            <w:r w:rsidR="001E25F7">
              <w:rPr>
                <w:rFonts w:ascii="Arial" w:hAnsi="Arial"/>
              </w:rPr>
              <w:t>2</w:t>
            </w:r>
            <w:r w:rsidR="000F18A3">
              <w:rPr>
                <w:rFonts w:ascii="Arial" w:hAnsi="Arial"/>
              </w:rPr>
              <w:t>2</w:t>
            </w:r>
            <w:r w:rsidR="001E25F7">
              <w:rPr>
                <w:rFonts w:ascii="Arial" w:hAnsi="Arial"/>
              </w:rPr>
              <w:t>/</w:t>
            </w:r>
            <w:r w:rsidR="000F18A3">
              <w:rPr>
                <w:rFonts w:ascii="Arial" w:hAnsi="Arial"/>
              </w:rPr>
              <w:t>0</w:t>
            </w:r>
            <w:r w:rsidR="0087765E">
              <w:rPr>
                <w:rFonts w:ascii="Arial" w:hAnsi="Arial"/>
              </w:rPr>
              <w:t>8</w:t>
            </w:r>
            <w:r w:rsidR="00023421">
              <w:rPr>
                <w:rFonts w:ascii="Arial" w:hAnsi="Arial"/>
              </w:rPr>
              <w:t>/</w:t>
            </w:r>
            <w:r w:rsidR="00023421" w:rsidRPr="000A4E15">
              <w:rPr>
                <w:rFonts w:ascii="Arial" w:hAnsi="Arial"/>
              </w:rPr>
              <w:t>0</w:t>
            </w:r>
            <w:r w:rsidR="0087765E">
              <w:rPr>
                <w:rFonts w:ascii="Arial" w:hAnsi="Arial"/>
              </w:rPr>
              <w:t>2</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10A5" w14:textId="77777777" w:rsidR="008066D6" w:rsidRDefault="008066D6">
      <w:r>
        <w:separator/>
      </w:r>
    </w:p>
  </w:endnote>
  <w:endnote w:type="continuationSeparator" w:id="0">
    <w:p w14:paraId="471B8B5C" w14:textId="77777777" w:rsidR="008066D6" w:rsidRDefault="0080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C50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ABD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C91E" w14:textId="77777777" w:rsidR="008066D6" w:rsidRDefault="008066D6">
      <w:r>
        <w:separator/>
      </w:r>
    </w:p>
  </w:footnote>
  <w:footnote w:type="continuationSeparator" w:id="0">
    <w:p w14:paraId="2092F399" w14:textId="77777777" w:rsidR="008066D6" w:rsidRDefault="0080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0"/>
  </w:num>
  <w:num w:numId="2" w16cid:durableId="999650319">
    <w:abstractNumId w:val="25"/>
  </w:num>
  <w:num w:numId="3" w16cid:durableId="553546407">
    <w:abstractNumId w:val="19"/>
  </w:num>
  <w:num w:numId="4" w16cid:durableId="1223567763">
    <w:abstractNumId w:val="15"/>
  </w:num>
  <w:num w:numId="5" w16cid:durableId="275988599">
    <w:abstractNumId w:val="4"/>
  </w:num>
  <w:num w:numId="6" w16cid:durableId="1973360475">
    <w:abstractNumId w:val="27"/>
  </w:num>
  <w:num w:numId="7" w16cid:durableId="810905557">
    <w:abstractNumId w:val="10"/>
  </w:num>
  <w:num w:numId="8" w16cid:durableId="1541937595">
    <w:abstractNumId w:val="31"/>
  </w:num>
  <w:num w:numId="9" w16cid:durableId="1949702368">
    <w:abstractNumId w:val="23"/>
  </w:num>
  <w:num w:numId="10" w16cid:durableId="1211190665">
    <w:abstractNumId w:val="12"/>
  </w:num>
  <w:num w:numId="11" w16cid:durableId="181821794">
    <w:abstractNumId w:val="16"/>
  </w:num>
  <w:num w:numId="12" w16cid:durableId="1658261503">
    <w:abstractNumId w:val="18"/>
  </w:num>
  <w:num w:numId="13" w16cid:durableId="1425421276">
    <w:abstractNumId w:val="33"/>
  </w:num>
  <w:num w:numId="14" w16cid:durableId="1679847024">
    <w:abstractNumId w:val="8"/>
  </w:num>
  <w:num w:numId="15" w16cid:durableId="925727261">
    <w:abstractNumId w:val="11"/>
  </w:num>
  <w:num w:numId="16" w16cid:durableId="1546328848">
    <w:abstractNumId w:val="14"/>
  </w:num>
  <w:num w:numId="17" w16cid:durableId="1015839486">
    <w:abstractNumId w:val="21"/>
  </w:num>
  <w:num w:numId="18" w16cid:durableId="1454208141">
    <w:abstractNumId w:val="3"/>
  </w:num>
  <w:num w:numId="19" w16cid:durableId="1288391168">
    <w:abstractNumId w:val="9"/>
  </w:num>
  <w:num w:numId="20" w16cid:durableId="2135754166">
    <w:abstractNumId w:val="30"/>
  </w:num>
  <w:num w:numId="21" w16cid:durableId="1077939371">
    <w:abstractNumId w:val="1"/>
  </w:num>
  <w:num w:numId="22" w16cid:durableId="148789464">
    <w:abstractNumId w:val="0"/>
  </w:num>
  <w:num w:numId="23" w16cid:durableId="1469665749">
    <w:abstractNumId w:val="26"/>
  </w:num>
  <w:num w:numId="24" w16cid:durableId="1871142051">
    <w:abstractNumId w:val="22"/>
  </w:num>
  <w:num w:numId="25" w16cid:durableId="380788749">
    <w:abstractNumId w:val="6"/>
  </w:num>
  <w:num w:numId="26" w16cid:durableId="547185786">
    <w:abstractNumId w:val="32"/>
  </w:num>
  <w:num w:numId="27" w16cid:durableId="1381975079">
    <w:abstractNumId w:val="34"/>
  </w:num>
  <w:num w:numId="28" w16cid:durableId="1831675251">
    <w:abstractNumId w:val="7"/>
  </w:num>
  <w:num w:numId="29" w16cid:durableId="625938527">
    <w:abstractNumId w:val="13"/>
  </w:num>
  <w:num w:numId="30" w16cid:durableId="1845242515">
    <w:abstractNumId w:val="17"/>
  </w:num>
  <w:num w:numId="31" w16cid:durableId="2073458493">
    <w:abstractNumId w:val="5"/>
  </w:num>
  <w:num w:numId="32" w16cid:durableId="449014438">
    <w:abstractNumId w:val="24"/>
  </w:num>
  <w:num w:numId="33" w16cid:durableId="1099258582">
    <w:abstractNumId w:val="2"/>
  </w:num>
  <w:num w:numId="34" w16cid:durableId="411124110">
    <w:abstractNumId w:val="29"/>
  </w:num>
  <w:num w:numId="35" w16cid:durableId="5384759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1A25"/>
    <w:rsid w:val="000130BC"/>
    <w:rsid w:val="00023421"/>
    <w:rsid w:val="00030265"/>
    <w:rsid w:val="00033ABE"/>
    <w:rsid w:val="000462DC"/>
    <w:rsid w:val="000620B8"/>
    <w:rsid w:val="00073BA8"/>
    <w:rsid w:val="00074550"/>
    <w:rsid w:val="00094394"/>
    <w:rsid w:val="000945FF"/>
    <w:rsid w:val="00094955"/>
    <w:rsid w:val="000954E9"/>
    <w:rsid w:val="000A1679"/>
    <w:rsid w:val="000A1AB1"/>
    <w:rsid w:val="000A4E15"/>
    <w:rsid w:val="000B0D70"/>
    <w:rsid w:val="000B1BCE"/>
    <w:rsid w:val="000B2461"/>
    <w:rsid w:val="000B5711"/>
    <w:rsid w:val="000B621A"/>
    <w:rsid w:val="000B6D2A"/>
    <w:rsid w:val="000C008E"/>
    <w:rsid w:val="000C1488"/>
    <w:rsid w:val="000C228A"/>
    <w:rsid w:val="000C2C22"/>
    <w:rsid w:val="000C4603"/>
    <w:rsid w:val="000E548E"/>
    <w:rsid w:val="000F18A3"/>
    <w:rsid w:val="000F7CC4"/>
    <w:rsid w:val="001224F6"/>
    <w:rsid w:val="00124212"/>
    <w:rsid w:val="00126180"/>
    <w:rsid w:val="0014081F"/>
    <w:rsid w:val="0014406D"/>
    <w:rsid w:val="00152273"/>
    <w:rsid w:val="00162C67"/>
    <w:rsid w:val="00165CB6"/>
    <w:rsid w:val="00166158"/>
    <w:rsid w:val="001740BD"/>
    <w:rsid w:val="00185EC3"/>
    <w:rsid w:val="00196ACD"/>
    <w:rsid w:val="001A5AA6"/>
    <w:rsid w:val="001B28AF"/>
    <w:rsid w:val="001B67EA"/>
    <w:rsid w:val="001C2D52"/>
    <w:rsid w:val="001C5D5E"/>
    <w:rsid w:val="001D0265"/>
    <w:rsid w:val="001D23CE"/>
    <w:rsid w:val="001D6115"/>
    <w:rsid w:val="001E25F7"/>
    <w:rsid w:val="001F49A4"/>
    <w:rsid w:val="00211658"/>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A1DC9"/>
    <w:rsid w:val="002B127E"/>
    <w:rsid w:val="002B63BD"/>
    <w:rsid w:val="002C0211"/>
    <w:rsid w:val="002C281E"/>
    <w:rsid w:val="002D76E9"/>
    <w:rsid w:val="002E34E0"/>
    <w:rsid w:val="002F00EB"/>
    <w:rsid w:val="002F2114"/>
    <w:rsid w:val="002F617B"/>
    <w:rsid w:val="002F72D5"/>
    <w:rsid w:val="003031CE"/>
    <w:rsid w:val="003058BE"/>
    <w:rsid w:val="00311869"/>
    <w:rsid w:val="003138E2"/>
    <w:rsid w:val="00315ED8"/>
    <w:rsid w:val="0032425A"/>
    <w:rsid w:val="00327E49"/>
    <w:rsid w:val="0034304E"/>
    <w:rsid w:val="00347220"/>
    <w:rsid w:val="00347A87"/>
    <w:rsid w:val="003626DE"/>
    <w:rsid w:val="0036452A"/>
    <w:rsid w:val="003669A9"/>
    <w:rsid w:val="00371A64"/>
    <w:rsid w:val="00375D16"/>
    <w:rsid w:val="00376748"/>
    <w:rsid w:val="00387FA8"/>
    <w:rsid w:val="003B53F8"/>
    <w:rsid w:val="003B7A52"/>
    <w:rsid w:val="003C02A4"/>
    <w:rsid w:val="003C15A9"/>
    <w:rsid w:val="003C51C5"/>
    <w:rsid w:val="003D3F52"/>
    <w:rsid w:val="003E5061"/>
    <w:rsid w:val="003F1389"/>
    <w:rsid w:val="003F3026"/>
    <w:rsid w:val="003F5D79"/>
    <w:rsid w:val="003F6706"/>
    <w:rsid w:val="00400696"/>
    <w:rsid w:val="004016FD"/>
    <w:rsid w:val="0040580F"/>
    <w:rsid w:val="004177D4"/>
    <w:rsid w:val="00425411"/>
    <w:rsid w:val="0042595D"/>
    <w:rsid w:val="00436BA3"/>
    <w:rsid w:val="00442270"/>
    <w:rsid w:val="00445648"/>
    <w:rsid w:val="00462376"/>
    <w:rsid w:val="0046492A"/>
    <w:rsid w:val="0047210C"/>
    <w:rsid w:val="00472CA2"/>
    <w:rsid w:val="00474991"/>
    <w:rsid w:val="004822FC"/>
    <w:rsid w:val="004A0A0F"/>
    <w:rsid w:val="004A1C7B"/>
    <w:rsid w:val="004A2915"/>
    <w:rsid w:val="004A3B17"/>
    <w:rsid w:val="004A5891"/>
    <w:rsid w:val="004A59B5"/>
    <w:rsid w:val="004B3D99"/>
    <w:rsid w:val="004B506B"/>
    <w:rsid w:val="004C07A1"/>
    <w:rsid w:val="004D7FAB"/>
    <w:rsid w:val="004E4F81"/>
    <w:rsid w:val="004E5AD5"/>
    <w:rsid w:val="004E5AFC"/>
    <w:rsid w:val="004F119A"/>
    <w:rsid w:val="004F3B84"/>
    <w:rsid w:val="004F66AB"/>
    <w:rsid w:val="00507ACF"/>
    <w:rsid w:val="00522B71"/>
    <w:rsid w:val="00541EF4"/>
    <w:rsid w:val="00542A53"/>
    <w:rsid w:val="00545268"/>
    <w:rsid w:val="005453C8"/>
    <w:rsid w:val="00554B84"/>
    <w:rsid w:val="005568F1"/>
    <w:rsid w:val="005625B1"/>
    <w:rsid w:val="00566B1E"/>
    <w:rsid w:val="005762A4"/>
    <w:rsid w:val="00576D3E"/>
    <w:rsid w:val="00584732"/>
    <w:rsid w:val="00590CBD"/>
    <w:rsid w:val="005A1DED"/>
    <w:rsid w:val="005A24F4"/>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33ED3"/>
    <w:rsid w:val="00635E9A"/>
    <w:rsid w:val="00640E94"/>
    <w:rsid w:val="00645116"/>
    <w:rsid w:val="00645202"/>
    <w:rsid w:val="00650B94"/>
    <w:rsid w:val="006729E5"/>
    <w:rsid w:val="0067500B"/>
    <w:rsid w:val="0068157A"/>
    <w:rsid w:val="00692C83"/>
    <w:rsid w:val="0069326C"/>
    <w:rsid w:val="00694CC7"/>
    <w:rsid w:val="006A0B2A"/>
    <w:rsid w:val="006B36FB"/>
    <w:rsid w:val="006B458A"/>
    <w:rsid w:val="006C1E0C"/>
    <w:rsid w:val="006C2178"/>
    <w:rsid w:val="006C62F7"/>
    <w:rsid w:val="006C7370"/>
    <w:rsid w:val="006C7657"/>
    <w:rsid w:val="006D1A06"/>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08E7"/>
    <w:rsid w:val="00793E9F"/>
    <w:rsid w:val="00797FFA"/>
    <w:rsid w:val="007A4D47"/>
    <w:rsid w:val="007D5D33"/>
    <w:rsid w:val="007D63AD"/>
    <w:rsid w:val="007E507F"/>
    <w:rsid w:val="007F57F9"/>
    <w:rsid w:val="008024AE"/>
    <w:rsid w:val="008066D6"/>
    <w:rsid w:val="0083066F"/>
    <w:rsid w:val="008349A0"/>
    <w:rsid w:val="00842030"/>
    <w:rsid w:val="0084310F"/>
    <w:rsid w:val="00851007"/>
    <w:rsid w:val="00853E80"/>
    <w:rsid w:val="00861BB4"/>
    <w:rsid w:val="008734B8"/>
    <w:rsid w:val="00875113"/>
    <w:rsid w:val="0087765E"/>
    <w:rsid w:val="0089367E"/>
    <w:rsid w:val="008954FB"/>
    <w:rsid w:val="00897238"/>
    <w:rsid w:val="008A0473"/>
    <w:rsid w:val="008A07A7"/>
    <w:rsid w:val="008A1BFD"/>
    <w:rsid w:val="008B2474"/>
    <w:rsid w:val="008B5131"/>
    <w:rsid w:val="008B7E92"/>
    <w:rsid w:val="008C26E9"/>
    <w:rsid w:val="008C73C8"/>
    <w:rsid w:val="008D270C"/>
    <w:rsid w:val="008D5122"/>
    <w:rsid w:val="008E3B35"/>
    <w:rsid w:val="008F0D4D"/>
    <w:rsid w:val="008F19CC"/>
    <w:rsid w:val="008F30A1"/>
    <w:rsid w:val="00900A38"/>
    <w:rsid w:val="0090315D"/>
    <w:rsid w:val="009055C8"/>
    <w:rsid w:val="0090592A"/>
    <w:rsid w:val="00910E5D"/>
    <w:rsid w:val="00912C13"/>
    <w:rsid w:val="00922A46"/>
    <w:rsid w:val="00922FC1"/>
    <w:rsid w:val="00923162"/>
    <w:rsid w:val="00930B9E"/>
    <w:rsid w:val="0093703B"/>
    <w:rsid w:val="00943782"/>
    <w:rsid w:val="009515A6"/>
    <w:rsid w:val="009547B8"/>
    <w:rsid w:val="00972C40"/>
    <w:rsid w:val="009806EB"/>
    <w:rsid w:val="00984D1E"/>
    <w:rsid w:val="0098583F"/>
    <w:rsid w:val="0098661E"/>
    <w:rsid w:val="00993477"/>
    <w:rsid w:val="00994923"/>
    <w:rsid w:val="00994941"/>
    <w:rsid w:val="00997F6C"/>
    <w:rsid w:val="009A55A6"/>
    <w:rsid w:val="009A7B4E"/>
    <w:rsid w:val="009B11AF"/>
    <w:rsid w:val="009B5585"/>
    <w:rsid w:val="009D16F2"/>
    <w:rsid w:val="009D6A8C"/>
    <w:rsid w:val="009E14BB"/>
    <w:rsid w:val="009E16F8"/>
    <w:rsid w:val="009E6418"/>
    <w:rsid w:val="009E6BED"/>
    <w:rsid w:val="00A017A6"/>
    <w:rsid w:val="00A0532E"/>
    <w:rsid w:val="00A16B3B"/>
    <w:rsid w:val="00A2251A"/>
    <w:rsid w:val="00A23C08"/>
    <w:rsid w:val="00A241EF"/>
    <w:rsid w:val="00A33D53"/>
    <w:rsid w:val="00A343E7"/>
    <w:rsid w:val="00A35B7D"/>
    <w:rsid w:val="00A364F7"/>
    <w:rsid w:val="00A37A50"/>
    <w:rsid w:val="00A37FA3"/>
    <w:rsid w:val="00A47914"/>
    <w:rsid w:val="00A530B7"/>
    <w:rsid w:val="00A66377"/>
    <w:rsid w:val="00A670A4"/>
    <w:rsid w:val="00A6779D"/>
    <w:rsid w:val="00A6786C"/>
    <w:rsid w:val="00A67EA2"/>
    <w:rsid w:val="00A706C8"/>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E06CE"/>
    <w:rsid w:val="00BF1A4D"/>
    <w:rsid w:val="00BF3379"/>
    <w:rsid w:val="00BF49FB"/>
    <w:rsid w:val="00C05A86"/>
    <w:rsid w:val="00C076AB"/>
    <w:rsid w:val="00C10872"/>
    <w:rsid w:val="00C173A3"/>
    <w:rsid w:val="00C17B54"/>
    <w:rsid w:val="00C27A18"/>
    <w:rsid w:val="00C34CF9"/>
    <w:rsid w:val="00C358BE"/>
    <w:rsid w:val="00C429D7"/>
    <w:rsid w:val="00C463A8"/>
    <w:rsid w:val="00C46579"/>
    <w:rsid w:val="00C518E4"/>
    <w:rsid w:val="00C6383E"/>
    <w:rsid w:val="00C65022"/>
    <w:rsid w:val="00C701F8"/>
    <w:rsid w:val="00C71B03"/>
    <w:rsid w:val="00C8589C"/>
    <w:rsid w:val="00C934D3"/>
    <w:rsid w:val="00C93831"/>
    <w:rsid w:val="00CA5F81"/>
    <w:rsid w:val="00CB4136"/>
    <w:rsid w:val="00CB5D66"/>
    <w:rsid w:val="00CB791E"/>
    <w:rsid w:val="00CC4C88"/>
    <w:rsid w:val="00CD3E73"/>
    <w:rsid w:val="00CE1159"/>
    <w:rsid w:val="00CE7076"/>
    <w:rsid w:val="00CF07E2"/>
    <w:rsid w:val="00CF63D0"/>
    <w:rsid w:val="00CF7D3E"/>
    <w:rsid w:val="00D02ECB"/>
    <w:rsid w:val="00D038AE"/>
    <w:rsid w:val="00D03F31"/>
    <w:rsid w:val="00D05442"/>
    <w:rsid w:val="00D1723F"/>
    <w:rsid w:val="00D2133D"/>
    <w:rsid w:val="00D23C7D"/>
    <w:rsid w:val="00D304BB"/>
    <w:rsid w:val="00D3256B"/>
    <w:rsid w:val="00D32B38"/>
    <w:rsid w:val="00D533D0"/>
    <w:rsid w:val="00D60620"/>
    <w:rsid w:val="00D660D0"/>
    <w:rsid w:val="00D708C2"/>
    <w:rsid w:val="00D77E39"/>
    <w:rsid w:val="00D814DD"/>
    <w:rsid w:val="00D859EC"/>
    <w:rsid w:val="00D861FE"/>
    <w:rsid w:val="00D866ED"/>
    <w:rsid w:val="00D90C9A"/>
    <w:rsid w:val="00DA25CF"/>
    <w:rsid w:val="00DD1AB4"/>
    <w:rsid w:val="00DD50CB"/>
    <w:rsid w:val="00DF5F05"/>
    <w:rsid w:val="00E018A5"/>
    <w:rsid w:val="00E01B1C"/>
    <w:rsid w:val="00E02B18"/>
    <w:rsid w:val="00E05ACB"/>
    <w:rsid w:val="00E24293"/>
    <w:rsid w:val="00E24ABB"/>
    <w:rsid w:val="00E2661F"/>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A074B"/>
    <w:rsid w:val="00EE4168"/>
    <w:rsid w:val="00F0055B"/>
    <w:rsid w:val="00F10F1D"/>
    <w:rsid w:val="00F12933"/>
    <w:rsid w:val="00F1359E"/>
    <w:rsid w:val="00F1704B"/>
    <w:rsid w:val="00F21064"/>
    <w:rsid w:val="00F30EE0"/>
    <w:rsid w:val="00F338B9"/>
    <w:rsid w:val="00F411CB"/>
    <w:rsid w:val="00F45BFA"/>
    <w:rsid w:val="00F701CF"/>
    <w:rsid w:val="00F71BA8"/>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6852</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Investor Relations</cp:lastModifiedBy>
  <cp:revision>187</cp:revision>
  <cp:lastPrinted>2004-05-10T18:28:00Z</cp:lastPrinted>
  <dcterms:created xsi:type="dcterms:W3CDTF">2018-02-01T18:59:00Z</dcterms:created>
  <dcterms:modified xsi:type="dcterms:W3CDTF">2022-08-02T16:29:00Z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