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FB3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DE3FB38" w14:textId="549195C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82DAA" w:rsidRPr="00482DAA">
        <w:rPr>
          <w:rFonts w:ascii="Arial" w:hAnsi="Arial"/>
          <w:color w:val="000000"/>
          <w:u w:val="single"/>
        </w:rPr>
        <w:t xml:space="preserve">Metallica Metals Corp. (formerly </w:t>
      </w:r>
      <w:r w:rsidR="008B380B">
        <w:rPr>
          <w:rFonts w:ascii="Arial" w:hAnsi="Arial"/>
          <w:color w:val="000000"/>
          <w:u w:val="single"/>
        </w:rPr>
        <w:t xml:space="preserve">Cameo Industries </w:t>
      </w:r>
      <w:r w:rsidR="007E58A1">
        <w:rPr>
          <w:rFonts w:ascii="Arial" w:hAnsi="Arial"/>
          <w:color w:val="000000"/>
          <w:u w:val="single"/>
        </w:rPr>
        <w:t>Corp</w:t>
      </w:r>
      <w:r w:rsidR="008B380B">
        <w:rPr>
          <w:rFonts w:ascii="Arial" w:hAnsi="Arial"/>
          <w:color w:val="000000"/>
          <w:u w:val="single"/>
        </w:rPr>
        <w:t>.</w:t>
      </w:r>
      <w:r w:rsidR="00482DAA">
        <w:rPr>
          <w:rFonts w:ascii="Arial" w:hAnsi="Arial"/>
          <w:color w:val="000000"/>
          <w:u w:val="single"/>
        </w:rPr>
        <w:t>)</w:t>
      </w:r>
      <w:r w:rsidR="008B380B">
        <w:rPr>
          <w:rFonts w:ascii="Arial" w:hAnsi="Arial"/>
          <w:color w:val="000000"/>
          <w:u w:val="single"/>
        </w:rPr>
        <w:t xml:space="preserve"> </w:t>
      </w:r>
      <w:r>
        <w:rPr>
          <w:rFonts w:ascii="Arial" w:hAnsi="Arial"/>
          <w:color w:val="000000"/>
        </w:rPr>
        <w:t>(the “Issuer”).</w:t>
      </w:r>
    </w:p>
    <w:p w14:paraId="2DE3FB39" w14:textId="6C07D1BF"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482DAA">
        <w:rPr>
          <w:rFonts w:ascii="Arial" w:hAnsi="Arial"/>
          <w:color w:val="000000"/>
          <w:u w:val="single"/>
        </w:rPr>
        <w:t>MM</w:t>
      </w:r>
      <w:r w:rsidR="008B380B">
        <w:rPr>
          <w:rFonts w:ascii="Arial" w:hAnsi="Arial"/>
          <w:color w:val="000000"/>
          <w:u w:val="single"/>
        </w:rPr>
        <w:t xml:space="preserve"> </w:t>
      </w:r>
    </w:p>
    <w:p w14:paraId="2DE3FB3A" w14:textId="76B575B1" w:rsidR="00640E94" w:rsidRPr="00EB69C6" w:rsidRDefault="00640E94">
      <w:pPr>
        <w:pStyle w:val="BodyText"/>
        <w:tabs>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B36ED">
        <w:rPr>
          <w:rFonts w:ascii="Arial" w:hAnsi="Arial"/>
          <w:color w:val="000000"/>
        </w:rPr>
        <w:t xml:space="preserve"> </w:t>
      </w:r>
      <w:r w:rsidR="00770CE7">
        <w:rPr>
          <w:rFonts w:ascii="Arial" w:hAnsi="Arial"/>
          <w:color w:val="000000"/>
          <w:u w:val="single"/>
        </w:rPr>
        <w:t>72,141,364</w:t>
      </w:r>
      <w:r w:rsidR="00EB69C6" w:rsidRPr="00FA4C7D">
        <w:rPr>
          <w:rFonts w:ascii="Arial" w:hAnsi="Arial"/>
          <w:color w:val="000000"/>
          <w:u w:val="single"/>
        </w:rPr>
        <w:t xml:space="preserve"> common shares were issued and outstanding as of </w:t>
      </w:r>
      <w:r w:rsidR="006F1EA3">
        <w:rPr>
          <w:rFonts w:ascii="Arial" w:hAnsi="Arial"/>
          <w:color w:val="000000"/>
          <w:u w:val="single"/>
        </w:rPr>
        <w:t>May</w:t>
      </w:r>
      <w:r w:rsidR="00023C92">
        <w:rPr>
          <w:rFonts w:ascii="Arial" w:hAnsi="Arial"/>
          <w:color w:val="000000"/>
          <w:u w:val="single"/>
        </w:rPr>
        <w:t xml:space="preserve"> </w:t>
      </w:r>
      <w:r w:rsidR="00F37108">
        <w:rPr>
          <w:rFonts w:ascii="Arial" w:hAnsi="Arial"/>
          <w:color w:val="000000"/>
          <w:u w:val="single"/>
        </w:rPr>
        <w:t>3</w:t>
      </w:r>
      <w:r w:rsidR="00476FE1">
        <w:rPr>
          <w:rFonts w:ascii="Arial" w:hAnsi="Arial"/>
          <w:color w:val="000000"/>
          <w:u w:val="single"/>
        </w:rPr>
        <w:t>0</w:t>
      </w:r>
      <w:r w:rsidR="00CD51A3">
        <w:rPr>
          <w:rFonts w:ascii="Arial" w:hAnsi="Arial"/>
          <w:color w:val="000000"/>
          <w:u w:val="single"/>
        </w:rPr>
        <w:t>, 202</w:t>
      </w:r>
      <w:r w:rsidR="00870A83">
        <w:rPr>
          <w:rFonts w:ascii="Arial" w:hAnsi="Arial"/>
          <w:color w:val="000000"/>
          <w:u w:val="single"/>
        </w:rPr>
        <w:t>2</w:t>
      </w:r>
    </w:p>
    <w:p w14:paraId="2DE3FB3B" w14:textId="6C37CC0F" w:rsidR="00640E94" w:rsidRDefault="00640E94">
      <w:pPr>
        <w:pStyle w:val="BodyText"/>
        <w:tabs>
          <w:tab w:val="left" w:pos="7920"/>
          <w:tab w:val="left" w:pos="9180"/>
        </w:tabs>
        <w:rPr>
          <w:rFonts w:ascii="Arial" w:hAnsi="Arial"/>
          <w:color w:val="000000"/>
        </w:rPr>
      </w:pPr>
      <w:r w:rsidRPr="00F51E68">
        <w:rPr>
          <w:rFonts w:ascii="Arial" w:hAnsi="Arial"/>
          <w:color w:val="000000"/>
        </w:rPr>
        <w:t xml:space="preserve">Date: </w:t>
      </w:r>
      <w:r w:rsidR="006F1EA3">
        <w:rPr>
          <w:rFonts w:ascii="Arial" w:hAnsi="Arial"/>
          <w:color w:val="000000"/>
          <w:u w:val="single"/>
        </w:rPr>
        <w:t>June 3</w:t>
      </w:r>
      <w:r w:rsidR="00770CE7">
        <w:rPr>
          <w:rFonts w:ascii="Arial" w:hAnsi="Arial"/>
          <w:color w:val="000000"/>
          <w:u w:val="single"/>
        </w:rPr>
        <w:t>, 2022</w:t>
      </w:r>
    </w:p>
    <w:p w14:paraId="2DE3FB3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DE3FB3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DE3FB3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DE3FB3F" w14:textId="77777777" w:rsidR="00640E94" w:rsidRDefault="00640E94" w:rsidP="00EB69C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E3FB4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DE3FB4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DE3FB42" w14:textId="77777777" w:rsidR="00640E94" w:rsidRDefault="00640E94">
      <w:pPr>
        <w:pStyle w:val="List"/>
        <w:keepLines/>
        <w:spacing w:before="120"/>
        <w:ind w:left="0" w:firstLine="0"/>
        <w:rPr>
          <w:rFonts w:ascii="Arial" w:hAnsi="Arial"/>
          <w:b/>
        </w:rPr>
      </w:pPr>
      <w:r>
        <w:rPr>
          <w:rFonts w:ascii="Arial" w:hAnsi="Arial"/>
          <w:b/>
        </w:rPr>
        <w:t>Report on Business</w:t>
      </w:r>
    </w:p>
    <w:p w14:paraId="2DE3FB43" w14:textId="77777777" w:rsidR="00640E94" w:rsidRPr="003920EA" w:rsidRDefault="00640E94">
      <w:pPr>
        <w:pStyle w:val="List"/>
        <w:numPr>
          <w:ilvl w:val="0"/>
          <w:numId w:val="28"/>
        </w:numPr>
        <w:spacing w:before="120"/>
        <w:jc w:val="both"/>
        <w:rPr>
          <w:rFonts w:ascii="Arial" w:hAnsi="Arial"/>
          <w:b/>
          <w:bCs/>
        </w:rPr>
      </w:pPr>
      <w:r w:rsidRPr="003920EA">
        <w:rPr>
          <w:rFonts w:ascii="Arial" w:hAnsi="Arial"/>
          <w:b/>
          <w:bCs/>
        </w:rPr>
        <w:t>Provide a general overview and discussion of the development of the Issuer’s business and operations over the previous month.  Where the Issuer was inactive disclose this fact.</w:t>
      </w:r>
    </w:p>
    <w:p w14:paraId="2DE3FB44" w14:textId="4A319487" w:rsidR="008B380B" w:rsidRPr="003920EA" w:rsidRDefault="008B380B" w:rsidP="008B380B">
      <w:pPr>
        <w:pStyle w:val="List"/>
        <w:spacing w:before="120"/>
        <w:ind w:left="720" w:firstLine="0"/>
        <w:jc w:val="both"/>
        <w:rPr>
          <w:rFonts w:ascii="Arial" w:hAnsi="Arial"/>
        </w:rPr>
      </w:pPr>
      <w:r w:rsidRPr="003920EA">
        <w:rPr>
          <w:rFonts w:ascii="Arial" w:hAnsi="Arial"/>
        </w:rPr>
        <w:t xml:space="preserve">See Item 2 below for a complete overview and discussion of the Issuer’s activities for the month of </w:t>
      </w:r>
      <w:r w:rsidR="006F1EA3">
        <w:rPr>
          <w:rFonts w:ascii="Arial" w:hAnsi="Arial"/>
        </w:rPr>
        <w:t>May</w:t>
      </w:r>
      <w:r w:rsidR="00ED1DB5" w:rsidRPr="003920EA">
        <w:rPr>
          <w:rFonts w:ascii="Arial" w:hAnsi="Arial"/>
        </w:rPr>
        <w:t xml:space="preserve"> </w:t>
      </w:r>
      <w:r w:rsidR="00CD51A3" w:rsidRPr="003920EA">
        <w:rPr>
          <w:rFonts w:ascii="Arial" w:hAnsi="Arial"/>
        </w:rPr>
        <w:t>202</w:t>
      </w:r>
      <w:r w:rsidR="00870A83" w:rsidRPr="003920EA">
        <w:rPr>
          <w:rFonts w:ascii="Arial" w:hAnsi="Arial"/>
        </w:rPr>
        <w:t>2</w:t>
      </w:r>
      <w:r w:rsidRPr="003920EA">
        <w:rPr>
          <w:rFonts w:ascii="Arial" w:hAnsi="Arial"/>
        </w:rPr>
        <w:t>.</w:t>
      </w:r>
    </w:p>
    <w:p w14:paraId="6FAF190A" w14:textId="77777777" w:rsidR="00B218AD" w:rsidRDefault="00B218AD" w:rsidP="008B380B">
      <w:pPr>
        <w:pStyle w:val="List"/>
        <w:spacing w:before="120"/>
        <w:ind w:left="720" w:firstLine="0"/>
        <w:jc w:val="both"/>
        <w:rPr>
          <w:rFonts w:ascii="Arial" w:hAnsi="Arial"/>
          <w:u w:val="single"/>
        </w:rPr>
      </w:pPr>
    </w:p>
    <w:p w14:paraId="2B6078AA" w14:textId="77777777" w:rsidR="00B218AD" w:rsidRPr="008B380B" w:rsidRDefault="00B218AD" w:rsidP="008B380B">
      <w:pPr>
        <w:pStyle w:val="List"/>
        <w:spacing w:before="120"/>
        <w:ind w:left="720" w:firstLine="0"/>
        <w:jc w:val="both"/>
        <w:rPr>
          <w:rFonts w:ascii="Arial" w:hAnsi="Arial"/>
          <w:u w:val="single"/>
        </w:rPr>
      </w:pPr>
    </w:p>
    <w:p w14:paraId="2DE3FB45" w14:textId="77777777" w:rsidR="00640E94" w:rsidRPr="003920EA" w:rsidRDefault="00640E94">
      <w:pPr>
        <w:pStyle w:val="List"/>
        <w:numPr>
          <w:ilvl w:val="0"/>
          <w:numId w:val="28"/>
        </w:numPr>
        <w:spacing w:before="120"/>
        <w:jc w:val="both"/>
        <w:rPr>
          <w:rFonts w:ascii="Arial" w:hAnsi="Arial"/>
          <w:b/>
          <w:bCs/>
        </w:rPr>
      </w:pPr>
      <w:r w:rsidRPr="003920EA">
        <w:rPr>
          <w:rFonts w:ascii="Arial" w:hAnsi="Arial"/>
          <w:b/>
          <w:bCs/>
        </w:rPr>
        <w:t>Provide a general overview and discussion of the activities of management.</w:t>
      </w:r>
    </w:p>
    <w:p w14:paraId="3FAD13A7" w14:textId="275BFC44" w:rsidR="00D12C69" w:rsidRPr="003920EA" w:rsidRDefault="004B0A17" w:rsidP="008B3FAD">
      <w:pPr>
        <w:pStyle w:val="List"/>
        <w:spacing w:before="120"/>
        <w:ind w:left="720" w:firstLine="0"/>
        <w:jc w:val="both"/>
        <w:rPr>
          <w:rFonts w:ascii="Arial" w:hAnsi="Arial"/>
        </w:rPr>
      </w:pPr>
      <w:r w:rsidRPr="003920EA">
        <w:rPr>
          <w:rFonts w:ascii="Arial" w:hAnsi="Arial"/>
        </w:rPr>
        <w:t xml:space="preserve">During the month of </w:t>
      </w:r>
      <w:r w:rsidR="006F1EA3">
        <w:rPr>
          <w:rFonts w:ascii="Arial" w:hAnsi="Arial"/>
        </w:rPr>
        <w:t>May</w:t>
      </w:r>
      <w:r w:rsidR="00ED1DB5" w:rsidRPr="003920EA">
        <w:rPr>
          <w:rFonts w:ascii="Arial" w:hAnsi="Arial"/>
        </w:rPr>
        <w:t xml:space="preserve"> </w:t>
      </w:r>
      <w:r w:rsidR="00CD51A3" w:rsidRPr="003920EA">
        <w:rPr>
          <w:rFonts w:ascii="Arial" w:hAnsi="Arial"/>
        </w:rPr>
        <w:t>202</w:t>
      </w:r>
      <w:r w:rsidR="00870A83" w:rsidRPr="003920EA">
        <w:rPr>
          <w:rFonts w:ascii="Arial" w:hAnsi="Arial"/>
        </w:rPr>
        <w:t>2</w:t>
      </w:r>
      <w:r w:rsidRPr="003920EA">
        <w:rPr>
          <w:rFonts w:ascii="Arial" w:hAnsi="Arial"/>
        </w:rPr>
        <w:t xml:space="preserve">, management’s principal activities consisted </w:t>
      </w:r>
      <w:r w:rsidR="00D12C69" w:rsidRPr="003920EA">
        <w:rPr>
          <w:rFonts w:ascii="Arial" w:hAnsi="Arial"/>
        </w:rPr>
        <w:t>of:</w:t>
      </w:r>
    </w:p>
    <w:p w14:paraId="3ABC65F8" w14:textId="422B20E4" w:rsidR="002B2C64" w:rsidRPr="003920EA" w:rsidRDefault="006F1EA3" w:rsidP="00D12C69">
      <w:pPr>
        <w:pStyle w:val="List"/>
        <w:numPr>
          <w:ilvl w:val="0"/>
          <w:numId w:val="36"/>
        </w:numPr>
        <w:spacing w:before="120"/>
        <w:jc w:val="both"/>
        <w:rPr>
          <w:rFonts w:ascii="Arial" w:hAnsi="Arial"/>
        </w:rPr>
      </w:pPr>
      <w:r>
        <w:rPr>
          <w:rFonts w:ascii="Arial" w:hAnsi="Arial"/>
          <w:lang w:val="en-US"/>
        </w:rPr>
        <w:t xml:space="preserve">Reporting </w:t>
      </w:r>
      <w:r w:rsidRPr="006F1EA3">
        <w:rPr>
          <w:rFonts w:ascii="Arial" w:hAnsi="Arial"/>
          <w:lang w:val="en-US"/>
        </w:rPr>
        <w:t xml:space="preserve">interpretation results from its airborne </w:t>
      </w:r>
      <w:proofErr w:type="spellStart"/>
      <w:r w:rsidRPr="006F1EA3">
        <w:rPr>
          <w:rFonts w:ascii="Arial" w:hAnsi="Arial"/>
          <w:lang w:val="en-US"/>
        </w:rPr>
        <w:t>MobileMTTM</w:t>
      </w:r>
      <w:proofErr w:type="spellEnd"/>
      <w:r w:rsidRPr="006F1EA3">
        <w:rPr>
          <w:rFonts w:ascii="Arial" w:hAnsi="Arial"/>
          <w:lang w:val="en-US"/>
        </w:rPr>
        <w:t xml:space="preserve"> geophysical survey that was flown on the Ni-Cu-PGM Sammy Ridgeline Project (“Sammy Ridgeline” or the “Project”) in the Thunder Bay North District of Ontario, Canada in 2021.</w:t>
      </w:r>
      <w:r w:rsidRPr="006F1EA3">
        <w:rPr>
          <w:rFonts w:ascii="Arial" w:hAnsi="Arial"/>
          <w:lang w:val="en-US"/>
        </w:rPr>
        <w:t xml:space="preserve"> </w:t>
      </w:r>
      <w:r w:rsidR="002B2C64" w:rsidRPr="003920EA">
        <w:rPr>
          <w:rFonts w:ascii="Arial" w:hAnsi="Arial"/>
        </w:rPr>
        <w:t>attending to general administration matters</w:t>
      </w:r>
      <w:r w:rsidR="00AC231F" w:rsidRPr="003920EA">
        <w:rPr>
          <w:rFonts w:ascii="Arial" w:hAnsi="Arial"/>
        </w:rPr>
        <w:t>.</w:t>
      </w:r>
      <w:r w:rsidR="00D12C69" w:rsidRPr="003920EA">
        <w:rPr>
          <w:rFonts w:ascii="Arial" w:hAnsi="Arial"/>
        </w:rPr>
        <w:t xml:space="preserve"> </w:t>
      </w:r>
    </w:p>
    <w:p w14:paraId="234354F9" w14:textId="77777777" w:rsidR="00AC231F" w:rsidRDefault="00AC231F" w:rsidP="003920EA">
      <w:pPr>
        <w:pStyle w:val="List"/>
        <w:spacing w:before="120"/>
        <w:ind w:firstLine="0"/>
        <w:jc w:val="both"/>
        <w:rPr>
          <w:rFonts w:ascii="Arial" w:hAnsi="Arial"/>
          <w:u w:val="single"/>
        </w:rPr>
      </w:pPr>
    </w:p>
    <w:p w14:paraId="2DE3FB4C" w14:textId="7A31D361" w:rsidR="00640E94" w:rsidRPr="003920EA" w:rsidRDefault="00640E94" w:rsidP="00ED1DB5">
      <w:pPr>
        <w:pStyle w:val="List"/>
        <w:numPr>
          <w:ilvl w:val="0"/>
          <w:numId w:val="28"/>
        </w:numPr>
        <w:spacing w:before="0"/>
        <w:jc w:val="both"/>
        <w:rPr>
          <w:rFonts w:ascii="Arial" w:hAnsi="Arial"/>
          <w:b/>
          <w:bCs/>
        </w:rPr>
      </w:pPr>
      <w:r w:rsidRPr="003920EA">
        <w:rPr>
          <w:rFonts w:ascii="Arial" w:hAnsi="Arial"/>
          <w:b/>
          <w:bCs/>
        </w:rPr>
        <w:t xml:space="preserve">Describe and provide details of any new products or services developed or offered. For resource companies, </w:t>
      </w:r>
      <w:bookmarkStart w:id="5" w:name="_Hlk94867899"/>
      <w:r w:rsidRPr="003920EA">
        <w:rPr>
          <w:rFonts w:ascii="Arial" w:hAnsi="Arial"/>
          <w:b/>
          <w:bCs/>
        </w:rPr>
        <w:t xml:space="preserve">provide details of new drilling, exploration or production programs and acquisitions of any new properties </w:t>
      </w:r>
      <w:bookmarkEnd w:id="5"/>
      <w:r w:rsidRPr="003920EA">
        <w:rPr>
          <w:rFonts w:ascii="Arial" w:hAnsi="Arial"/>
          <w:b/>
          <w:bCs/>
        </w:rPr>
        <w:t>and attach any mineral or oil and gas or other reports required under Ontario securities law.</w:t>
      </w:r>
    </w:p>
    <w:p w14:paraId="652704AF" w14:textId="7DABFFF4" w:rsidR="000E7D6F" w:rsidRDefault="000E7D6F" w:rsidP="00E95A8C">
      <w:pPr>
        <w:shd w:val="clear" w:color="auto" w:fill="FFFFFF"/>
        <w:spacing w:line="276" w:lineRule="auto"/>
        <w:jc w:val="both"/>
        <w:rPr>
          <w:rFonts w:ascii="Arial" w:hAnsi="Arial"/>
          <w:sz w:val="24"/>
          <w:u w:val="single"/>
          <w:lang w:val="en-GB"/>
        </w:rPr>
      </w:pPr>
    </w:p>
    <w:p w14:paraId="23ACE40F" w14:textId="5E1A839F" w:rsidR="00AC231F" w:rsidRPr="00AC231F" w:rsidRDefault="006F1EA3" w:rsidP="006F1EA3">
      <w:pPr>
        <w:widowControl w:val="0"/>
        <w:spacing w:after="120" w:line="276" w:lineRule="auto"/>
        <w:ind w:left="630"/>
        <w:rPr>
          <w:rFonts w:ascii="Arial" w:eastAsia="Calibri" w:hAnsi="Arial" w:cs="Arial"/>
          <w:sz w:val="24"/>
          <w:szCs w:val="24"/>
          <w:lang w:val="en-CA"/>
        </w:rPr>
      </w:pPr>
      <w:r>
        <w:rPr>
          <w:rFonts w:ascii="Arial" w:eastAsia="Calibri" w:hAnsi="Arial" w:cs="Arial"/>
          <w:sz w:val="24"/>
          <w:szCs w:val="24"/>
          <w:lang w:val="en-CA"/>
        </w:rPr>
        <w:t>On May 16, 2022</w:t>
      </w:r>
      <w:r w:rsidR="00D37B2C">
        <w:rPr>
          <w:rFonts w:ascii="Arial" w:eastAsia="Calibri" w:hAnsi="Arial" w:cs="Arial"/>
          <w:sz w:val="24"/>
          <w:szCs w:val="24"/>
          <w:lang w:val="en-CA"/>
        </w:rPr>
        <w:t xml:space="preserve">, the Issuer announced </w:t>
      </w:r>
      <w:r>
        <w:rPr>
          <w:rFonts w:ascii="Arial" w:eastAsia="Calibri" w:hAnsi="Arial" w:cs="Arial"/>
          <w:sz w:val="24"/>
          <w:szCs w:val="24"/>
          <w:lang w:val="en-CA"/>
        </w:rPr>
        <w:t>interpretation results from its a</w:t>
      </w:r>
      <w:r w:rsidR="00E77F54">
        <w:rPr>
          <w:rFonts w:ascii="Arial" w:eastAsia="Calibri" w:hAnsi="Arial" w:cs="Arial"/>
          <w:sz w:val="24"/>
          <w:szCs w:val="24"/>
          <w:lang w:val="en-CA"/>
        </w:rPr>
        <w:t>i</w:t>
      </w:r>
      <w:r>
        <w:rPr>
          <w:rFonts w:ascii="Arial" w:eastAsia="Calibri" w:hAnsi="Arial" w:cs="Arial"/>
          <w:sz w:val="24"/>
          <w:szCs w:val="24"/>
          <w:lang w:val="en-CA"/>
        </w:rPr>
        <w:t xml:space="preserve">rborne </w:t>
      </w:r>
      <w:proofErr w:type="spellStart"/>
      <w:r>
        <w:rPr>
          <w:rFonts w:ascii="Arial" w:eastAsia="Calibri" w:hAnsi="Arial" w:cs="Arial"/>
          <w:sz w:val="24"/>
          <w:szCs w:val="24"/>
          <w:lang w:val="en-CA"/>
        </w:rPr>
        <w:t>MobileMTTM</w:t>
      </w:r>
      <w:proofErr w:type="spellEnd"/>
      <w:r>
        <w:rPr>
          <w:rFonts w:ascii="Arial" w:eastAsia="Calibri" w:hAnsi="Arial" w:cs="Arial"/>
          <w:sz w:val="24"/>
          <w:szCs w:val="24"/>
          <w:lang w:val="en-CA"/>
        </w:rPr>
        <w:t xml:space="preserve"> </w:t>
      </w:r>
      <w:r w:rsidRPr="006F1EA3">
        <w:rPr>
          <w:rFonts w:ascii="Arial" w:eastAsia="Calibri" w:hAnsi="Arial" w:cs="Arial"/>
          <w:sz w:val="24"/>
          <w:szCs w:val="24"/>
          <w:lang w:val="en-CA"/>
        </w:rPr>
        <w:t xml:space="preserve">geophysical survey that was flown on the Sammy Ridgeline in the Thunder Bay North District of Ontario, Canada in 2021. </w:t>
      </w:r>
    </w:p>
    <w:p w14:paraId="213E275A" w14:textId="717A4CE2" w:rsidR="00AC231F" w:rsidRDefault="00D37B2C" w:rsidP="00D37B2C">
      <w:pPr>
        <w:widowControl w:val="0"/>
        <w:spacing w:after="120" w:line="276" w:lineRule="auto"/>
        <w:ind w:left="720" w:hanging="90"/>
        <w:jc w:val="both"/>
        <w:rPr>
          <w:rFonts w:ascii="Arial" w:eastAsia="Calibri" w:hAnsi="Arial" w:cs="Arial"/>
          <w:sz w:val="24"/>
          <w:szCs w:val="24"/>
          <w:lang w:val="en-CA"/>
        </w:rPr>
      </w:pPr>
      <w:r w:rsidRPr="00D37B2C">
        <w:rPr>
          <w:rFonts w:ascii="Arial" w:eastAsia="Calibri" w:hAnsi="Arial" w:cs="Arial"/>
          <w:sz w:val="24"/>
          <w:szCs w:val="24"/>
          <w:lang w:val="en-CA"/>
        </w:rPr>
        <w:t>The highlights are as follows:</w:t>
      </w:r>
    </w:p>
    <w:p w14:paraId="5C60A1C7" w14:textId="77777777" w:rsidR="006F1EA3" w:rsidRPr="006F1EA3" w:rsidRDefault="006F1EA3" w:rsidP="006F1EA3">
      <w:pPr>
        <w:widowControl w:val="0"/>
        <w:numPr>
          <w:ilvl w:val="0"/>
          <w:numId w:val="34"/>
        </w:numPr>
        <w:spacing w:after="120" w:line="276" w:lineRule="auto"/>
        <w:ind w:left="1170" w:hanging="450"/>
        <w:jc w:val="both"/>
        <w:rPr>
          <w:rFonts w:ascii="Arial" w:eastAsia="Calibri" w:hAnsi="Arial" w:cs="Arial"/>
          <w:sz w:val="24"/>
          <w:szCs w:val="24"/>
          <w:lang w:val="en-CA"/>
        </w:rPr>
      </w:pPr>
      <w:r w:rsidRPr="006F1EA3">
        <w:rPr>
          <w:rFonts w:ascii="Arial" w:eastAsia="Calibri" w:hAnsi="Arial" w:cs="Arial"/>
          <w:sz w:val="24"/>
          <w:szCs w:val="24"/>
          <w:lang w:val="en-CA"/>
        </w:rPr>
        <w:t xml:space="preserve">11 Ni-Cu-PGM targets generated across the combined East and West blocks (see </w:t>
      </w:r>
      <w:r w:rsidRPr="006F1EA3">
        <w:rPr>
          <w:rFonts w:ascii="Arial" w:eastAsia="Calibri" w:hAnsi="Arial" w:cs="Arial"/>
          <w:b/>
          <w:bCs/>
          <w:sz w:val="24"/>
          <w:szCs w:val="24"/>
          <w:lang w:val="en-CA"/>
        </w:rPr>
        <w:t>Figures 2 and 3</w:t>
      </w:r>
      <w:r w:rsidRPr="006F1EA3">
        <w:rPr>
          <w:rFonts w:ascii="Arial" w:eastAsia="Calibri" w:hAnsi="Arial" w:cs="Arial"/>
          <w:sz w:val="24"/>
          <w:szCs w:val="24"/>
          <w:lang w:val="en-CA"/>
        </w:rPr>
        <w:t xml:space="preserve">). </w:t>
      </w:r>
    </w:p>
    <w:p w14:paraId="022B3E0B" w14:textId="77777777" w:rsidR="006F1EA3" w:rsidRPr="006F1EA3" w:rsidRDefault="006F1EA3" w:rsidP="006F1EA3">
      <w:pPr>
        <w:widowControl w:val="0"/>
        <w:numPr>
          <w:ilvl w:val="0"/>
          <w:numId w:val="34"/>
        </w:numPr>
        <w:spacing w:after="120" w:line="276" w:lineRule="auto"/>
        <w:ind w:left="1170" w:hanging="450"/>
        <w:jc w:val="both"/>
        <w:rPr>
          <w:rFonts w:ascii="Arial" w:eastAsia="Calibri" w:hAnsi="Arial" w:cs="Arial"/>
          <w:sz w:val="24"/>
          <w:szCs w:val="24"/>
          <w:lang w:val="en-CA"/>
        </w:rPr>
      </w:pPr>
      <w:r w:rsidRPr="006F1EA3">
        <w:rPr>
          <w:rFonts w:ascii="Arial" w:eastAsia="Calibri" w:hAnsi="Arial" w:cs="Arial"/>
          <w:sz w:val="24"/>
          <w:szCs w:val="24"/>
          <w:lang w:val="en-CA"/>
        </w:rPr>
        <w:t xml:space="preserve">Of particular interest are targets displaying remanent magnetism, which can be a feature of PGM deposits, that are also located in proximity to important structures. </w:t>
      </w:r>
    </w:p>
    <w:p w14:paraId="4FF7CAF1" w14:textId="77777777" w:rsidR="006F1EA3" w:rsidRPr="006F1EA3" w:rsidRDefault="006F1EA3" w:rsidP="006F1EA3">
      <w:pPr>
        <w:widowControl w:val="0"/>
        <w:numPr>
          <w:ilvl w:val="0"/>
          <w:numId w:val="34"/>
        </w:numPr>
        <w:spacing w:after="120" w:line="276" w:lineRule="auto"/>
        <w:ind w:left="1170" w:hanging="450"/>
        <w:jc w:val="both"/>
        <w:rPr>
          <w:rFonts w:ascii="Arial" w:eastAsia="Calibri" w:hAnsi="Arial" w:cs="Arial"/>
          <w:sz w:val="24"/>
          <w:szCs w:val="24"/>
          <w:lang w:val="en-CA"/>
        </w:rPr>
      </w:pPr>
      <w:r w:rsidRPr="006F1EA3">
        <w:rPr>
          <w:rFonts w:ascii="Arial" w:eastAsia="Calibri" w:hAnsi="Arial" w:cs="Arial"/>
          <w:sz w:val="24"/>
          <w:szCs w:val="24"/>
          <w:lang w:val="en-CA"/>
        </w:rPr>
        <w:t xml:space="preserve">Important geophysical signature identified by </w:t>
      </w:r>
      <w:proofErr w:type="spellStart"/>
      <w:r w:rsidRPr="006F1EA3">
        <w:rPr>
          <w:rFonts w:ascii="Arial" w:eastAsia="Calibri" w:hAnsi="Arial" w:cs="Arial"/>
          <w:sz w:val="24"/>
          <w:szCs w:val="24"/>
          <w:lang w:val="en-CA"/>
        </w:rPr>
        <w:t>MobileMT</w:t>
      </w:r>
      <w:proofErr w:type="spellEnd"/>
      <w:r w:rsidRPr="006F1EA3">
        <w:rPr>
          <w:rFonts w:ascii="Arial" w:eastAsia="Calibri" w:hAnsi="Arial" w:cs="Arial"/>
          <w:sz w:val="24"/>
          <w:szCs w:val="24"/>
          <w:lang w:val="en-CA"/>
        </w:rPr>
        <w:t xml:space="preserve"> technician on the East Block. The circular/oval feature that is observed on the East Block is interpreted as remanent magnetism of an ancient komatiitic flow in the area. Some of the world’s largest Ni deposits are known to be associated with komatiites, an ultramafic rock. </w:t>
      </w:r>
    </w:p>
    <w:p w14:paraId="70315A10" w14:textId="77777777" w:rsidR="006F1EA3" w:rsidRPr="006F1EA3" w:rsidRDefault="006F1EA3" w:rsidP="006F1EA3">
      <w:pPr>
        <w:widowControl w:val="0"/>
        <w:numPr>
          <w:ilvl w:val="0"/>
          <w:numId w:val="34"/>
        </w:numPr>
        <w:spacing w:after="120" w:line="276" w:lineRule="auto"/>
        <w:ind w:left="1170" w:hanging="450"/>
        <w:jc w:val="both"/>
        <w:rPr>
          <w:rFonts w:ascii="Arial" w:eastAsia="Calibri" w:hAnsi="Arial" w:cs="Arial"/>
          <w:b/>
          <w:bCs/>
          <w:sz w:val="24"/>
          <w:szCs w:val="24"/>
          <w:lang w:val="en-CA"/>
        </w:rPr>
      </w:pPr>
      <w:r w:rsidRPr="006F1EA3">
        <w:rPr>
          <w:rFonts w:ascii="Arial" w:eastAsia="Calibri" w:hAnsi="Arial" w:cs="Arial"/>
          <w:sz w:val="24"/>
          <w:szCs w:val="24"/>
          <w:lang w:val="en-CA"/>
        </w:rPr>
        <w:t xml:space="preserve">Detailed structural analysis highlights important structures that continue through Clean Air Metal’s TBN property through to the Sammy Ridgeline blocks. </w:t>
      </w:r>
    </w:p>
    <w:p w14:paraId="305918D7" w14:textId="1EB01092" w:rsidR="006F1EA3" w:rsidRPr="00E77F54" w:rsidRDefault="006F1EA3" w:rsidP="006F1EA3">
      <w:pPr>
        <w:widowControl w:val="0"/>
        <w:numPr>
          <w:ilvl w:val="0"/>
          <w:numId w:val="34"/>
        </w:numPr>
        <w:spacing w:after="120" w:line="276" w:lineRule="auto"/>
        <w:ind w:left="1170" w:hanging="450"/>
        <w:jc w:val="both"/>
        <w:rPr>
          <w:rFonts w:ascii="Arial" w:eastAsia="Calibri" w:hAnsi="Arial" w:cs="Arial"/>
          <w:b/>
          <w:bCs/>
          <w:sz w:val="24"/>
          <w:szCs w:val="24"/>
          <w:lang w:val="en-CA"/>
        </w:rPr>
      </w:pPr>
      <w:r w:rsidRPr="006F1EA3">
        <w:rPr>
          <w:rFonts w:ascii="Arial" w:eastAsia="Calibri" w:hAnsi="Arial" w:cs="Arial"/>
          <w:sz w:val="24"/>
          <w:szCs w:val="24"/>
          <w:lang w:val="en-CA"/>
        </w:rPr>
        <w:t xml:space="preserve">Target generation work will allow Metallica Metals to complete a more focused surface exploration program with these important structures and areas of remanent magnetism in mind. </w:t>
      </w:r>
    </w:p>
    <w:p w14:paraId="63787D8A" w14:textId="4A5FF185" w:rsidR="00E77F54" w:rsidRPr="006F1EA3" w:rsidRDefault="00E77F54" w:rsidP="00E77F54">
      <w:pPr>
        <w:widowControl w:val="0"/>
        <w:spacing w:after="120" w:line="276" w:lineRule="auto"/>
        <w:ind w:left="720"/>
        <w:jc w:val="both"/>
        <w:rPr>
          <w:rFonts w:ascii="Arial" w:eastAsia="Calibri" w:hAnsi="Arial" w:cs="Arial"/>
          <w:b/>
          <w:bCs/>
          <w:sz w:val="24"/>
          <w:szCs w:val="24"/>
          <w:lang w:val="en-CA"/>
        </w:rPr>
      </w:pPr>
      <w:r>
        <w:rPr>
          <w:rFonts w:ascii="Arial" w:eastAsia="Calibri" w:hAnsi="Arial" w:cs="Arial"/>
          <w:sz w:val="24"/>
          <w:szCs w:val="24"/>
        </w:rPr>
        <w:t>T</w:t>
      </w:r>
      <w:r w:rsidRPr="00E77F54">
        <w:rPr>
          <w:rFonts w:ascii="Arial" w:eastAsia="Calibri" w:hAnsi="Arial" w:cs="Arial"/>
          <w:sz w:val="24"/>
          <w:szCs w:val="24"/>
        </w:rPr>
        <w:t xml:space="preserve">he </w:t>
      </w:r>
      <w:r>
        <w:rPr>
          <w:rFonts w:ascii="Arial" w:eastAsia="Calibri" w:hAnsi="Arial" w:cs="Arial"/>
          <w:sz w:val="24"/>
          <w:szCs w:val="24"/>
        </w:rPr>
        <w:t>Issuer</w:t>
      </w:r>
      <w:r w:rsidRPr="00E77F54">
        <w:rPr>
          <w:rFonts w:ascii="Arial" w:eastAsia="Calibri" w:hAnsi="Arial" w:cs="Arial"/>
          <w:sz w:val="24"/>
          <w:szCs w:val="24"/>
        </w:rPr>
        <w:t xml:space="preserve"> plans to complete an initial ground-based exploration program (to include geological mapping, grab and soil sampling, trenching) during the 2022 field season.</w:t>
      </w:r>
    </w:p>
    <w:p w14:paraId="7BE46984" w14:textId="04B0F10E" w:rsidR="006F1EA3" w:rsidRDefault="006F1EA3" w:rsidP="00D37B2C">
      <w:pPr>
        <w:widowControl w:val="0"/>
        <w:spacing w:after="120" w:line="276" w:lineRule="auto"/>
        <w:ind w:left="720" w:hanging="90"/>
        <w:jc w:val="both"/>
        <w:rPr>
          <w:rFonts w:ascii="Arial" w:eastAsia="Calibri" w:hAnsi="Arial" w:cs="Arial"/>
          <w:sz w:val="24"/>
          <w:szCs w:val="24"/>
          <w:lang w:val="en-CA"/>
        </w:rPr>
      </w:pPr>
    </w:p>
    <w:p w14:paraId="131C628E" w14:textId="77777777" w:rsidR="006F1EA3" w:rsidRPr="00AC231F" w:rsidRDefault="006F1EA3" w:rsidP="00D37B2C">
      <w:pPr>
        <w:widowControl w:val="0"/>
        <w:spacing w:after="120" w:line="276" w:lineRule="auto"/>
        <w:ind w:left="720" w:hanging="90"/>
        <w:jc w:val="both"/>
        <w:rPr>
          <w:rFonts w:ascii="Arial" w:eastAsia="Calibri" w:hAnsi="Arial" w:cs="Arial"/>
          <w:sz w:val="24"/>
          <w:szCs w:val="24"/>
          <w:lang w:val="en-CA"/>
        </w:rPr>
      </w:pPr>
    </w:p>
    <w:p w14:paraId="2DE3FB4E" w14:textId="77777777" w:rsidR="00640E94" w:rsidRPr="003920EA" w:rsidRDefault="00640E94" w:rsidP="00E36D4A">
      <w:pPr>
        <w:pStyle w:val="List"/>
        <w:keepNext/>
        <w:keepLines/>
        <w:numPr>
          <w:ilvl w:val="0"/>
          <w:numId w:val="28"/>
        </w:numPr>
        <w:spacing w:before="120"/>
        <w:jc w:val="both"/>
        <w:rPr>
          <w:rFonts w:ascii="Arial" w:hAnsi="Arial"/>
          <w:b/>
          <w:bCs/>
        </w:rPr>
      </w:pPr>
      <w:r w:rsidRPr="003920EA">
        <w:rPr>
          <w:rFonts w:ascii="Arial" w:hAnsi="Arial"/>
          <w:b/>
          <w:bCs/>
        </w:rPr>
        <w:lastRenderedPageBreak/>
        <w:t>Describe and provide details of any products or services that were discontinued. For resource companies, provide details of any drilling, exploration or production programs that have been amended or abandoned.</w:t>
      </w:r>
    </w:p>
    <w:p w14:paraId="707A986A" w14:textId="73DF491B" w:rsidR="00853DAA" w:rsidRPr="00853DAA" w:rsidRDefault="00401424" w:rsidP="00853DAA">
      <w:pPr>
        <w:pStyle w:val="List"/>
        <w:keepNext/>
        <w:keepLines/>
        <w:spacing w:before="120"/>
        <w:ind w:left="720" w:firstLine="0"/>
        <w:jc w:val="both"/>
        <w:rPr>
          <w:rFonts w:ascii="Arial" w:hAnsi="Arial"/>
        </w:rPr>
      </w:pPr>
      <w:r>
        <w:rPr>
          <w:rFonts w:ascii="Arial" w:hAnsi="Arial"/>
        </w:rPr>
        <w:t xml:space="preserve">During the month of </w:t>
      </w:r>
      <w:r w:rsidR="006F1EA3">
        <w:rPr>
          <w:rFonts w:ascii="Arial" w:hAnsi="Arial"/>
        </w:rPr>
        <w:t>May</w:t>
      </w:r>
      <w:r>
        <w:rPr>
          <w:rFonts w:ascii="Arial" w:hAnsi="Arial"/>
        </w:rPr>
        <w:t xml:space="preserve"> 2022, there were n</w:t>
      </w:r>
      <w:r w:rsidR="00853DAA" w:rsidRPr="00853DAA">
        <w:rPr>
          <w:rFonts w:ascii="Arial" w:hAnsi="Arial"/>
        </w:rPr>
        <w:t xml:space="preserve">o drilling, exploration or production programs </w:t>
      </w:r>
      <w:r>
        <w:rPr>
          <w:rFonts w:ascii="Arial" w:hAnsi="Arial"/>
        </w:rPr>
        <w:t xml:space="preserve">that </w:t>
      </w:r>
      <w:r w:rsidR="00853DAA">
        <w:rPr>
          <w:rFonts w:ascii="Arial" w:hAnsi="Arial"/>
        </w:rPr>
        <w:t>were</w:t>
      </w:r>
      <w:r w:rsidR="00853DAA" w:rsidRPr="00853DAA">
        <w:rPr>
          <w:rFonts w:ascii="Arial" w:hAnsi="Arial"/>
        </w:rPr>
        <w:t xml:space="preserve"> amended or abandoned</w:t>
      </w:r>
      <w:r>
        <w:rPr>
          <w:rFonts w:ascii="Arial" w:hAnsi="Arial"/>
        </w:rPr>
        <w:t>.</w:t>
      </w:r>
      <w:r w:rsidR="00853DAA">
        <w:rPr>
          <w:rFonts w:ascii="Arial" w:hAnsi="Arial"/>
        </w:rPr>
        <w:t xml:space="preserve"> </w:t>
      </w:r>
    </w:p>
    <w:p w14:paraId="2DE3FB50" w14:textId="77777777" w:rsidR="00640E94" w:rsidRPr="003920EA" w:rsidRDefault="00640E94" w:rsidP="00677798">
      <w:pPr>
        <w:pStyle w:val="List"/>
        <w:keepNext/>
        <w:keepLines/>
        <w:numPr>
          <w:ilvl w:val="0"/>
          <w:numId w:val="28"/>
        </w:numPr>
        <w:spacing w:before="120"/>
        <w:jc w:val="both"/>
        <w:rPr>
          <w:rFonts w:ascii="Arial" w:hAnsi="Arial"/>
          <w:b/>
          <w:bCs/>
        </w:rPr>
      </w:pPr>
      <w:r w:rsidRPr="003920EA">
        <w:rPr>
          <w:rFonts w:ascii="Arial" w:hAnsi="Arial"/>
          <w:b/>
          <w:bCs/>
        </w:rPr>
        <w:t xml:space="preserve">Describe any </w:t>
      </w:r>
      <w:bookmarkStart w:id="6" w:name="_Hlk102548066"/>
      <w:r w:rsidRPr="003920EA">
        <w:rPr>
          <w:rFonts w:ascii="Arial" w:hAnsi="Arial"/>
          <w:b/>
          <w:bCs/>
        </w:rPr>
        <w:t>new business relationships entered into between the Issuer, the Issuer’s affiliates or third parties including contracts to supply products or services, joint venture agreements and licensing agreements etc</w:t>
      </w:r>
      <w:bookmarkEnd w:id="6"/>
      <w:r w:rsidRPr="003920EA">
        <w:rPr>
          <w:rFonts w:ascii="Arial" w:hAnsi="Arial"/>
          <w:b/>
          <w:bCs/>
        </w:rPr>
        <w:t>. State whether the relationship is with a Related Person of the Issuer and provide details of the relationship.</w:t>
      </w:r>
    </w:p>
    <w:p w14:paraId="0BB60B4B" w14:textId="3F001715" w:rsidR="002B2C64" w:rsidRPr="00853DAA" w:rsidRDefault="00853DAA" w:rsidP="00677798">
      <w:pPr>
        <w:pStyle w:val="List"/>
        <w:keepNext/>
        <w:keepLines/>
        <w:spacing w:before="120"/>
        <w:ind w:left="720" w:firstLine="0"/>
        <w:jc w:val="both"/>
        <w:rPr>
          <w:rFonts w:ascii="Arial" w:hAnsi="Arial"/>
        </w:rPr>
      </w:pPr>
      <w:r>
        <w:rPr>
          <w:rFonts w:ascii="Arial" w:hAnsi="Arial"/>
          <w:lang w:val="en-US"/>
        </w:rPr>
        <w:t>There w</w:t>
      </w:r>
      <w:r w:rsidR="00FA3A5E">
        <w:rPr>
          <w:rFonts w:ascii="Arial" w:hAnsi="Arial"/>
          <w:lang w:val="en-US"/>
        </w:rPr>
        <w:t>ere</w:t>
      </w:r>
      <w:r>
        <w:rPr>
          <w:rFonts w:ascii="Arial" w:hAnsi="Arial"/>
          <w:lang w:val="en-US"/>
        </w:rPr>
        <w:t xml:space="preserve"> no </w:t>
      </w:r>
      <w:r w:rsidRPr="00853DAA">
        <w:rPr>
          <w:rFonts w:ascii="Arial" w:hAnsi="Arial"/>
          <w:lang w:val="en-US"/>
        </w:rPr>
        <w:t xml:space="preserve">new business relationships entered into between the Issuer, the Issuer’s affiliates or third parties including contracts to supply products or services, joint venture agreements </w:t>
      </w:r>
      <w:r w:rsidR="00401424">
        <w:rPr>
          <w:rFonts w:ascii="Arial" w:hAnsi="Arial"/>
          <w:lang w:val="en-US"/>
        </w:rPr>
        <w:t>or</w:t>
      </w:r>
      <w:r w:rsidRPr="00853DAA">
        <w:rPr>
          <w:rFonts w:ascii="Arial" w:hAnsi="Arial"/>
          <w:lang w:val="en-US"/>
        </w:rPr>
        <w:t xml:space="preserve"> licensing agreements etc</w:t>
      </w:r>
      <w:r>
        <w:rPr>
          <w:rFonts w:ascii="Arial" w:hAnsi="Arial"/>
          <w:lang w:val="en-US"/>
        </w:rPr>
        <w:t xml:space="preserve">. during the month of </w:t>
      </w:r>
      <w:r w:rsidR="006F1EA3">
        <w:rPr>
          <w:rFonts w:ascii="Arial" w:hAnsi="Arial"/>
          <w:lang w:val="en-US"/>
        </w:rPr>
        <w:t>May</w:t>
      </w:r>
      <w:r w:rsidR="0075187A">
        <w:rPr>
          <w:rFonts w:ascii="Arial" w:hAnsi="Arial"/>
          <w:lang w:val="en-US"/>
        </w:rPr>
        <w:t xml:space="preserve"> </w:t>
      </w:r>
      <w:r>
        <w:rPr>
          <w:rFonts w:ascii="Arial" w:hAnsi="Arial"/>
          <w:lang w:val="en-US"/>
        </w:rPr>
        <w:t>2022.</w:t>
      </w:r>
    </w:p>
    <w:p w14:paraId="2DE3FB52" w14:textId="77777777" w:rsidR="00640E94" w:rsidRPr="003920EA" w:rsidRDefault="00640E94" w:rsidP="00677798">
      <w:pPr>
        <w:pStyle w:val="List"/>
        <w:keepNext/>
        <w:keepLines/>
        <w:numPr>
          <w:ilvl w:val="0"/>
          <w:numId w:val="28"/>
        </w:numPr>
        <w:spacing w:before="120"/>
        <w:jc w:val="both"/>
        <w:rPr>
          <w:rFonts w:ascii="Arial" w:hAnsi="Arial"/>
          <w:b/>
          <w:bCs/>
        </w:rPr>
      </w:pPr>
      <w:r w:rsidRPr="003920EA">
        <w:rPr>
          <w:rFonts w:ascii="Arial" w:hAnsi="Arial"/>
          <w:b/>
          <w:bCs/>
        </w:rPr>
        <w:t xml:space="preserve">Describe the </w:t>
      </w:r>
      <w:bookmarkStart w:id="7" w:name="_Hlk102548104"/>
      <w:r w:rsidRPr="003920EA">
        <w:rPr>
          <w:rFonts w:ascii="Arial" w:hAnsi="Arial"/>
          <w:b/>
          <w:bCs/>
        </w:rPr>
        <w:t>expiry or termination of any contracts or agreements between the Issuer, the Issuer’s affiliates or third parties or cancellation of any financing arrangements that have been previously announced.</w:t>
      </w:r>
    </w:p>
    <w:bookmarkEnd w:id="7"/>
    <w:p w14:paraId="2FA29CF9" w14:textId="01739828" w:rsidR="00853DAA" w:rsidRPr="00853DAA" w:rsidRDefault="00853DAA" w:rsidP="00853DAA">
      <w:pPr>
        <w:pStyle w:val="List"/>
        <w:keepNext/>
        <w:keepLines/>
        <w:spacing w:before="120"/>
        <w:ind w:left="720" w:firstLine="0"/>
        <w:jc w:val="both"/>
        <w:rPr>
          <w:rFonts w:ascii="Arial" w:hAnsi="Arial"/>
        </w:rPr>
      </w:pPr>
      <w:r>
        <w:rPr>
          <w:rFonts w:ascii="Arial" w:hAnsi="Arial"/>
        </w:rPr>
        <w:t xml:space="preserve">During the month of </w:t>
      </w:r>
      <w:r w:rsidR="006F1EA3">
        <w:rPr>
          <w:rFonts w:ascii="Arial" w:hAnsi="Arial"/>
        </w:rPr>
        <w:t>May</w:t>
      </w:r>
      <w:r>
        <w:rPr>
          <w:rFonts w:ascii="Arial" w:hAnsi="Arial"/>
        </w:rPr>
        <w:t xml:space="preserve"> 2022, there was no </w:t>
      </w:r>
      <w:r w:rsidRPr="00853DAA">
        <w:rPr>
          <w:rFonts w:ascii="Arial" w:hAnsi="Arial"/>
        </w:rPr>
        <w:t>expiry or termination of any contracts or agreements between the Issuer, the Issuer’s affiliates or third parties or cancellation of any financing arrangements that have been previously announced.</w:t>
      </w:r>
    </w:p>
    <w:p w14:paraId="2DE3FB54" w14:textId="07B6CE79" w:rsidR="00640E94" w:rsidRPr="003920EA" w:rsidRDefault="00640E94" w:rsidP="008C32B0">
      <w:pPr>
        <w:pStyle w:val="List"/>
        <w:numPr>
          <w:ilvl w:val="0"/>
          <w:numId w:val="28"/>
        </w:numPr>
        <w:spacing w:before="120"/>
        <w:jc w:val="both"/>
        <w:rPr>
          <w:rFonts w:ascii="Arial" w:hAnsi="Arial"/>
          <w:b/>
          <w:bCs/>
        </w:rPr>
      </w:pPr>
      <w:bookmarkStart w:id="8" w:name="_Hlk102548184"/>
      <w:r w:rsidRPr="003920EA">
        <w:rPr>
          <w:rFonts w:ascii="Arial" w:hAnsi="Arial"/>
          <w:b/>
          <w:bCs/>
        </w:rPr>
        <w:t xml:space="preserve">Describe any acquisitions by the Issuer or dispositions of the Issuer’s assets </w:t>
      </w:r>
      <w:bookmarkEnd w:id="8"/>
      <w:r w:rsidRPr="003920EA">
        <w:rPr>
          <w:rFonts w:ascii="Arial" w:hAnsi="Arial"/>
          <w:b/>
          <w:bCs/>
        </w:rPr>
        <w:t>that occurred during the preceding month.  Provide details of the nature of the assets acquired or disposed of and provide details of the consideration paid or payable</w:t>
      </w:r>
      <w:r w:rsidR="008C32B0" w:rsidRPr="003920EA">
        <w:rPr>
          <w:rFonts w:ascii="Arial" w:hAnsi="Arial"/>
          <w:b/>
          <w:bCs/>
        </w:rPr>
        <w:t xml:space="preserve"> </w:t>
      </w:r>
      <w:r w:rsidRPr="003920EA">
        <w:rPr>
          <w:rFonts w:ascii="Arial" w:hAnsi="Arial"/>
          <w:b/>
          <w:bCs/>
        </w:rPr>
        <w:t>together with a schedule of payments if applicable, and of any valuation. State how the consideration was determined and whether the acquisition was from or the disposition was to a Related Person of the Issuer and provide detail</w:t>
      </w:r>
      <w:r w:rsidR="00BF6EC9" w:rsidRPr="003920EA">
        <w:rPr>
          <w:rFonts w:ascii="Arial" w:hAnsi="Arial"/>
          <w:b/>
          <w:bCs/>
        </w:rPr>
        <w:t>s of the relationship.</w:t>
      </w:r>
    </w:p>
    <w:p w14:paraId="2DE3FB56" w14:textId="09B17638" w:rsidR="00640E94" w:rsidRPr="00853DAA" w:rsidRDefault="00853DAA" w:rsidP="00853DAA">
      <w:pPr>
        <w:pStyle w:val="List"/>
        <w:spacing w:before="120"/>
        <w:ind w:left="720" w:firstLine="0"/>
        <w:jc w:val="both"/>
        <w:rPr>
          <w:rFonts w:ascii="Arial" w:hAnsi="Arial"/>
        </w:rPr>
      </w:pPr>
      <w:r>
        <w:rPr>
          <w:rFonts w:ascii="Arial" w:hAnsi="Arial"/>
          <w:lang w:val="en-US"/>
        </w:rPr>
        <w:t xml:space="preserve">No </w:t>
      </w:r>
      <w:r w:rsidRPr="00853DAA">
        <w:rPr>
          <w:rFonts w:ascii="Arial" w:hAnsi="Arial"/>
          <w:lang w:val="en-US"/>
        </w:rPr>
        <w:t xml:space="preserve">acquisitions by the Issuer or dispositions of the Issuer’s assets </w:t>
      </w:r>
      <w:r>
        <w:rPr>
          <w:rFonts w:ascii="Arial" w:hAnsi="Arial"/>
          <w:lang w:val="en-US"/>
        </w:rPr>
        <w:t xml:space="preserve">occurred during the </w:t>
      </w:r>
      <w:r w:rsidR="00E77F54">
        <w:rPr>
          <w:rFonts w:ascii="Arial" w:hAnsi="Arial"/>
          <w:lang w:val="en-US"/>
        </w:rPr>
        <w:t xml:space="preserve">preceding </w:t>
      </w:r>
      <w:r>
        <w:rPr>
          <w:rFonts w:ascii="Arial" w:hAnsi="Arial"/>
          <w:lang w:val="en-US"/>
        </w:rPr>
        <w:t xml:space="preserve">month. </w:t>
      </w:r>
    </w:p>
    <w:p w14:paraId="2DE3FB58" w14:textId="18A03B3E" w:rsidR="00640E94" w:rsidRDefault="00640E94">
      <w:pPr>
        <w:pStyle w:val="List"/>
        <w:numPr>
          <w:ilvl w:val="0"/>
          <w:numId w:val="28"/>
        </w:numPr>
        <w:spacing w:before="120"/>
        <w:jc w:val="both"/>
        <w:rPr>
          <w:rFonts w:ascii="Arial" w:hAnsi="Arial"/>
          <w:b/>
          <w:bCs/>
        </w:rPr>
      </w:pPr>
      <w:r w:rsidRPr="003920EA">
        <w:rPr>
          <w:rFonts w:ascii="Arial" w:hAnsi="Arial"/>
          <w:b/>
          <w:bCs/>
        </w:rPr>
        <w:t>Describe any new developments or effects on intangible products such as brand names, circulation lists, copyrights, franchises, licenses, patents, software, subscription lists and trade-marks.</w:t>
      </w:r>
    </w:p>
    <w:p w14:paraId="3C1C2D99" w14:textId="1CC9ABCF" w:rsidR="00853DAA" w:rsidRPr="00853DAA" w:rsidRDefault="00476FE1" w:rsidP="00853DAA">
      <w:pPr>
        <w:pStyle w:val="List"/>
        <w:spacing w:before="120"/>
        <w:ind w:left="720" w:firstLine="0"/>
        <w:jc w:val="both"/>
        <w:rPr>
          <w:rFonts w:ascii="Arial" w:hAnsi="Arial"/>
        </w:rPr>
      </w:pPr>
      <w:r>
        <w:rPr>
          <w:rFonts w:ascii="Arial" w:hAnsi="Arial"/>
        </w:rPr>
        <w:t xml:space="preserve">There were no </w:t>
      </w:r>
      <w:r w:rsidR="00853DAA" w:rsidRPr="00853DAA">
        <w:rPr>
          <w:rFonts w:ascii="Arial" w:hAnsi="Arial"/>
        </w:rPr>
        <w:t>new developments or effects on intangible products such as brand names, circulation lists, copyrights, franchises, licenses, patents, software, subscription lists and trade-marks</w:t>
      </w:r>
      <w:r>
        <w:rPr>
          <w:rFonts w:ascii="Arial" w:hAnsi="Arial"/>
        </w:rPr>
        <w:t xml:space="preserve"> during the month of </w:t>
      </w:r>
      <w:r w:rsidR="006F1EA3">
        <w:rPr>
          <w:rFonts w:ascii="Arial" w:hAnsi="Arial"/>
        </w:rPr>
        <w:t>May</w:t>
      </w:r>
      <w:r w:rsidR="00FA3A5E">
        <w:rPr>
          <w:rFonts w:ascii="Arial" w:hAnsi="Arial"/>
        </w:rPr>
        <w:t xml:space="preserve"> </w:t>
      </w:r>
      <w:r>
        <w:rPr>
          <w:rFonts w:ascii="Arial" w:hAnsi="Arial"/>
        </w:rPr>
        <w:t>2022.</w:t>
      </w:r>
    </w:p>
    <w:p w14:paraId="2DE3FB5A" w14:textId="77777777" w:rsidR="00640E94" w:rsidRPr="003920EA" w:rsidRDefault="00640E94" w:rsidP="001A546A">
      <w:pPr>
        <w:pStyle w:val="List"/>
        <w:keepNext/>
        <w:keepLines/>
        <w:numPr>
          <w:ilvl w:val="0"/>
          <w:numId w:val="28"/>
        </w:numPr>
        <w:spacing w:before="120"/>
        <w:jc w:val="both"/>
        <w:rPr>
          <w:rFonts w:ascii="Arial" w:hAnsi="Arial"/>
          <w:b/>
          <w:bCs/>
        </w:rPr>
      </w:pPr>
      <w:r w:rsidRPr="003920EA">
        <w:rPr>
          <w:rFonts w:ascii="Arial" w:hAnsi="Arial"/>
          <w:b/>
          <w:bCs/>
        </w:rPr>
        <w:t xml:space="preserve">Report on </w:t>
      </w:r>
      <w:bookmarkStart w:id="9" w:name="_Hlk102548835"/>
      <w:r w:rsidRPr="003920EA">
        <w:rPr>
          <w:rFonts w:ascii="Arial" w:hAnsi="Arial"/>
          <w:b/>
          <w:bCs/>
        </w:rPr>
        <w:t xml:space="preserve">any </w:t>
      </w:r>
      <w:bookmarkStart w:id="10" w:name="_Hlk102548301"/>
      <w:r w:rsidRPr="003920EA">
        <w:rPr>
          <w:rFonts w:ascii="Arial" w:hAnsi="Arial"/>
          <w:b/>
          <w:bCs/>
        </w:rPr>
        <w:t>employee hirings, terminations or lay-offs with details of anticipated length of lay-offs</w:t>
      </w:r>
      <w:bookmarkEnd w:id="10"/>
      <w:r w:rsidRPr="003920EA">
        <w:rPr>
          <w:rFonts w:ascii="Arial" w:hAnsi="Arial"/>
          <w:b/>
          <w:bCs/>
        </w:rPr>
        <w:t>.</w:t>
      </w:r>
    </w:p>
    <w:bookmarkEnd w:id="9"/>
    <w:p w14:paraId="46963B80" w14:textId="0E7DE504" w:rsidR="00FA3A5E" w:rsidRPr="00FA3A5E" w:rsidRDefault="00FA3A5E" w:rsidP="00FA3A5E">
      <w:pPr>
        <w:pStyle w:val="List"/>
        <w:keepNext/>
        <w:keepLines/>
        <w:spacing w:before="120"/>
        <w:ind w:left="720" w:firstLine="0"/>
        <w:jc w:val="both"/>
        <w:rPr>
          <w:rFonts w:ascii="Arial" w:hAnsi="Arial"/>
        </w:rPr>
      </w:pPr>
      <w:r>
        <w:rPr>
          <w:rFonts w:ascii="Arial" w:hAnsi="Arial"/>
        </w:rPr>
        <w:t xml:space="preserve">There were no </w:t>
      </w:r>
      <w:r w:rsidRPr="00FA3A5E">
        <w:rPr>
          <w:rFonts w:ascii="Arial" w:hAnsi="Arial"/>
        </w:rPr>
        <w:t xml:space="preserve">employee hirings, terminations or lay-offs </w:t>
      </w:r>
      <w:r w:rsidR="0011717F">
        <w:rPr>
          <w:rFonts w:ascii="Arial" w:hAnsi="Arial"/>
        </w:rPr>
        <w:t xml:space="preserve">to report on </w:t>
      </w:r>
      <w:r>
        <w:rPr>
          <w:rFonts w:ascii="Arial" w:hAnsi="Arial"/>
        </w:rPr>
        <w:t xml:space="preserve">during the month of </w:t>
      </w:r>
      <w:r w:rsidR="006F1EA3">
        <w:rPr>
          <w:rFonts w:ascii="Arial" w:hAnsi="Arial"/>
        </w:rPr>
        <w:t>May</w:t>
      </w:r>
      <w:r>
        <w:rPr>
          <w:rFonts w:ascii="Arial" w:hAnsi="Arial"/>
        </w:rPr>
        <w:t xml:space="preserve"> 2022.</w:t>
      </w:r>
    </w:p>
    <w:p w14:paraId="2DE3FB5C" w14:textId="77777777" w:rsidR="00640E94" w:rsidRPr="003920EA" w:rsidRDefault="00640E94">
      <w:pPr>
        <w:pStyle w:val="List"/>
        <w:numPr>
          <w:ilvl w:val="0"/>
          <w:numId w:val="28"/>
        </w:numPr>
        <w:spacing w:before="120"/>
        <w:jc w:val="both"/>
        <w:rPr>
          <w:rFonts w:ascii="Arial" w:hAnsi="Arial"/>
          <w:b/>
          <w:bCs/>
        </w:rPr>
      </w:pPr>
      <w:r w:rsidRPr="003920EA">
        <w:rPr>
          <w:rFonts w:ascii="Arial" w:hAnsi="Arial"/>
          <w:b/>
          <w:bCs/>
        </w:rPr>
        <w:t>Report on any labour disputes and resolutions of those disputes if applicable.</w:t>
      </w:r>
    </w:p>
    <w:p w14:paraId="2DE3FB5D" w14:textId="185ECC4E" w:rsidR="00BF6EC9" w:rsidRPr="0011717F" w:rsidRDefault="00FA3A5E" w:rsidP="00BF6EC9">
      <w:pPr>
        <w:pStyle w:val="List"/>
        <w:spacing w:before="120"/>
        <w:ind w:left="720" w:firstLine="0"/>
        <w:jc w:val="both"/>
        <w:rPr>
          <w:rFonts w:ascii="Arial" w:hAnsi="Arial"/>
        </w:rPr>
      </w:pPr>
      <w:r>
        <w:rPr>
          <w:rFonts w:ascii="Arial" w:hAnsi="Arial"/>
        </w:rPr>
        <w:t>There were no</w:t>
      </w:r>
      <w:r w:rsidR="0011717F" w:rsidRPr="0011717F">
        <w:rPr>
          <w:rFonts w:ascii="Arial" w:hAnsi="Arial"/>
          <w:b/>
          <w:bCs/>
        </w:rPr>
        <w:t xml:space="preserve"> </w:t>
      </w:r>
      <w:r w:rsidR="0011717F" w:rsidRPr="0011717F">
        <w:rPr>
          <w:rFonts w:ascii="Arial" w:hAnsi="Arial"/>
        </w:rPr>
        <w:t>labour disputes</w:t>
      </w:r>
      <w:r w:rsidR="0011717F">
        <w:rPr>
          <w:rFonts w:ascii="Arial" w:hAnsi="Arial"/>
        </w:rPr>
        <w:t xml:space="preserve"> to report on during the month of </w:t>
      </w:r>
      <w:r w:rsidR="006F1EA3">
        <w:rPr>
          <w:rFonts w:ascii="Arial" w:hAnsi="Arial"/>
        </w:rPr>
        <w:t>May</w:t>
      </w:r>
      <w:r w:rsidR="0011717F">
        <w:rPr>
          <w:rFonts w:ascii="Arial" w:hAnsi="Arial"/>
        </w:rPr>
        <w:t xml:space="preserve"> 2022.</w:t>
      </w:r>
    </w:p>
    <w:p w14:paraId="2DE3FB5E" w14:textId="77777777" w:rsidR="00640E94" w:rsidRPr="003920EA" w:rsidRDefault="00640E94">
      <w:pPr>
        <w:pStyle w:val="List"/>
        <w:numPr>
          <w:ilvl w:val="0"/>
          <w:numId w:val="28"/>
        </w:numPr>
        <w:spacing w:before="120"/>
        <w:jc w:val="both"/>
        <w:rPr>
          <w:rFonts w:ascii="Arial" w:hAnsi="Arial"/>
          <w:b/>
          <w:bCs/>
        </w:rPr>
      </w:pPr>
      <w:r w:rsidRPr="003920EA">
        <w:rPr>
          <w:rFonts w:ascii="Arial" w:hAnsi="Arial"/>
          <w:b/>
          <w:bCs/>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DE3FB5F" w14:textId="66DAC82D" w:rsidR="00BF6EC9" w:rsidRPr="00476FE1" w:rsidRDefault="0011717F" w:rsidP="00BF6EC9">
      <w:pPr>
        <w:pStyle w:val="List"/>
        <w:spacing w:before="120"/>
        <w:ind w:left="720" w:firstLine="0"/>
        <w:jc w:val="both"/>
        <w:rPr>
          <w:rFonts w:ascii="Arial" w:hAnsi="Arial"/>
        </w:rPr>
      </w:pPr>
      <w:r>
        <w:rPr>
          <w:rFonts w:ascii="Arial" w:hAnsi="Arial"/>
        </w:rPr>
        <w:t xml:space="preserve">There were no legal proceedings during the month of </w:t>
      </w:r>
      <w:r w:rsidR="006F1EA3">
        <w:rPr>
          <w:rFonts w:ascii="Arial" w:hAnsi="Arial"/>
        </w:rPr>
        <w:t>May</w:t>
      </w:r>
      <w:r>
        <w:rPr>
          <w:rFonts w:ascii="Arial" w:hAnsi="Arial"/>
        </w:rPr>
        <w:t xml:space="preserve"> 2022.</w:t>
      </w:r>
    </w:p>
    <w:p w14:paraId="2DE3FB60" w14:textId="77777777" w:rsidR="00640E94" w:rsidRPr="003920EA" w:rsidRDefault="00640E94">
      <w:pPr>
        <w:pStyle w:val="List"/>
        <w:numPr>
          <w:ilvl w:val="0"/>
          <w:numId w:val="28"/>
        </w:numPr>
        <w:spacing w:before="120"/>
        <w:jc w:val="both"/>
        <w:rPr>
          <w:rFonts w:ascii="Arial" w:hAnsi="Arial"/>
          <w:b/>
          <w:bCs/>
        </w:rPr>
      </w:pPr>
      <w:r w:rsidRPr="003920EA">
        <w:rPr>
          <w:rFonts w:ascii="Arial" w:hAnsi="Arial"/>
          <w:b/>
          <w:bCs/>
        </w:rPr>
        <w:t>Provide details of any indebtedness incurred or repaid by the Issuer together with the terms of such indebtedness.</w:t>
      </w:r>
    </w:p>
    <w:p w14:paraId="2DE3FB61" w14:textId="5EFC8060" w:rsidR="00BF6EC9" w:rsidRPr="00476FE1" w:rsidRDefault="0011717F" w:rsidP="00BF6EC9">
      <w:pPr>
        <w:pStyle w:val="List"/>
        <w:spacing w:before="120"/>
        <w:ind w:left="720" w:firstLine="0"/>
        <w:jc w:val="both"/>
        <w:rPr>
          <w:rFonts w:ascii="Arial" w:hAnsi="Arial"/>
        </w:rPr>
      </w:pPr>
      <w:r>
        <w:rPr>
          <w:rFonts w:ascii="Arial" w:hAnsi="Arial"/>
        </w:rPr>
        <w:t xml:space="preserve">There was no indebtedness that occurred or was repaid during the month of </w:t>
      </w:r>
      <w:r w:rsidR="006F1EA3">
        <w:rPr>
          <w:rFonts w:ascii="Arial" w:hAnsi="Arial"/>
        </w:rPr>
        <w:t>May</w:t>
      </w:r>
      <w:r>
        <w:rPr>
          <w:rFonts w:ascii="Arial" w:hAnsi="Arial"/>
        </w:rPr>
        <w:t xml:space="preserve"> 2022.</w:t>
      </w:r>
    </w:p>
    <w:p w14:paraId="2DE3FB62" w14:textId="76C2C202" w:rsidR="00640E94" w:rsidRDefault="00640E94" w:rsidP="00677798">
      <w:pPr>
        <w:pStyle w:val="List"/>
        <w:keepNext/>
        <w:keepLines/>
        <w:numPr>
          <w:ilvl w:val="0"/>
          <w:numId w:val="28"/>
        </w:numPr>
        <w:spacing w:before="120" w:after="120"/>
        <w:jc w:val="both"/>
        <w:rPr>
          <w:rFonts w:ascii="Arial" w:hAnsi="Arial"/>
          <w:b/>
          <w:bCs/>
        </w:rPr>
      </w:pPr>
      <w:r w:rsidRPr="003920EA">
        <w:rPr>
          <w:rFonts w:ascii="Arial" w:hAnsi="Arial"/>
          <w:b/>
          <w:bCs/>
        </w:rPr>
        <w:t>Provide details of any securities issued and options or warrants granted.</w:t>
      </w:r>
    </w:p>
    <w:p w14:paraId="2899B758" w14:textId="00F164E9" w:rsidR="0011717F" w:rsidRPr="0011717F" w:rsidRDefault="0011717F" w:rsidP="0011717F">
      <w:pPr>
        <w:pStyle w:val="List"/>
        <w:keepNext/>
        <w:keepLines/>
        <w:spacing w:before="120" w:after="120"/>
        <w:ind w:left="720" w:firstLine="0"/>
        <w:jc w:val="both"/>
        <w:rPr>
          <w:rFonts w:ascii="Arial" w:hAnsi="Arial"/>
        </w:rPr>
      </w:pPr>
      <w:r w:rsidRPr="0011717F">
        <w:rPr>
          <w:rFonts w:ascii="Arial" w:hAnsi="Arial"/>
        </w:rPr>
        <w:t xml:space="preserve">There were no securities issued or options and warrants granted during the month of </w:t>
      </w:r>
      <w:r w:rsidR="006F1EA3">
        <w:rPr>
          <w:rFonts w:ascii="Arial" w:hAnsi="Arial"/>
        </w:rPr>
        <w:t>May</w:t>
      </w:r>
      <w:r w:rsidRPr="0011717F">
        <w:rPr>
          <w:rFonts w:ascii="Arial" w:hAnsi="Arial"/>
        </w:rPr>
        <w:t xml:space="preserve"> 2022.</w:t>
      </w:r>
    </w:p>
    <w:p w14:paraId="2DE3FB6F" w14:textId="77777777" w:rsidR="00640E94" w:rsidRPr="003920EA" w:rsidRDefault="00640E94" w:rsidP="00034D84">
      <w:pPr>
        <w:pStyle w:val="List"/>
        <w:numPr>
          <w:ilvl w:val="0"/>
          <w:numId w:val="28"/>
        </w:numPr>
        <w:spacing w:before="120"/>
        <w:jc w:val="both"/>
        <w:rPr>
          <w:rFonts w:ascii="Arial" w:hAnsi="Arial"/>
          <w:b/>
          <w:bCs/>
        </w:rPr>
      </w:pPr>
      <w:r w:rsidRPr="003920EA">
        <w:rPr>
          <w:rFonts w:ascii="Arial" w:hAnsi="Arial"/>
          <w:b/>
          <w:bCs/>
        </w:rPr>
        <w:t>Provide details of any loans to or by Related Persons.</w:t>
      </w:r>
    </w:p>
    <w:p w14:paraId="2DE3FB70" w14:textId="1D781D93" w:rsidR="00BF6EC9" w:rsidRDefault="0011717F" w:rsidP="00034D84">
      <w:pPr>
        <w:pStyle w:val="List"/>
        <w:spacing w:before="120"/>
        <w:ind w:left="720" w:firstLine="0"/>
        <w:jc w:val="both"/>
        <w:rPr>
          <w:rFonts w:ascii="Arial" w:hAnsi="Arial"/>
        </w:rPr>
      </w:pPr>
      <w:r>
        <w:rPr>
          <w:rFonts w:ascii="Arial" w:hAnsi="Arial"/>
        </w:rPr>
        <w:t xml:space="preserve">There were no loans to or by Related Persons during the month of </w:t>
      </w:r>
      <w:r w:rsidR="006F1EA3">
        <w:rPr>
          <w:rFonts w:ascii="Arial" w:hAnsi="Arial"/>
        </w:rPr>
        <w:t>May</w:t>
      </w:r>
      <w:r>
        <w:rPr>
          <w:rFonts w:ascii="Arial" w:hAnsi="Arial"/>
        </w:rPr>
        <w:t xml:space="preserve"> 2022.</w:t>
      </w:r>
    </w:p>
    <w:p w14:paraId="2DE3FB71" w14:textId="06B5678B" w:rsidR="00640E94" w:rsidRPr="003920EA" w:rsidRDefault="00640E94" w:rsidP="00034D84">
      <w:pPr>
        <w:pStyle w:val="List"/>
        <w:numPr>
          <w:ilvl w:val="0"/>
          <w:numId w:val="28"/>
        </w:numPr>
        <w:spacing w:before="120"/>
        <w:jc w:val="both"/>
        <w:rPr>
          <w:rFonts w:ascii="Arial" w:hAnsi="Arial"/>
          <w:b/>
          <w:bCs/>
        </w:rPr>
      </w:pPr>
      <w:r w:rsidRPr="003920EA">
        <w:rPr>
          <w:rFonts w:ascii="Arial" w:hAnsi="Arial"/>
          <w:b/>
          <w:bCs/>
        </w:rPr>
        <w:t>Provide details of any changes in directors, officers or committee members.</w:t>
      </w:r>
    </w:p>
    <w:p w14:paraId="7851F2BE" w14:textId="14F71FB2" w:rsidR="00ED1DB5" w:rsidRDefault="0011717F" w:rsidP="0011717F">
      <w:pPr>
        <w:pStyle w:val="List"/>
        <w:spacing w:before="120"/>
        <w:ind w:left="720" w:firstLine="0"/>
        <w:jc w:val="both"/>
        <w:rPr>
          <w:rFonts w:ascii="Arial" w:hAnsi="Arial"/>
        </w:rPr>
      </w:pPr>
      <w:r>
        <w:rPr>
          <w:rFonts w:ascii="Arial" w:hAnsi="Arial"/>
        </w:rPr>
        <w:t xml:space="preserve">There were no changes in directors, officers or committee members during the month of </w:t>
      </w:r>
      <w:r w:rsidR="006F1EA3">
        <w:rPr>
          <w:rFonts w:ascii="Arial" w:hAnsi="Arial"/>
        </w:rPr>
        <w:t>May</w:t>
      </w:r>
      <w:r>
        <w:rPr>
          <w:rFonts w:ascii="Arial" w:hAnsi="Arial"/>
        </w:rPr>
        <w:t xml:space="preserve"> 2022.</w:t>
      </w:r>
    </w:p>
    <w:p w14:paraId="3C6B29BF" w14:textId="58739A4B" w:rsidR="003314DB" w:rsidRDefault="003314DB" w:rsidP="0011717F">
      <w:pPr>
        <w:pStyle w:val="List"/>
        <w:spacing w:before="120"/>
        <w:ind w:left="720" w:firstLine="0"/>
        <w:jc w:val="both"/>
        <w:rPr>
          <w:rFonts w:ascii="Arial" w:hAnsi="Arial"/>
        </w:rPr>
      </w:pPr>
      <w:r>
        <w:rPr>
          <w:rFonts w:ascii="Arial" w:hAnsi="Arial"/>
        </w:rPr>
        <w:t xml:space="preserve">The following are the directors and officers of the Issuer at </w:t>
      </w:r>
      <w:r w:rsidR="006F1EA3">
        <w:rPr>
          <w:rFonts w:ascii="Arial" w:hAnsi="Arial"/>
        </w:rPr>
        <w:t>May</w:t>
      </w:r>
      <w:r>
        <w:rPr>
          <w:rFonts w:ascii="Arial" w:hAnsi="Arial"/>
        </w:rPr>
        <w:t xml:space="preserve"> 30, 2022:</w:t>
      </w:r>
    </w:p>
    <w:p w14:paraId="40B0DF66" w14:textId="72234BF9" w:rsidR="003314DB" w:rsidRDefault="003314DB" w:rsidP="00E77F54">
      <w:pPr>
        <w:pStyle w:val="List"/>
        <w:spacing w:before="0"/>
        <w:ind w:left="720" w:firstLine="0"/>
        <w:jc w:val="both"/>
        <w:rPr>
          <w:rFonts w:ascii="Arial" w:hAnsi="Arial"/>
        </w:rPr>
      </w:pPr>
      <w:r>
        <w:rPr>
          <w:rFonts w:ascii="Arial" w:hAnsi="Arial"/>
        </w:rPr>
        <w:t>Aaron Stone, CEO</w:t>
      </w:r>
      <w:r w:rsidR="00401424">
        <w:rPr>
          <w:rFonts w:ascii="Arial" w:hAnsi="Arial"/>
        </w:rPr>
        <w:t xml:space="preserve"> </w:t>
      </w:r>
    </w:p>
    <w:p w14:paraId="5B65E71A" w14:textId="3AF0C92F" w:rsidR="003314DB" w:rsidRDefault="003314DB" w:rsidP="00E77F54">
      <w:pPr>
        <w:pStyle w:val="List"/>
        <w:spacing w:before="0"/>
        <w:ind w:left="720" w:firstLine="0"/>
        <w:jc w:val="both"/>
        <w:rPr>
          <w:rFonts w:ascii="Arial" w:hAnsi="Arial"/>
        </w:rPr>
      </w:pPr>
      <w:r>
        <w:rPr>
          <w:rFonts w:ascii="Arial" w:hAnsi="Arial"/>
        </w:rPr>
        <w:t>Paul Teniere, Director and President</w:t>
      </w:r>
    </w:p>
    <w:p w14:paraId="4262DDB3" w14:textId="12E0C93B" w:rsidR="003314DB" w:rsidRDefault="003314DB" w:rsidP="00E77F54">
      <w:pPr>
        <w:pStyle w:val="List"/>
        <w:spacing w:before="0"/>
        <w:ind w:left="720" w:firstLine="0"/>
        <w:jc w:val="both"/>
        <w:rPr>
          <w:rFonts w:ascii="Arial" w:hAnsi="Arial"/>
        </w:rPr>
      </w:pPr>
      <w:r>
        <w:rPr>
          <w:rFonts w:ascii="Arial" w:hAnsi="Arial"/>
        </w:rPr>
        <w:t>Peter Nguyen, Director and CFO</w:t>
      </w:r>
    </w:p>
    <w:p w14:paraId="54948AD0" w14:textId="78F9EE1A" w:rsidR="003314DB" w:rsidRDefault="003314DB" w:rsidP="00E77F54">
      <w:pPr>
        <w:pStyle w:val="List"/>
        <w:spacing w:before="0"/>
        <w:ind w:left="720" w:firstLine="0"/>
        <w:jc w:val="both"/>
        <w:rPr>
          <w:rFonts w:ascii="Arial" w:hAnsi="Arial"/>
        </w:rPr>
      </w:pPr>
      <w:r>
        <w:rPr>
          <w:rFonts w:ascii="Arial" w:hAnsi="Arial"/>
        </w:rPr>
        <w:t>Sandy Noyes, Director</w:t>
      </w:r>
    </w:p>
    <w:p w14:paraId="2730464B" w14:textId="2197FF28" w:rsidR="003314DB" w:rsidRDefault="003314DB" w:rsidP="00E77F54">
      <w:pPr>
        <w:pStyle w:val="List"/>
        <w:spacing w:before="0"/>
        <w:ind w:left="720" w:firstLine="0"/>
        <w:jc w:val="both"/>
        <w:rPr>
          <w:rFonts w:ascii="Arial" w:hAnsi="Arial"/>
        </w:rPr>
      </w:pPr>
      <w:r>
        <w:rPr>
          <w:rFonts w:ascii="Arial" w:hAnsi="Arial"/>
        </w:rPr>
        <w:t>Trumbull Fisher, Director</w:t>
      </w:r>
    </w:p>
    <w:p w14:paraId="2DE3FB74" w14:textId="541EEF3B" w:rsidR="00640E94" w:rsidRPr="003920EA" w:rsidRDefault="00640E94" w:rsidP="009E099A">
      <w:pPr>
        <w:pStyle w:val="List"/>
        <w:numPr>
          <w:ilvl w:val="0"/>
          <w:numId w:val="28"/>
        </w:numPr>
        <w:spacing w:before="120"/>
        <w:jc w:val="both"/>
        <w:rPr>
          <w:rFonts w:ascii="Arial" w:hAnsi="Arial"/>
          <w:b/>
          <w:bCs/>
        </w:rPr>
      </w:pPr>
      <w:r w:rsidRPr="003920EA">
        <w:rPr>
          <w:rFonts w:ascii="Arial" w:hAnsi="Arial"/>
          <w:b/>
          <w:bCs/>
        </w:rPr>
        <w:t>Discuss any trends which are likely to impact the Issuer including trends in the Issuer’s market(s) or political/regulatory trends.</w:t>
      </w:r>
    </w:p>
    <w:p w14:paraId="2DE3FB75" w14:textId="4C7B07A1" w:rsidR="00BF6EC9" w:rsidRPr="00476FE1" w:rsidRDefault="00BF6EC9" w:rsidP="00D767AD">
      <w:pPr>
        <w:pStyle w:val="List"/>
        <w:spacing w:before="120"/>
        <w:ind w:left="720" w:firstLine="0"/>
        <w:jc w:val="both"/>
        <w:rPr>
          <w:rFonts w:ascii="Arial" w:hAnsi="Arial"/>
        </w:rPr>
      </w:pPr>
      <w:r w:rsidRPr="00476FE1">
        <w:rPr>
          <w:rFonts w:ascii="Arial" w:hAnsi="Arial"/>
        </w:rPr>
        <w:t xml:space="preserve">The trends and risks which are likely to impact the Issuer are detailed in the Issuer’s Management Discussion and Analysis for the </w:t>
      </w:r>
      <w:r w:rsidR="00DE649E" w:rsidRPr="00476FE1">
        <w:rPr>
          <w:rFonts w:ascii="Arial" w:hAnsi="Arial"/>
        </w:rPr>
        <w:t>financial period</w:t>
      </w:r>
      <w:r w:rsidRPr="00476FE1">
        <w:rPr>
          <w:rFonts w:ascii="Arial" w:hAnsi="Arial"/>
        </w:rPr>
        <w:t xml:space="preserve"> ended </w:t>
      </w:r>
      <w:r w:rsidR="000F284B" w:rsidRPr="00476FE1">
        <w:rPr>
          <w:rFonts w:ascii="Arial" w:hAnsi="Arial"/>
        </w:rPr>
        <w:t>January</w:t>
      </w:r>
      <w:r w:rsidR="00D767AD" w:rsidRPr="00476FE1">
        <w:rPr>
          <w:rFonts w:ascii="Arial" w:hAnsi="Arial"/>
        </w:rPr>
        <w:t xml:space="preserve"> 31, 202</w:t>
      </w:r>
      <w:r w:rsidR="000F284B" w:rsidRPr="00476FE1">
        <w:rPr>
          <w:rFonts w:ascii="Arial" w:hAnsi="Arial"/>
        </w:rPr>
        <w:t>2</w:t>
      </w:r>
      <w:r w:rsidRPr="00476FE1">
        <w:rPr>
          <w:rFonts w:ascii="Arial" w:hAnsi="Arial"/>
        </w:rPr>
        <w:t xml:space="preserve"> dated as of </w:t>
      </w:r>
      <w:r w:rsidR="00E77F54">
        <w:rPr>
          <w:rFonts w:ascii="Arial" w:hAnsi="Arial"/>
        </w:rPr>
        <w:t>March</w:t>
      </w:r>
      <w:r w:rsidR="00E86F9E" w:rsidRPr="00476FE1">
        <w:rPr>
          <w:rFonts w:ascii="Arial" w:hAnsi="Arial"/>
        </w:rPr>
        <w:t xml:space="preserve"> 25, 2022</w:t>
      </w:r>
      <w:r w:rsidRPr="00476FE1">
        <w:rPr>
          <w:rFonts w:ascii="Arial" w:hAnsi="Arial"/>
        </w:rPr>
        <w:t xml:space="preserve"> (the “MD&amp;A”) under the headings “Financial Instruments”, “Risks” and “Risks and Uncertainties”. The MD&amp;A is available on the Issuer’s SEDAR profile at www.sedar.com and on the Issuer’s disclosure hall with the CSE at www.thecse.com.</w:t>
      </w:r>
    </w:p>
    <w:p w14:paraId="2DE3FB76" w14:textId="77777777" w:rsidR="00BF6EC9" w:rsidRPr="00476FE1" w:rsidRDefault="00BF6EC9" w:rsidP="009E099A">
      <w:pPr>
        <w:pStyle w:val="List"/>
        <w:spacing w:before="120"/>
        <w:ind w:left="720" w:firstLine="0"/>
        <w:jc w:val="both"/>
        <w:rPr>
          <w:rFonts w:ascii="Arial" w:hAnsi="Arial"/>
        </w:rPr>
      </w:pPr>
      <w:r w:rsidRPr="00476FE1">
        <w:rPr>
          <w:rFonts w:ascii="Arial" w:hAnsi="Arial"/>
        </w:rPr>
        <w:t>Additional trends that are likely to impact the Issuer include:</w:t>
      </w:r>
    </w:p>
    <w:p w14:paraId="2DE3FB77" w14:textId="193495E8" w:rsidR="00BF6EC9" w:rsidRPr="00476FE1" w:rsidRDefault="00BF6EC9" w:rsidP="009E099A">
      <w:pPr>
        <w:pStyle w:val="List"/>
        <w:keepNext/>
        <w:keepLines/>
        <w:spacing w:before="120"/>
        <w:ind w:left="720" w:firstLine="0"/>
        <w:jc w:val="both"/>
        <w:rPr>
          <w:rFonts w:ascii="Arial" w:hAnsi="Arial"/>
          <w:b/>
          <w:bCs/>
        </w:rPr>
      </w:pPr>
      <w:r w:rsidRPr="00476FE1">
        <w:rPr>
          <w:rFonts w:ascii="Arial" w:hAnsi="Arial"/>
          <w:b/>
          <w:bCs/>
        </w:rPr>
        <w:lastRenderedPageBreak/>
        <w:t>COVID-19</w:t>
      </w:r>
    </w:p>
    <w:p w14:paraId="2DE3FB78" w14:textId="72779DAD" w:rsidR="00BF6EC9" w:rsidRPr="00476FE1" w:rsidRDefault="00BF6EC9" w:rsidP="009E099A">
      <w:pPr>
        <w:pStyle w:val="List"/>
        <w:keepNext/>
        <w:keepLines/>
        <w:spacing w:before="120"/>
        <w:ind w:left="720" w:firstLine="0"/>
        <w:jc w:val="both"/>
        <w:rPr>
          <w:rFonts w:ascii="Arial" w:hAnsi="Arial"/>
        </w:rPr>
      </w:pPr>
      <w:r w:rsidRPr="00476FE1">
        <w:rPr>
          <w:rFonts w:ascii="Arial" w:hAnsi="Arial"/>
        </w:rPr>
        <w:t xml:space="preserve">The outbreak of the coronavirus (“COVID-19”) pandemic has impacted the Issuer’s plans and activities. The Issuer may face disruption to operations, supply chain delays, travel and trade restrictions and impact on economic activity in affected countries or regions can be expected and can be difficult to quantify. Such pandemics or diseases represent a serious threat to maintaining a skilled workforce industry and could be a major health-care challenge for the Issuer. There can be no assurance that the Issuer’s personnel will not be impacted by these pandemic diseases and ultimately that the Issuer would see its workforce productivity reduced or incur increased medical costs/insurance premiums as a result of these health risks. In addition, the COVID-19 pandemic has created a dramatic slowdown in the global economy. The duration of the COVID-19 </w:t>
      </w:r>
      <w:proofErr w:type="gramStart"/>
      <w:r w:rsidRPr="00476FE1">
        <w:rPr>
          <w:rFonts w:ascii="Arial" w:hAnsi="Arial"/>
        </w:rPr>
        <w:t>outbreak</w:t>
      </w:r>
      <w:proofErr w:type="gramEnd"/>
      <w:r w:rsidRPr="00476FE1">
        <w:rPr>
          <w:rFonts w:ascii="Arial" w:hAnsi="Arial"/>
        </w:rPr>
        <w:t xml:space="preserve"> and the resultant travel restrictions, social distancing, Government response actions, business closures and business disruptions, can all have an impact on the Issuer’s operations and access to capital. There can be no assurance that the Issuer will not be impacted by adverse consequences that </w:t>
      </w:r>
      <w:r w:rsidR="007B177F" w:rsidRPr="00476FE1">
        <w:rPr>
          <w:rFonts w:ascii="Arial" w:hAnsi="Arial"/>
        </w:rPr>
        <w:t>may</w:t>
      </w:r>
      <w:r w:rsidRPr="00476FE1">
        <w:rPr>
          <w:rFonts w:ascii="Arial" w:hAnsi="Arial"/>
        </w:rPr>
        <w:t xml:space="preserve"> be brought about by the COVID-19 pandemic on global financial markets </w:t>
      </w:r>
      <w:r w:rsidR="007B177F" w:rsidRPr="00476FE1">
        <w:rPr>
          <w:rFonts w:ascii="Arial" w:hAnsi="Arial"/>
        </w:rPr>
        <w:t>may</w:t>
      </w:r>
      <w:r w:rsidRPr="00476FE1">
        <w:rPr>
          <w:rFonts w:ascii="Arial" w:hAnsi="Arial"/>
        </w:rPr>
        <w:t xml:space="preserve"> reduce resource prices, share prices and financial liquidity and thereby that </w:t>
      </w:r>
      <w:r w:rsidR="007B177F" w:rsidRPr="00476FE1">
        <w:rPr>
          <w:rFonts w:ascii="Arial" w:hAnsi="Arial"/>
        </w:rPr>
        <w:t>may</w:t>
      </w:r>
      <w:r w:rsidRPr="00476FE1">
        <w:rPr>
          <w:rFonts w:ascii="Arial" w:hAnsi="Arial"/>
        </w:rPr>
        <w:t xml:space="preserve"> severely limit the financing capital available.</w:t>
      </w:r>
    </w:p>
    <w:p w14:paraId="2DE3FB79" w14:textId="67586254" w:rsidR="00640E94" w:rsidRDefault="00640E94" w:rsidP="00553F37">
      <w:pPr>
        <w:pStyle w:val="List"/>
        <w:keepNext/>
        <w:spacing w:before="120"/>
        <w:ind w:left="0" w:firstLine="0"/>
        <w:jc w:val="center"/>
        <w:rPr>
          <w:rFonts w:ascii="Arial" w:hAnsi="Arial"/>
          <w:b/>
        </w:rPr>
      </w:pPr>
      <w:r w:rsidRPr="00476FE1">
        <w:rPr>
          <w:rFonts w:ascii="Arial" w:hAnsi="Arial"/>
          <w:b/>
        </w:rPr>
        <w:br w:type="page"/>
      </w:r>
      <w:r>
        <w:rPr>
          <w:rFonts w:ascii="Arial" w:hAnsi="Arial"/>
          <w:b/>
        </w:rPr>
        <w:lastRenderedPageBreak/>
        <w:t xml:space="preserve">Certificate </w:t>
      </w:r>
      <w:r w:rsidR="00553F37">
        <w:rPr>
          <w:rFonts w:ascii="Arial" w:hAnsi="Arial"/>
          <w:b/>
        </w:rPr>
        <w:t>o</w:t>
      </w:r>
      <w:r>
        <w:rPr>
          <w:rFonts w:ascii="Arial" w:hAnsi="Arial"/>
          <w:b/>
        </w:rPr>
        <w:t>f Compliance</w:t>
      </w:r>
    </w:p>
    <w:p w14:paraId="2DE3FB7A" w14:textId="77777777" w:rsidR="00640E94" w:rsidRDefault="00640E94">
      <w:pPr>
        <w:pStyle w:val="BodyText"/>
        <w:keepNext/>
        <w:rPr>
          <w:rFonts w:ascii="Arial" w:hAnsi="Arial"/>
        </w:rPr>
      </w:pPr>
      <w:r>
        <w:rPr>
          <w:rFonts w:ascii="Arial" w:hAnsi="Arial"/>
        </w:rPr>
        <w:t>The undersigned hereby certifies that:</w:t>
      </w:r>
    </w:p>
    <w:p w14:paraId="2DE3FB7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DE3FB7C" w14:textId="02268CA5"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2DE3FB7D"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E3FB7E"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DE3FB7F" w14:textId="7BF56A7C" w:rsidR="00640E94" w:rsidRDefault="00640E94">
      <w:pPr>
        <w:pStyle w:val="BodyText"/>
        <w:tabs>
          <w:tab w:val="left" w:pos="4680"/>
          <w:tab w:val="left" w:pos="7200"/>
        </w:tabs>
        <w:spacing w:before="480"/>
        <w:jc w:val="both"/>
        <w:rPr>
          <w:rFonts w:ascii="Arial" w:hAnsi="Arial"/>
        </w:rPr>
      </w:pPr>
      <w:r w:rsidRPr="00F51E68">
        <w:rPr>
          <w:rFonts w:ascii="Arial" w:hAnsi="Arial"/>
        </w:rPr>
        <w:t xml:space="preserve">Dated </w:t>
      </w:r>
      <w:r w:rsidR="00E77F54">
        <w:rPr>
          <w:rFonts w:ascii="Arial" w:hAnsi="Arial"/>
          <w:u w:val="single"/>
        </w:rPr>
        <w:t>June 3</w:t>
      </w:r>
      <w:r w:rsidR="00BF6EC9" w:rsidRPr="00F51E68">
        <w:rPr>
          <w:rFonts w:ascii="Arial" w:hAnsi="Arial"/>
          <w:u w:val="single"/>
        </w:rPr>
        <w:t>, 202</w:t>
      </w:r>
      <w:r w:rsidR="00C41623">
        <w:rPr>
          <w:rFonts w:ascii="Arial" w:hAnsi="Arial"/>
          <w:u w:val="single"/>
        </w:rPr>
        <w:t>2</w:t>
      </w:r>
    </w:p>
    <w:p w14:paraId="2DE3FB80" w14:textId="0DE2DC65" w:rsidR="00640E94" w:rsidRDefault="00640E94">
      <w:pPr>
        <w:pStyle w:val="List"/>
        <w:tabs>
          <w:tab w:val="left" w:pos="9180"/>
        </w:tabs>
        <w:ind w:left="5760" w:hanging="5760"/>
        <w:rPr>
          <w:rFonts w:ascii="Arial" w:hAnsi="Arial"/>
        </w:rPr>
      </w:pPr>
      <w:r>
        <w:rPr>
          <w:rFonts w:ascii="Arial" w:hAnsi="Arial"/>
        </w:rPr>
        <w:tab/>
      </w:r>
      <w:r w:rsidR="00734ECD">
        <w:rPr>
          <w:rFonts w:ascii="Arial" w:hAnsi="Arial"/>
          <w:u w:val="single"/>
        </w:rPr>
        <w:t>Paul Teniere</w:t>
      </w:r>
      <w:r>
        <w:rPr>
          <w:rFonts w:ascii="Arial" w:hAnsi="Arial"/>
          <w:u w:val="single"/>
        </w:rPr>
        <w:tab/>
      </w:r>
      <w:r>
        <w:rPr>
          <w:rFonts w:ascii="Arial" w:hAnsi="Arial"/>
          <w:u w:val="single"/>
        </w:rPr>
        <w:br/>
      </w:r>
      <w:r>
        <w:rPr>
          <w:rFonts w:ascii="Arial" w:hAnsi="Arial"/>
        </w:rPr>
        <w:t>Name of Director or Senior Officer</w:t>
      </w:r>
    </w:p>
    <w:p w14:paraId="2DE3FB81" w14:textId="15DD9DC3" w:rsidR="00640E94" w:rsidRDefault="00640E94">
      <w:pPr>
        <w:pStyle w:val="List"/>
        <w:tabs>
          <w:tab w:val="left" w:pos="9180"/>
          <w:tab w:val="left" w:pos="9360"/>
        </w:tabs>
        <w:ind w:left="5760" w:hanging="5760"/>
        <w:rPr>
          <w:rFonts w:ascii="Arial" w:hAnsi="Arial"/>
        </w:rPr>
      </w:pPr>
      <w:r>
        <w:rPr>
          <w:rFonts w:ascii="Arial" w:hAnsi="Arial"/>
        </w:rPr>
        <w:tab/>
      </w:r>
      <w:r w:rsidR="00B10B49" w:rsidRPr="00B10B49">
        <w:rPr>
          <w:rFonts w:ascii="Arial" w:hAnsi="Arial"/>
          <w:i/>
          <w:iCs/>
          <w:u w:val="single"/>
        </w:rPr>
        <w:t>“</w:t>
      </w:r>
      <w:r w:rsidR="00734ECD">
        <w:rPr>
          <w:rFonts w:ascii="Arial" w:hAnsi="Arial"/>
          <w:i/>
          <w:iCs/>
          <w:u w:val="single"/>
        </w:rPr>
        <w:t>Paul Teniere”</w:t>
      </w:r>
      <w:r w:rsidR="00B10B49">
        <w:rPr>
          <w:rFonts w:ascii="Arial" w:hAnsi="Arial"/>
          <w:u w:val="single"/>
        </w:rPr>
        <w:tab/>
      </w:r>
      <w:r>
        <w:rPr>
          <w:rFonts w:ascii="Arial" w:hAnsi="Arial"/>
        </w:rPr>
        <w:br/>
        <w:t>Signature</w:t>
      </w:r>
    </w:p>
    <w:p w14:paraId="3B66F7F2" w14:textId="77777777" w:rsidR="007B177F" w:rsidRDefault="007B177F">
      <w:pPr>
        <w:pStyle w:val="BodyText"/>
        <w:tabs>
          <w:tab w:val="left" w:pos="9180"/>
        </w:tabs>
        <w:spacing w:before="0"/>
        <w:ind w:left="5760"/>
        <w:rPr>
          <w:rFonts w:ascii="Arial" w:hAnsi="Arial"/>
          <w:u w:val="single"/>
        </w:rPr>
      </w:pPr>
    </w:p>
    <w:p w14:paraId="2DE3FB82" w14:textId="317D522E" w:rsidR="00640E94" w:rsidRDefault="00734ECD">
      <w:pPr>
        <w:pStyle w:val="BodyText"/>
        <w:tabs>
          <w:tab w:val="left" w:pos="9180"/>
        </w:tabs>
        <w:spacing w:before="0"/>
        <w:ind w:left="5760"/>
        <w:rPr>
          <w:rFonts w:ascii="Arial" w:hAnsi="Arial"/>
        </w:rPr>
      </w:pPr>
      <w:r>
        <w:rPr>
          <w:rFonts w:ascii="Arial" w:hAnsi="Arial"/>
          <w:u w:val="single"/>
        </w:rPr>
        <w:t>President &amp; Director</w:t>
      </w:r>
      <w:r w:rsidR="00640E94">
        <w:rPr>
          <w:rFonts w:ascii="Arial" w:hAnsi="Arial"/>
          <w:u w:val="single"/>
        </w:rPr>
        <w:tab/>
      </w:r>
      <w:r w:rsidR="00640E94">
        <w:rPr>
          <w:rFonts w:ascii="Arial" w:hAnsi="Arial"/>
        </w:rPr>
        <w:br/>
        <w:t>Official Capacity</w:t>
      </w:r>
      <w:bookmarkEnd w:id="4"/>
    </w:p>
    <w:p w14:paraId="2DE3FB83"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2DE3FB8E" w14:textId="77777777" w:rsidTr="00402280">
        <w:tc>
          <w:tcPr>
            <w:tcW w:w="4518" w:type="dxa"/>
            <w:tcBorders>
              <w:top w:val="single" w:sz="18" w:space="0" w:color="auto"/>
              <w:bottom w:val="nil"/>
              <w:right w:val="single" w:sz="18" w:space="0" w:color="auto"/>
            </w:tcBorders>
          </w:tcPr>
          <w:p w14:paraId="2DE3FB84" w14:textId="77777777" w:rsidR="00640E94" w:rsidRDefault="00640E94">
            <w:pPr>
              <w:pStyle w:val="BodyText"/>
              <w:spacing w:before="0"/>
              <w:rPr>
                <w:rFonts w:ascii="Arial" w:hAnsi="Arial"/>
                <w:b/>
                <w:i/>
              </w:rPr>
            </w:pPr>
            <w:r>
              <w:rPr>
                <w:rFonts w:ascii="Arial" w:hAnsi="Arial"/>
                <w:b/>
                <w:i/>
              </w:rPr>
              <w:t>Issuer Details</w:t>
            </w:r>
          </w:p>
          <w:p w14:paraId="2DE3FB85" w14:textId="77777777" w:rsidR="00640E94" w:rsidRDefault="00640E94">
            <w:pPr>
              <w:pStyle w:val="BodyText"/>
              <w:spacing w:before="0"/>
              <w:rPr>
                <w:rFonts w:ascii="Arial" w:hAnsi="Arial"/>
              </w:rPr>
            </w:pPr>
            <w:r>
              <w:rPr>
                <w:rFonts w:ascii="Arial" w:hAnsi="Arial"/>
              </w:rPr>
              <w:t>Name of Issuer</w:t>
            </w:r>
          </w:p>
          <w:p w14:paraId="2DE3FB86" w14:textId="547A0D0F" w:rsidR="00640E94" w:rsidRDefault="002F36C5">
            <w:pPr>
              <w:pStyle w:val="BodyText"/>
              <w:rPr>
                <w:rFonts w:ascii="Arial" w:hAnsi="Arial"/>
              </w:rPr>
            </w:pPr>
            <w:r>
              <w:rPr>
                <w:rFonts w:ascii="Arial" w:hAnsi="Arial"/>
              </w:rPr>
              <w:t>Metallica Metals</w:t>
            </w:r>
            <w:r w:rsidR="00BF6EC9">
              <w:rPr>
                <w:rFonts w:ascii="Arial" w:hAnsi="Arial"/>
              </w:rPr>
              <w:t xml:space="preserve"> Corp.</w:t>
            </w:r>
          </w:p>
        </w:tc>
        <w:tc>
          <w:tcPr>
            <w:tcW w:w="2160" w:type="dxa"/>
            <w:tcBorders>
              <w:top w:val="single" w:sz="18" w:space="0" w:color="auto"/>
              <w:left w:val="single" w:sz="18" w:space="0" w:color="auto"/>
              <w:bottom w:val="nil"/>
              <w:right w:val="single" w:sz="18" w:space="0" w:color="auto"/>
            </w:tcBorders>
          </w:tcPr>
          <w:p w14:paraId="2DE3FB87" w14:textId="43DF2BAB" w:rsidR="00640E94" w:rsidRDefault="00640E94">
            <w:pPr>
              <w:pStyle w:val="BodyText"/>
              <w:spacing w:before="0"/>
              <w:rPr>
                <w:rFonts w:ascii="Arial" w:hAnsi="Arial"/>
              </w:rPr>
            </w:pPr>
            <w:r>
              <w:rPr>
                <w:rFonts w:ascii="Arial" w:hAnsi="Arial"/>
              </w:rPr>
              <w:t>For Month End</w:t>
            </w:r>
          </w:p>
          <w:p w14:paraId="2DE3FB88" w14:textId="77777777" w:rsidR="00BF6EC9" w:rsidRDefault="00BF6EC9">
            <w:pPr>
              <w:pStyle w:val="BodyText"/>
              <w:spacing w:before="0"/>
              <w:rPr>
                <w:rFonts w:ascii="Arial" w:hAnsi="Arial"/>
              </w:rPr>
            </w:pPr>
          </w:p>
          <w:p w14:paraId="04B8EE74" w14:textId="77777777" w:rsidR="00B5576E" w:rsidRDefault="00B5576E">
            <w:pPr>
              <w:pStyle w:val="BodyText"/>
              <w:spacing w:before="0"/>
              <w:rPr>
                <w:rFonts w:ascii="Arial" w:hAnsi="Arial"/>
              </w:rPr>
            </w:pPr>
          </w:p>
          <w:p w14:paraId="2DE3FB89" w14:textId="0F79E324" w:rsidR="00BF6EC9" w:rsidRDefault="006F1EA3">
            <w:pPr>
              <w:pStyle w:val="BodyText"/>
              <w:spacing w:before="0"/>
              <w:rPr>
                <w:rFonts w:ascii="Arial" w:hAnsi="Arial"/>
              </w:rPr>
            </w:pPr>
            <w:r>
              <w:rPr>
                <w:rFonts w:ascii="Arial" w:hAnsi="Arial"/>
              </w:rPr>
              <w:t>May</w:t>
            </w:r>
            <w:r w:rsidR="00870A83">
              <w:rPr>
                <w:rFonts w:ascii="Arial" w:hAnsi="Arial"/>
              </w:rPr>
              <w:t xml:space="preserve"> </w:t>
            </w:r>
            <w:r w:rsidR="00CD51A3">
              <w:rPr>
                <w:rFonts w:ascii="Arial" w:hAnsi="Arial"/>
              </w:rPr>
              <w:t>202</w:t>
            </w:r>
            <w:r w:rsidR="00870A83">
              <w:rPr>
                <w:rFonts w:ascii="Arial" w:hAnsi="Arial"/>
              </w:rPr>
              <w:t>2</w:t>
            </w:r>
          </w:p>
        </w:tc>
        <w:tc>
          <w:tcPr>
            <w:tcW w:w="2898" w:type="dxa"/>
            <w:tcBorders>
              <w:top w:val="single" w:sz="18" w:space="0" w:color="auto"/>
              <w:left w:val="single" w:sz="18" w:space="0" w:color="auto"/>
              <w:bottom w:val="nil"/>
            </w:tcBorders>
          </w:tcPr>
          <w:p w14:paraId="2DE3FB8A" w14:textId="77777777" w:rsidR="00640E94" w:rsidRDefault="00640E94">
            <w:pPr>
              <w:pStyle w:val="BodyText"/>
              <w:spacing w:before="0"/>
              <w:rPr>
                <w:rFonts w:ascii="Arial" w:hAnsi="Arial"/>
              </w:rPr>
            </w:pPr>
            <w:r>
              <w:rPr>
                <w:rFonts w:ascii="Arial" w:hAnsi="Arial"/>
              </w:rPr>
              <w:t>Date of Report</w:t>
            </w:r>
          </w:p>
          <w:p w14:paraId="2DE3FB8B" w14:textId="0C6EEB36" w:rsidR="00640E94" w:rsidRDefault="00640E94">
            <w:pPr>
              <w:pStyle w:val="BodyText"/>
              <w:spacing w:before="0"/>
              <w:rPr>
                <w:rFonts w:ascii="Arial" w:hAnsi="Arial"/>
              </w:rPr>
            </w:pPr>
            <w:r>
              <w:rPr>
                <w:rFonts w:ascii="Arial" w:hAnsi="Arial"/>
              </w:rPr>
              <w:t>YY/MM/D</w:t>
            </w:r>
            <w:r w:rsidR="00AB00DA">
              <w:rPr>
                <w:rFonts w:ascii="Arial" w:hAnsi="Arial"/>
              </w:rPr>
              <w:t>D</w:t>
            </w:r>
          </w:p>
          <w:p w14:paraId="2DE3FB8C" w14:textId="77777777" w:rsidR="00BF6EC9" w:rsidRDefault="00BF6EC9">
            <w:pPr>
              <w:pStyle w:val="BodyText"/>
              <w:spacing w:before="0"/>
              <w:rPr>
                <w:rFonts w:ascii="Arial" w:hAnsi="Arial"/>
              </w:rPr>
            </w:pPr>
          </w:p>
          <w:p w14:paraId="2DE3FB8D" w14:textId="6CDE1371" w:rsidR="00BF6EC9" w:rsidRDefault="000D7B54">
            <w:pPr>
              <w:pStyle w:val="BodyText"/>
              <w:spacing w:before="0"/>
              <w:rPr>
                <w:rFonts w:ascii="Arial" w:hAnsi="Arial"/>
              </w:rPr>
            </w:pPr>
            <w:r>
              <w:rPr>
                <w:rFonts w:ascii="Arial" w:hAnsi="Arial"/>
              </w:rPr>
              <w:t>2</w:t>
            </w:r>
            <w:r w:rsidR="00C41623">
              <w:rPr>
                <w:rFonts w:ascii="Arial" w:hAnsi="Arial"/>
              </w:rPr>
              <w:t>2</w:t>
            </w:r>
            <w:r>
              <w:rPr>
                <w:rFonts w:ascii="Arial" w:hAnsi="Arial"/>
              </w:rPr>
              <w:t>/</w:t>
            </w:r>
            <w:r w:rsidR="00C41623">
              <w:rPr>
                <w:rFonts w:ascii="Arial" w:hAnsi="Arial"/>
              </w:rPr>
              <w:t>0</w:t>
            </w:r>
            <w:r w:rsidR="00E77F54">
              <w:rPr>
                <w:rFonts w:ascii="Arial" w:hAnsi="Arial"/>
              </w:rPr>
              <w:t>6</w:t>
            </w:r>
            <w:r>
              <w:rPr>
                <w:rFonts w:ascii="Arial" w:hAnsi="Arial"/>
              </w:rPr>
              <w:t>/</w:t>
            </w:r>
            <w:r w:rsidR="00870A83">
              <w:rPr>
                <w:rFonts w:ascii="Arial" w:hAnsi="Arial"/>
              </w:rPr>
              <w:t>0</w:t>
            </w:r>
            <w:r w:rsidR="00E77F54">
              <w:rPr>
                <w:rFonts w:ascii="Arial" w:hAnsi="Arial"/>
              </w:rPr>
              <w:t>3</w:t>
            </w:r>
          </w:p>
        </w:tc>
      </w:tr>
      <w:tr w:rsidR="00640E94" w14:paraId="2DE3FB92" w14:textId="77777777">
        <w:trPr>
          <w:cantSplit/>
        </w:trPr>
        <w:tc>
          <w:tcPr>
            <w:tcW w:w="9576" w:type="dxa"/>
            <w:gridSpan w:val="3"/>
            <w:tcBorders>
              <w:top w:val="single" w:sz="18" w:space="0" w:color="auto"/>
              <w:bottom w:val="single" w:sz="18" w:space="0" w:color="auto"/>
            </w:tcBorders>
          </w:tcPr>
          <w:p w14:paraId="2DE3FB8F" w14:textId="77777777" w:rsidR="00640E94" w:rsidRDefault="00640E94">
            <w:pPr>
              <w:pStyle w:val="BodyText"/>
              <w:spacing w:before="0"/>
              <w:rPr>
                <w:rFonts w:ascii="Arial" w:hAnsi="Arial"/>
              </w:rPr>
            </w:pPr>
            <w:r>
              <w:rPr>
                <w:rFonts w:ascii="Arial" w:hAnsi="Arial"/>
              </w:rPr>
              <w:t>Issuer Address</w:t>
            </w:r>
          </w:p>
          <w:p w14:paraId="2DE3FB90" w14:textId="77777777" w:rsidR="00640E94" w:rsidRDefault="00640E94">
            <w:pPr>
              <w:pStyle w:val="BodyText"/>
              <w:spacing w:before="0"/>
              <w:rPr>
                <w:rFonts w:ascii="Arial" w:hAnsi="Arial"/>
              </w:rPr>
            </w:pPr>
          </w:p>
          <w:p w14:paraId="2DE3FB91" w14:textId="4265A1B6" w:rsidR="00640E94" w:rsidRDefault="00BF6EC9">
            <w:pPr>
              <w:pStyle w:val="BodyText"/>
              <w:spacing w:before="0"/>
              <w:rPr>
                <w:rFonts w:ascii="Arial" w:hAnsi="Arial"/>
              </w:rPr>
            </w:pPr>
            <w:r>
              <w:rPr>
                <w:rFonts w:ascii="Arial" w:hAnsi="Arial"/>
              </w:rPr>
              <w:t>810</w:t>
            </w:r>
            <w:r w:rsidR="002F36C5">
              <w:rPr>
                <w:rFonts w:ascii="Arial" w:hAnsi="Arial"/>
              </w:rPr>
              <w:t xml:space="preserve"> </w:t>
            </w:r>
            <w:r>
              <w:rPr>
                <w:rFonts w:ascii="Arial" w:hAnsi="Arial"/>
              </w:rPr>
              <w:t>-</w:t>
            </w:r>
            <w:r w:rsidR="002F36C5">
              <w:rPr>
                <w:rFonts w:ascii="Arial" w:hAnsi="Arial"/>
              </w:rPr>
              <w:t xml:space="preserve"> </w:t>
            </w:r>
            <w:r>
              <w:rPr>
                <w:rFonts w:ascii="Arial" w:hAnsi="Arial"/>
              </w:rPr>
              <w:t>789 West Pender Street</w:t>
            </w:r>
          </w:p>
        </w:tc>
      </w:tr>
      <w:tr w:rsidR="00640E94" w14:paraId="2DE3FB9C" w14:textId="77777777" w:rsidTr="00402280">
        <w:tc>
          <w:tcPr>
            <w:tcW w:w="4518" w:type="dxa"/>
            <w:tcBorders>
              <w:top w:val="single" w:sz="18" w:space="0" w:color="auto"/>
              <w:bottom w:val="single" w:sz="18" w:space="0" w:color="auto"/>
              <w:right w:val="single" w:sz="18" w:space="0" w:color="auto"/>
            </w:tcBorders>
          </w:tcPr>
          <w:p w14:paraId="2DE3FB93" w14:textId="77777777" w:rsidR="00640E94" w:rsidRDefault="00640E94">
            <w:pPr>
              <w:pStyle w:val="BodyText"/>
              <w:spacing w:before="0"/>
              <w:rPr>
                <w:rFonts w:ascii="Arial" w:hAnsi="Arial"/>
              </w:rPr>
            </w:pPr>
            <w:r>
              <w:rPr>
                <w:rFonts w:ascii="Arial" w:hAnsi="Arial"/>
              </w:rPr>
              <w:t>City/Province/Postal Code</w:t>
            </w:r>
          </w:p>
          <w:p w14:paraId="2DE3FB94" w14:textId="77777777" w:rsidR="00640E94" w:rsidRDefault="00640E94">
            <w:pPr>
              <w:pStyle w:val="BodyText"/>
              <w:spacing w:before="0"/>
              <w:rPr>
                <w:rFonts w:ascii="Arial" w:hAnsi="Arial"/>
              </w:rPr>
            </w:pPr>
          </w:p>
          <w:p w14:paraId="2DE3FB95" w14:textId="77777777" w:rsidR="00640E94" w:rsidRDefault="00BF6EC9">
            <w:pPr>
              <w:pStyle w:val="BodyText"/>
              <w:spacing w:before="0"/>
              <w:rPr>
                <w:rFonts w:ascii="Arial" w:hAnsi="Arial"/>
              </w:rPr>
            </w:pPr>
            <w:r>
              <w:rPr>
                <w:rFonts w:ascii="Arial" w:hAnsi="Arial"/>
              </w:rPr>
              <w:t>Vancouver</w:t>
            </w:r>
          </w:p>
        </w:tc>
        <w:tc>
          <w:tcPr>
            <w:tcW w:w="2160" w:type="dxa"/>
            <w:tcBorders>
              <w:top w:val="single" w:sz="18" w:space="0" w:color="auto"/>
              <w:left w:val="single" w:sz="18" w:space="0" w:color="auto"/>
              <w:bottom w:val="single" w:sz="18" w:space="0" w:color="auto"/>
              <w:right w:val="single" w:sz="18" w:space="0" w:color="auto"/>
            </w:tcBorders>
          </w:tcPr>
          <w:p w14:paraId="2DE3FB96" w14:textId="77777777" w:rsidR="00640E94" w:rsidRDefault="00640E94">
            <w:pPr>
              <w:pStyle w:val="BodyText"/>
              <w:spacing w:before="0"/>
              <w:rPr>
                <w:rFonts w:ascii="Arial" w:hAnsi="Arial"/>
              </w:rPr>
            </w:pPr>
            <w:r>
              <w:rPr>
                <w:rFonts w:ascii="Arial" w:hAnsi="Arial"/>
              </w:rPr>
              <w:t>Issuer Fax No.</w:t>
            </w:r>
          </w:p>
          <w:p w14:paraId="2DE3FB97" w14:textId="77777777" w:rsidR="00640E94" w:rsidRDefault="00640E94">
            <w:pPr>
              <w:pStyle w:val="BodyText"/>
              <w:spacing w:before="0"/>
              <w:rPr>
                <w:rFonts w:ascii="Arial" w:hAnsi="Arial"/>
              </w:rPr>
            </w:pPr>
          </w:p>
          <w:p w14:paraId="2DE3FB98" w14:textId="4EC2B78A" w:rsidR="00BF6EC9" w:rsidRDefault="00BF6EC9">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2DE3FB99" w14:textId="77777777" w:rsidR="00640E94" w:rsidRDefault="00640E94">
            <w:pPr>
              <w:pStyle w:val="BodyText"/>
              <w:spacing w:before="0"/>
              <w:rPr>
                <w:rFonts w:ascii="Arial" w:hAnsi="Arial"/>
              </w:rPr>
            </w:pPr>
            <w:r>
              <w:rPr>
                <w:rFonts w:ascii="Arial" w:hAnsi="Arial"/>
              </w:rPr>
              <w:t>Issuer Telephone No.</w:t>
            </w:r>
          </w:p>
          <w:p w14:paraId="2DE3FB9A" w14:textId="77777777" w:rsidR="00640E94" w:rsidRDefault="00640E94">
            <w:pPr>
              <w:pStyle w:val="BodyText"/>
              <w:spacing w:before="0"/>
              <w:rPr>
                <w:rFonts w:ascii="Arial" w:hAnsi="Arial"/>
              </w:rPr>
            </w:pPr>
          </w:p>
          <w:p w14:paraId="2DE3FB9B" w14:textId="77777777" w:rsidR="00BF6EC9" w:rsidRDefault="00BF6EC9">
            <w:pPr>
              <w:pStyle w:val="BodyText"/>
              <w:spacing w:before="0"/>
              <w:rPr>
                <w:rFonts w:ascii="Arial" w:hAnsi="Arial"/>
              </w:rPr>
            </w:pPr>
            <w:r>
              <w:rPr>
                <w:rFonts w:ascii="Arial" w:hAnsi="Arial"/>
              </w:rPr>
              <w:t>604-687-2038</w:t>
            </w:r>
          </w:p>
        </w:tc>
      </w:tr>
      <w:tr w:rsidR="00640E94" w14:paraId="2DE3FBA6" w14:textId="77777777" w:rsidTr="00402280">
        <w:tc>
          <w:tcPr>
            <w:tcW w:w="4518" w:type="dxa"/>
            <w:tcBorders>
              <w:top w:val="single" w:sz="18" w:space="0" w:color="auto"/>
              <w:bottom w:val="single" w:sz="18" w:space="0" w:color="auto"/>
              <w:right w:val="single" w:sz="18" w:space="0" w:color="auto"/>
            </w:tcBorders>
          </w:tcPr>
          <w:p w14:paraId="2DE3FB9D" w14:textId="77777777" w:rsidR="00640E94" w:rsidRDefault="00640E94">
            <w:pPr>
              <w:pStyle w:val="BodyText"/>
              <w:spacing w:before="0"/>
              <w:rPr>
                <w:rFonts w:ascii="Arial" w:hAnsi="Arial"/>
              </w:rPr>
            </w:pPr>
            <w:r>
              <w:rPr>
                <w:rFonts w:ascii="Arial" w:hAnsi="Arial"/>
              </w:rPr>
              <w:t>Contact Name</w:t>
            </w:r>
          </w:p>
          <w:p w14:paraId="2DE3FB9E" w14:textId="77777777" w:rsidR="00640E94" w:rsidRDefault="00640E94">
            <w:pPr>
              <w:pStyle w:val="BodyText"/>
              <w:spacing w:before="0"/>
              <w:rPr>
                <w:rFonts w:ascii="Arial" w:hAnsi="Arial"/>
              </w:rPr>
            </w:pPr>
          </w:p>
          <w:p w14:paraId="2DE3FB9F" w14:textId="32D1C52E" w:rsidR="00640E94" w:rsidRDefault="00C41623">
            <w:pPr>
              <w:pStyle w:val="BodyText"/>
              <w:spacing w:before="0"/>
              <w:rPr>
                <w:rFonts w:ascii="Arial" w:hAnsi="Arial"/>
              </w:rPr>
            </w:pPr>
            <w:r>
              <w:rPr>
                <w:rFonts w:ascii="Arial" w:hAnsi="Arial"/>
              </w:rPr>
              <w:t>Aaron Stone</w:t>
            </w:r>
          </w:p>
        </w:tc>
        <w:tc>
          <w:tcPr>
            <w:tcW w:w="2160" w:type="dxa"/>
            <w:tcBorders>
              <w:top w:val="single" w:sz="18" w:space="0" w:color="auto"/>
              <w:left w:val="single" w:sz="18" w:space="0" w:color="auto"/>
              <w:bottom w:val="single" w:sz="18" w:space="0" w:color="auto"/>
              <w:right w:val="single" w:sz="18" w:space="0" w:color="auto"/>
            </w:tcBorders>
          </w:tcPr>
          <w:p w14:paraId="2DE3FBA0" w14:textId="77777777" w:rsidR="00640E94" w:rsidRDefault="00640E94">
            <w:pPr>
              <w:pStyle w:val="BodyText"/>
              <w:spacing w:before="0"/>
              <w:rPr>
                <w:rFonts w:ascii="Arial" w:hAnsi="Arial"/>
              </w:rPr>
            </w:pPr>
            <w:r>
              <w:rPr>
                <w:rFonts w:ascii="Arial" w:hAnsi="Arial"/>
              </w:rPr>
              <w:t>Contact Position</w:t>
            </w:r>
          </w:p>
          <w:p w14:paraId="6BF46BCB" w14:textId="77777777" w:rsidR="00BB161B" w:rsidRDefault="00BB161B">
            <w:pPr>
              <w:pStyle w:val="BodyText"/>
              <w:spacing w:before="0"/>
              <w:rPr>
                <w:rFonts w:ascii="Arial" w:hAnsi="Arial"/>
              </w:rPr>
            </w:pPr>
          </w:p>
          <w:p w14:paraId="2DE3FBA1" w14:textId="0E20E75D" w:rsidR="00BF6EC9" w:rsidRDefault="00022F5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2DE3FBA2" w14:textId="77777777" w:rsidR="00640E94" w:rsidRDefault="00640E94">
            <w:pPr>
              <w:pStyle w:val="BodyText"/>
              <w:spacing w:before="0"/>
              <w:rPr>
                <w:rFonts w:ascii="Arial" w:hAnsi="Arial"/>
              </w:rPr>
            </w:pPr>
            <w:r>
              <w:rPr>
                <w:rFonts w:ascii="Arial" w:hAnsi="Arial"/>
              </w:rPr>
              <w:t>Contact Telephone No.</w:t>
            </w:r>
          </w:p>
          <w:p w14:paraId="2DE3FBA3" w14:textId="77777777" w:rsidR="00BF6EC9" w:rsidRDefault="00BF6EC9">
            <w:pPr>
              <w:pStyle w:val="BodyText"/>
              <w:spacing w:before="0"/>
              <w:rPr>
                <w:rFonts w:ascii="Arial" w:hAnsi="Arial"/>
              </w:rPr>
            </w:pPr>
          </w:p>
          <w:p w14:paraId="2DE3FBA5" w14:textId="64EF36BE" w:rsidR="00BF6EC9" w:rsidRDefault="00022F52">
            <w:pPr>
              <w:pStyle w:val="BodyText"/>
              <w:spacing w:before="0"/>
              <w:rPr>
                <w:rFonts w:ascii="Arial" w:hAnsi="Arial"/>
              </w:rPr>
            </w:pPr>
            <w:r>
              <w:rPr>
                <w:rFonts w:ascii="Arial" w:hAnsi="Arial"/>
              </w:rPr>
              <w:t>514-235-6012</w:t>
            </w:r>
          </w:p>
        </w:tc>
      </w:tr>
      <w:tr w:rsidR="00640E94" w14:paraId="2DE3FBAB" w14:textId="77777777" w:rsidTr="00402280">
        <w:trPr>
          <w:cantSplit/>
        </w:trPr>
        <w:tc>
          <w:tcPr>
            <w:tcW w:w="4518" w:type="dxa"/>
            <w:tcBorders>
              <w:top w:val="single" w:sz="18" w:space="0" w:color="auto"/>
              <w:bottom w:val="single" w:sz="18" w:space="0" w:color="auto"/>
              <w:right w:val="single" w:sz="18" w:space="0" w:color="auto"/>
            </w:tcBorders>
          </w:tcPr>
          <w:p w14:paraId="2DE3FBA7" w14:textId="77777777" w:rsidR="00640E94" w:rsidRDefault="00640E94">
            <w:pPr>
              <w:pStyle w:val="BodyText"/>
              <w:spacing w:before="0"/>
              <w:rPr>
                <w:rFonts w:ascii="Arial" w:hAnsi="Arial"/>
              </w:rPr>
            </w:pPr>
            <w:r>
              <w:rPr>
                <w:rFonts w:ascii="Arial" w:hAnsi="Arial"/>
              </w:rPr>
              <w:t>Contact Email Address</w:t>
            </w:r>
          </w:p>
          <w:p w14:paraId="2DE3FBA8" w14:textId="05283BE2" w:rsidR="00640E94" w:rsidRDefault="00463577">
            <w:pPr>
              <w:pStyle w:val="BodyText"/>
              <w:spacing w:before="0"/>
              <w:rPr>
                <w:rFonts w:ascii="Arial" w:hAnsi="Arial"/>
              </w:rPr>
            </w:pPr>
            <w:hyperlink r:id="rId8" w:history="1">
              <w:r w:rsidR="00022F52" w:rsidRPr="00F037A7">
                <w:rPr>
                  <w:rStyle w:val="Hyperlink"/>
                  <w:rFonts w:ascii="Arial" w:hAnsi="Arial" w:cs="Arial"/>
                </w:rPr>
                <w:t>info@metallica-metals.com</w:t>
              </w:r>
            </w:hyperlink>
          </w:p>
        </w:tc>
        <w:tc>
          <w:tcPr>
            <w:tcW w:w="5058" w:type="dxa"/>
            <w:gridSpan w:val="2"/>
            <w:tcBorders>
              <w:top w:val="single" w:sz="18" w:space="0" w:color="auto"/>
              <w:left w:val="single" w:sz="18" w:space="0" w:color="auto"/>
              <w:bottom w:val="single" w:sz="18" w:space="0" w:color="auto"/>
            </w:tcBorders>
          </w:tcPr>
          <w:p w14:paraId="2DE3FBA9" w14:textId="77777777" w:rsidR="00640E94" w:rsidRDefault="00640E94">
            <w:pPr>
              <w:pStyle w:val="BodyText"/>
              <w:spacing w:before="0"/>
              <w:rPr>
                <w:rFonts w:ascii="Arial" w:hAnsi="Arial"/>
              </w:rPr>
            </w:pPr>
            <w:r>
              <w:rPr>
                <w:rFonts w:ascii="Arial" w:hAnsi="Arial"/>
              </w:rPr>
              <w:t>Web Site Address</w:t>
            </w:r>
          </w:p>
          <w:p w14:paraId="2DE3FBAA" w14:textId="77777777" w:rsidR="00640E94" w:rsidRDefault="00BF6EC9">
            <w:pPr>
              <w:pStyle w:val="BodyText"/>
              <w:spacing w:before="0"/>
              <w:rPr>
                <w:rFonts w:ascii="Arial" w:hAnsi="Arial"/>
              </w:rPr>
            </w:pPr>
            <w:r>
              <w:rPr>
                <w:rFonts w:ascii="Arial" w:hAnsi="Arial"/>
              </w:rPr>
              <w:t>N/A</w:t>
            </w:r>
          </w:p>
        </w:tc>
      </w:tr>
    </w:tbl>
    <w:p w14:paraId="2DE3FBAC" w14:textId="77777777" w:rsidR="00640E94" w:rsidRDefault="00640E94" w:rsidP="00BF6EC9">
      <w:pPr>
        <w:pStyle w:val="BodyText"/>
      </w:pPr>
    </w:p>
    <w:sectPr w:rsidR="00640E94" w:rsidSect="00D37B2C">
      <w:headerReference w:type="even" r:id="rId9"/>
      <w:footerReference w:type="default" r:id="rId10"/>
      <w:footerReference w:type="first" r:id="rId11"/>
      <w:pgSz w:w="12240" w:h="15840" w:code="1"/>
      <w:pgMar w:top="864" w:right="1440" w:bottom="864" w:left="135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C907" w14:textId="77777777" w:rsidR="00463577" w:rsidRDefault="00463577">
      <w:r>
        <w:separator/>
      </w:r>
    </w:p>
  </w:endnote>
  <w:endnote w:type="continuationSeparator" w:id="0">
    <w:p w14:paraId="0CC28407" w14:textId="77777777" w:rsidR="00463577" w:rsidRDefault="0046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FBB3"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2DE3FBBA" wp14:editId="2DE3FBB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8EA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DE3FBB4" w14:textId="2412C3C8" w:rsidR="00640E94" w:rsidRPr="006D1A06" w:rsidRDefault="006F1EA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0A1AB1">
      <w:rPr>
        <w:rStyle w:val="PageNumber"/>
        <w:rFonts w:ascii="Arial" w:hAnsi="Arial" w:cs="Arial"/>
        <w:sz w:val="16"/>
        <w:szCs w:val="16"/>
      </w:rPr>
      <w:t xml:space="preserve"> 2015</w:t>
    </w:r>
  </w:p>
  <w:p w14:paraId="2DE3FBB5"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83B98">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FBB6" w14:textId="77777777" w:rsidR="00640E94" w:rsidRDefault="00640E94">
    <w:pPr>
      <w:pStyle w:val="Footer"/>
      <w:tabs>
        <w:tab w:val="clear" w:pos="4320"/>
        <w:tab w:val="clear" w:pos="8640"/>
        <w:tab w:val="center" w:pos="4680"/>
        <w:tab w:val="right" w:pos="9360"/>
      </w:tabs>
      <w:rPr>
        <w:b/>
      </w:rPr>
    </w:pPr>
  </w:p>
  <w:p w14:paraId="2DE3FBB7"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DE3FBBC" wp14:editId="2DE3FBB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702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DE3FBB8" w14:textId="7AE608D6" w:rsidR="000A1AB1" w:rsidRPr="00635E9A" w:rsidRDefault="006F1EA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0A1AB1">
      <w:rPr>
        <w:rStyle w:val="PageNumber"/>
        <w:rFonts w:ascii="Arial" w:hAnsi="Arial" w:cs="Arial"/>
        <w:sz w:val="16"/>
        <w:szCs w:val="16"/>
      </w:rPr>
      <w:t xml:space="preserve"> 2015</w:t>
    </w:r>
  </w:p>
  <w:p w14:paraId="2DE3FBB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00D0" w14:textId="77777777" w:rsidR="00463577" w:rsidRDefault="00463577">
      <w:r>
        <w:separator/>
      </w:r>
    </w:p>
  </w:footnote>
  <w:footnote w:type="continuationSeparator" w:id="0">
    <w:p w14:paraId="726902A0" w14:textId="77777777" w:rsidR="00463577" w:rsidRDefault="0046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FBB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E3FBB2" w14:textId="77777777" w:rsidR="00640E94" w:rsidRDefault="0064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2C87B12"/>
    <w:multiLevelType w:val="hybridMultilevel"/>
    <w:tmpl w:val="F2D4711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A4B200A"/>
    <w:multiLevelType w:val="hybridMultilevel"/>
    <w:tmpl w:val="A78884E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6" w15:restartNumberingAfterBreak="0">
    <w:nsid w:val="3B8A6DA3"/>
    <w:multiLevelType w:val="hybridMultilevel"/>
    <w:tmpl w:val="B2F02146"/>
    <w:lvl w:ilvl="0" w:tplc="116A4B36">
      <w:start w:val="6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5DB6D45"/>
    <w:multiLevelType w:val="hybridMultilevel"/>
    <w:tmpl w:val="79B0BF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884555"/>
    <w:multiLevelType w:val="hybridMultilevel"/>
    <w:tmpl w:val="F836E4EE"/>
    <w:lvl w:ilvl="0" w:tplc="2D0693AE">
      <w:start w:val="1"/>
      <w:numFmt w:val="decimal"/>
      <w:lvlText w:val="(%1)"/>
      <w:lvlJc w:val="left"/>
      <w:pPr>
        <w:ind w:left="1440" w:hanging="360"/>
      </w:pPr>
      <w:rPr>
        <w:rFonts w:hint="default"/>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0164DD"/>
    <w:multiLevelType w:val="hybridMultilevel"/>
    <w:tmpl w:val="909AE696"/>
    <w:lvl w:ilvl="0" w:tplc="43DE2F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5F4B059B"/>
    <w:multiLevelType w:val="hybridMultilevel"/>
    <w:tmpl w:val="94A04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3919F0"/>
    <w:multiLevelType w:val="hybridMultilevel"/>
    <w:tmpl w:val="9990AC9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15:restartNumberingAfterBreak="0">
    <w:nsid w:val="6D2E4E5F"/>
    <w:multiLevelType w:val="hybridMultilevel"/>
    <w:tmpl w:val="D36EAD3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15:restartNumberingAfterBreak="0">
    <w:nsid w:val="6D615E9E"/>
    <w:multiLevelType w:val="hybridMultilevel"/>
    <w:tmpl w:val="4E3E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C727A0"/>
    <w:multiLevelType w:val="hybridMultilevel"/>
    <w:tmpl w:val="8DD23FB0"/>
    <w:lvl w:ilvl="0" w:tplc="BE38045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EA0A72"/>
    <w:multiLevelType w:val="hybridMultilevel"/>
    <w:tmpl w:val="C21A099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9C13E66"/>
    <w:multiLevelType w:val="hybridMultilevel"/>
    <w:tmpl w:val="308255E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50912486">
    <w:abstractNumId w:val="19"/>
  </w:num>
  <w:num w:numId="2" w16cid:durableId="1006441624">
    <w:abstractNumId w:val="26"/>
  </w:num>
  <w:num w:numId="3" w16cid:durableId="796143122">
    <w:abstractNumId w:val="18"/>
  </w:num>
  <w:num w:numId="4" w16cid:durableId="257254477">
    <w:abstractNumId w:val="13"/>
  </w:num>
  <w:num w:numId="5" w16cid:durableId="1021467462">
    <w:abstractNumId w:val="3"/>
  </w:num>
  <w:num w:numId="6" w16cid:durableId="2053534991">
    <w:abstractNumId w:val="28"/>
  </w:num>
  <w:num w:numId="7" w16cid:durableId="1066034537">
    <w:abstractNumId w:val="9"/>
  </w:num>
  <w:num w:numId="8" w16cid:durableId="80375279">
    <w:abstractNumId w:val="36"/>
  </w:num>
  <w:num w:numId="9" w16cid:durableId="207838177">
    <w:abstractNumId w:val="25"/>
  </w:num>
  <w:num w:numId="10" w16cid:durableId="1549488656">
    <w:abstractNumId w:val="11"/>
  </w:num>
  <w:num w:numId="11" w16cid:durableId="1661304599">
    <w:abstractNumId w:val="14"/>
  </w:num>
  <w:num w:numId="12" w16cid:durableId="595599756">
    <w:abstractNumId w:val="17"/>
  </w:num>
  <w:num w:numId="13" w16cid:durableId="590092032">
    <w:abstractNumId w:val="39"/>
  </w:num>
  <w:num w:numId="14" w16cid:durableId="23942897">
    <w:abstractNumId w:val="7"/>
  </w:num>
  <w:num w:numId="15" w16cid:durableId="249194381">
    <w:abstractNumId w:val="10"/>
  </w:num>
  <w:num w:numId="16" w16cid:durableId="504327307">
    <w:abstractNumId w:val="12"/>
  </w:num>
  <w:num w:numId="17" w16cid:durableId="629629989">
    <w:abstractNumId w:val="20"/>
  </w:num>
  <w:num w:numId="18" w16cid:durableId="76634791">
    <w:abstractNumId w:val="2"/>
  </w:num>
  <w:num w:numId="19" w16cid:durableId="988942910">
    <w:abstractNumId w:val="8"/>
  </w:num>
  <w:num w:numId="20" w16cid:durableId="504169987">
    <w:abstractNumId w:val="35"/>
  </w:num>
  <w:num w:numId="21" w16cid:durableId="512382822">
    <w:abstractNumId w:val="1"/>
  </w:num>
  <w:num w:numId="22" w16cid:durableId="52970454">
    <w:abstractNumId w:val="0"/>
  </w:num>
  <w:num w:numId="23" w16cid:durableId="452411044">
    <w:abstractNumId w:val="27"/>
  </w:num>
  <w:num w:numId="24" w16cid:durableId="1068042650">
    <w:abstractNumId w:val="24"/>
  </w:num>
  <w:num w:numId="25" w16cid:durableId="908077056">
    <w:abstractNumId w:val="4"/>
  </w:num>
  <w:num w:numId="26" w16cid:durableId="1992905026">
    <w:abstractNumId w:val="38"/>
  </w:num>
  <w:num w:numId="27" w16cid:durableId="567954796">
    <w:abstractNumId w:val="40"/>
  </w:num>
  <w:num w:numId="28" w16cid:durableId="249655414">
    <w:abstractNumId w:val="5"/>
  </w:num>
  <w:num w:numId="29" w16cid:durableId="1555577506">
    <w:abstractNumId w:val="32"/>
  </w:num>
  <w:num w:numId="30" w16cid:durableId="320541605">
    <w:abstractNumId w:val="23"/>
  </w:num>
  <w:num w:numId="31" w16cid:durableId="1143079443">
    <w:abstractNumId w:val="16"/>
  </w:num>
  <w:num w:numId="32" w16cid:durableId="226956327">
    <w:abstractNumId w:val="29"/>
  </w:num>
  <w:num w:numId="33" w16cid:durableId="298270757">
    <w:abstractNumId w:val="6"/>
  </w:num>
  <w:num w:numId="34" w16cid:durableId="2124152900">
    <w:abstractNumId w:val="21"/>
  </w:num>
  <w:num w:numId="35" w16cid:durableId="469248081">
    <w:abstractNumId w:val="22"/>
  </w:num>
  <w:num w:numId="36" w16cid:durableId="232546969">
    <w:abstractNumId w:val="33"/>
  </w:num>
  <w:num w:numId="37" w16cid:durableId="1925188846">
    <w:abstractNumId w:val="21"/>
  </w:num>
  <w:num w:numId="38" w16cid:durableId="1803115458">
    <w:abstractNumId w:val="30"/>
  </w:num>
  <w:num w:numId="39" w16cid:durableId="964778980">
    <w:abstractNumId w:val="34"/>
  </w:num>
  <w:num w:numId="40" w16cid:durableId="1714496246">
    <w:abstractNumId w:val="37"/>
  </w:num>
  <w:num w:numId="41" w16cid:durableId="1953242419">
    <w:abstractNumId w:val="31"/>
  </w:num>
  <w:num w:numId="42" w16cid:durableId="10060593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1357"/>
    <w:rsid w:val="00011785"/>
    <w:rsid w:val="00022F52"/>
    <w:rsid w:val="00023223"/>
    <w:rsid w:val="00023C92"/>
    <w:rsid w:val="00027351"/>
    <w:rsid w:val="00034D84"/>
    <w:rsid w:val="00036E5A"/>
    <w:rsid w:val="00065494"/>
    <w:rsid w:val="000A1AB1"/>
    <w:rsid w:val="000A39EA"/>
    <w:rsid w:val="000A4B91"/>
    <w:rsid w:val="000D7B54"/>
    <w:rsid w:val="000E7D6F"/>
    <w:rsid w:val="000F284B"/>
    <w:rsid w:val="001027B3"/>
    <w:rsid w:val="0011717F"/>
    <w:rsid w:val="00122CED"/>
    <w:rsid w:val="00140356"/>
    <w:rsid w:val="00146AEE"/>
    <w:rsid w:val="001A546A"/>
    <w:rsid w:val="001B6F8E"/>
    <w:rsid w:val="001C758F"/>
    <w:rsid w:val="001D2CEE"/>
    <w:rsid w:val="001E0834"/>
    <w:rsid w:val="00234AB5"/>
    <w:rsid w:val="0023702E"/>
    <w:rsid w:val="00246AF9"/>
    <w:rsid w:val="0025295E"/>
    <w:rsid w:val="00273913"/>
    <w:rsid w:val="00286255"/>
    <w:rsid w:val="002B2C64"/>
    <w:rsid w:val="002C281E"/>
    <w:rsid w:val="002D3BBE"/>
    <w:rsid w:val="002D5BCC"/>
    <w:rsid w:val="002F00EB"/>
    <w:rsid w:val="002F36C5"/>
    <w:rsid w:val="002F4F7A"/>
    <w:rsid w:val="00301A57"/>
    <w:rsid w:val="0030408F"/>
    <w:rsid w:val="00305B50"/>
    <w:rsid w:val="003314DB"/>
    <w:rsid w:val="00342FA9"/>
    <w:rsid w:val="003669A9"/>
    <w:rsid w:val="00370104"/>
    <w:rsid w:val="00371A64"/>
    <w:rsid w:val="003854FF"/>
    <w:rsid w:val="00385E3E"/>
    <w:rsid w:val="00387FA8"/>
    <w:rsid w:val="00390A03"/>
    <w:rsid w:val="003920EA"/>
    <w:rsid w:val="003A00B1"/>
    <w:rsid w:val="003E304E"/>
    <w:rsid w:val="003F07C2"/>
    <w:rsid w:val="00401424"/>
    <w:rsid w:val="00402280"/>
    <w:rsid w:val="00416128"/>
    <w:rsid w:val="00432F18"/>
    <w:rsid w:val="00463577"/>
    <w:rsid w:val="00476FE1"/>
    <w:rsid w:val="00482DAA"/>
    <w:rsid w:val="00483CB9"/>
    <w:rsid w:val="004B0A17"/>
    <w:rsid w:val="004F4EA8"/>
    <w:rsid w:val="004F763D"/>
    <w:rsid w:val="00540261"/>
    <w:rsid w:val="005453C8"/>
    <w:rsid w:val="00553F37"/>
    <w:rsid w:val="005704B6"/>
    <w:rsid w:val="00583B98"/>
    <w:rsid w:val="00591DC7"/>
    <w:rsid w:val="005A20D1"/>
    <w:rsid w:val="005B21A0"/>
    <w:rsid w:val="005C138B"/>
    <w:rsid w:val="005C2649"/>
    <w:rsid w:val="005D4915"/>
    <w:rsid w:val="005E535F"/>
    <w:rsid w:val="005F6D8F"/>
    <w:rsid w:val="00604116"/>
    <w:rsid w:val="00620E7F"/>
    <w:rsid w:val="00633ED3"/>
    <w:rsid w:val="00635E9A"/>
    <w:rsid w:val="00640E94"/>
    <w:rsid w:val="00677798"/>
    <w:rsid w:val="006832C0"/>
    <w:rsid w:val="006857C5"/>
    <w:rsid w:val="006C4200"/>
    <w:rsid w:val="006D1A06"/>
    <w:rsid w:val="006E0808"/>
    <w:rsid w:val="006F1EA3"/>
    <w:rsid w:val="00706E08"/>
    <w:rsid w:val="00712EA8"/>
    <w:rsid w:val="007177FA"/>
    <w:rsid w:val="00734ECD"/>
    <w:rsid w:val="00743FF4"/>
    <w:rsid w:val="00744602"/>
    <w:rsid w:val="00747055"/>
    <w:rsid w:val="0075187A"/>
    <w:rsid w:val="0075626D"/>
    <w:rsid w:val="007644C8"/>
    <w:rsid w:val="007650FF"/>
    <w:rsid w:val="00770CE7"/>
    <w:rsid w:val="00784DF6"/>
    <w:rsid w:val="007B0F34"/>
    <w:rsid w:val="007B177F"/>
    <w:rsid w:val="007B4176"/>
    <w:rsid w:val="007B7847"/>
    <w:rsid w:val="007E2F20"/>
    <w:rsid w:val="007E58A1"/>
    <w:rsid w:val="0080026D"/>
    <w:rsid w:val="00844F9F"/>
    <w:rsid w:val="00853DAA"/>
    <w:rsid w:val="00870A83"/>
    <w:rsid w:val="00884B63"/>
    <w:rsid w:val="008A7D63"/>
    <w:rsid w:val="008B380B"/>
    <w:rsid w:val="008B3FAD"/>
    <w:rsid w:val="008B7E92"/>
    <w:rsid w:val="008C32B0"/>
    <w:rsid w:val="008E5A4D"/>
    <w:rsid w:val="008F0A46"/>
    <w:rsid w:val="009103FC"/>
    <w:rsid w:val="00922A46"/>
    <w:rsid w:val="0092765A"/>
    <w:rsid w:val="00935278"/>
    <w:rsid w:val="009573A8"/>
    <w:rsid w:val="0097416F"/>
    <w:rsid w:val="009E099A"/>
    <w:rsid w:val="00A16010"/>
    <w:rsid w:val="00A222A3"/>
    <w:rsid w:val="00A35B33"/>
    <w:rsid w:val="00A3640C"/>
    <w:rsid w:val="00A47914"/>
    <w:rsid w:val="00A548F6"/>
    <w:rsid w:val="00A76D70"/>
    <w:rsid w:val="00AA0421"/>
    <w:rsid w:val="00AB00DA"/>
    <w:rsid w:val="00AB0CBF"/>
    <w:rsid w:val="00AB5956"/>
    <w:rsid w:val="00AB7B8D"/>
    <w:rsid w:val="00AC231F"/>
    <w:rsid w:val="00AC2FFE"/>
    <w:rsid w:val="00AC4ACB"/>
    <w:rsid w:val="00AD0CF2"/>
    <w:rsid w:val="00B10B49"/>
    <w:rsid w:val="00B17DF7"/>
    <w:rsid w:val="00B218AD"/>
    <w:rsid w:val="00B2725A"/>
    <w:rsid w:val="00B346F7"/>
    <w:rsid w:val="00B5576E"/>
    <w:rsid w:val="00B612C5"/>
    <w:rsid w:val="00B675F8"/>
    <w:rsid w:val="00B722FB"/>
    <w:rsid w:val="00B80C1E"/>
    <w:rsid w:val="00B866F1"/>
    <w:rsid w:val="00BB161B"/>
    <w:rsid w:val="00BD1696"/>
    <w:rsid w:val="00BD627D"/>
    <w:rsid w:val="00BE0DDF"/>
    <w:rsid w:val="00BE3FEE"/>
    <w:rsid w:val="00BE641B"/>
    <w:rsid w:val="00BF6EC9"/>
    <w:rsid w:val="00C04EEB"/>
    <w:rsid w:val="00C07ACA"/>
    <w:rsid w:val="00C16CA0"/>
    <w:rsid w:val="00C27A18"/>
    <w:rsid w:val="00C41623"/>
    <w:rsid w:val="00C6383E"/>
    <w:rsid w:val="00C753AF"/>
    <w:rsid w:val="00C817F5"/>
    <w:rsid w:val="00CB36ED"/>
    <w:rsid w:val="00CB5350"/>
    <w:rsid w:val="00CB549A"/>
    <w:rsid w:val="00CD51A3"/>
    <w:rsid w:val="00CD5625"/>
    <w:rsid w:val="00D12C69"/>
    <w:rsid w:val="00D13147"/>
    <w:rsid w:val="00D14F4D"/>
    <w:rsid w:val="00D30342"/>
    <w:rsid w:val="00D37B2C"/>
    <w:rsid w:val="00D50BD5"/>
    <w:rsid w:val="00D767AD"/>
    <w:rsid w:val="00D86C1E"/>
    <w:rsid w:val="00D96759"/>
    <w:rsid w:val="00DA1301"/>
    <w:rsid w:val="00DD19E3"/>
    <w:rsid w:val="00DD317C"/>
    <w:rsid w:val="00DE4D06"/>
    <w:rsid w:val="00DE649E"/>
    <w:rsid w:val="00DF359B"/>
    <w:rsid w:val="00E003C1"/>
    <w:rsid w:val="00E074A3"/>
    <w:rsid w:val="00E20B74"/>
    <w:rsid w:val="00E355C8"/>
    <w:rsid w:val="00E355E2"/>
    <w:rsid w:val="00E36141"/>
    <w:rsid w:val="00E36D4A"/>
    <w:rsid w:val="00E420BF"/>
    <w:rsid w:val="00E45896"/>
    <w:rsid w:val="00E73FC1"/>
    <w:rsid w:val="00E77A3E"/>
    <w:rsid w:val="00E77F54"/>
    <w:rsid w:val="00E83E58"/>
    <w:rsid w:val="00E86F9E"/>
    <w:rsid w:val="00E95A8C"/>
    <w:rsid w:val="00EB69C6"/>
    <w:rsid w:val="00EC699F"/>
    <w:rsid w:val="00ED1DB5"/>
    <w:rsid w:val="00F37108"/>
    <w:rsid w:val="00F437A7"/>
    <w:rsid w:val="00F442F5"/>
    <w:rsid w:val="00F51E68"/>
    <w:rsid w:val="00F549B4"/>
    <w:rsid w:val="00F9799D"/>
    <w:rsid w:val="00FA0470"/>
    <w:rsid w:val="00FA3A5E"/>
    <w:rsid w:val="00FA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3FB37"/>
  <w15:docId w15:val="{2DD84096-EC9C-4D35-804B-97DF1FCD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B36ED"/>
    <w:rPr>
      <w:color w:val="0000FF" w:themeColor="hyperlink"/>
      <w:u w:val="single"/>
    </w:rPr>
  </w:style>
  <w:style w:type="character" w:customStyle="1" w:styleId="UnresolvedMention1">
    <w:name w:val="Unresolved Mention1"/>
    <w:basedOn w:val="DefaultParagraphFont"/>
    <w:uiPriority w:val="99"/>
    <w:semiHidden/>
    <w:unhideWhenUsed/>
    <w:rsid w:val="00CB36ED"/>
    <w:rPr>
      <w:color w:val="605E5C"/>
      <w:shd w:val="clear" w:color="auto" w:fill="E1DFDD"/>
    </w:rPr>
  </w:style>
  <w:style w:type="table" w:styleId="TableGrid">
    <w:name w:val="Table Grid"/>
    <w:basedOn w:val="TableNormal"/>
    <w:uiPriority w:val="39"/>
    <w:rsid w:val="00E7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A3E"/>
    <w:pPr>
      <w:ind w:left="720"/>
      <w:contextualSpacing/>
    </w:pPr>
  </w:style>
  <w:style w:type="paragraph" w:customStyle="1" w:styleId="TableParagraph">
    <w:name w:val="Table Paragraph"/>
    <w:basedOn w:val="Normal"/>
    <w:uiPriority w:val="1"/>
    <w:qFormat/>
    <w:rsid w:val="00DF359B"/>
    <w:pPr>
      <w:widowControl w:val="0"/>
      <w:autoSpaceDE w:val="0"/>
      <w:autoSpaceDN w:val="0"/>
      <w:ind w:left="107"/>
    </w:pPr>
    <w:rPr>
      <w:rFonts w:ascii="Arial" w:eastAsia="Arial" w:hAnsi="Arial" w:cs="Arial"/>
      <w:sz w:val="22"/>
      <w:szCs w:val="22"/>
    </w:rPr>
  </w:style>
  <w:style w:type="paragraph" w:styleId="Revision">
    <w:name w:val="Revision"/>
    <w:hidden/>
    <w:uiPriority w:val="99"/>
    <w:semiHidden/>
    <w:rsid w:val="009103FC"/>
  </w:style>
  <w:style w:type="paragraph" w:styleId="NormalWeb">
    <w:name w:val="Normal (Web)"/>
    <w:basedOn w:val="Normal"/>
    <w:uiPriority w:val="99"/>
    <w:unhideWhenUsed/>
    <w:rsid w:val="00B612C5"/>
    <w:pPr>
      <w:spacing w:before="100" w:beforeAutospacing="1" w:after="100" w:afterAutospacing="1"/>
    </w:pPr>
    <w:rPr>
      <w:sz w:val="24"/>
      <w:szCs w:val="24"/>
      <w:lang w:val="en-CA" w:eastAsia="en-CA"/>
    </w:rPr>
  </w:style>
  <w:style w:type="character" w:styleId="UnresolvedMention">
    <w:name w:val="Unresolved Mention"/>
    <w:basedOn w:val="DefaultParagraphFont"/>
    <w:uiPriority w:val="99"/>
    <w:semiHidden/>
    <w:unhideWhenUsed/>
    <w:rsid w:val="00022F52"/>
    <w:rPr>
      <w:color w:val="605E5C"/>
      <w:shd w:val="clear" w:color="auto" w:fill="E1DFDD"/>
    </w:rPr>
  </w:style>
  <w:style w:type="paragraph" w:styleId="CommentText">
    <w:name w:val="annotation text"/>
    <w:basedOn w:val="Normal"/>
    <w:link w:val="CommentTextChar"/>
    <w:uiPriority w:val="99"/>
    <w:semiHidden/>
    <w:unhideWhenUsed/>
    <w:rsid w:val="003920EA"/>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920EA"/>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llica-metal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48AC-2D47-44B2-A5AC-042EF3C6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Andrea Regnier</cp:lastModifiedBy>
  <cp:revision>3</cp:revision>
  <cp:lastPrinted>2022-01-10T16:29:00Z</cp:lastPrinted>
  <dcterms:created xsi:type="dcterms:W3CDTF">2022-06-03T15:16:00Z</dcterms:created>
  <dcterms:modified xsi:type="dcterms:W3CDTF">2022-06-03T15:27:00Z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