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72FF" w14:textId="4FA24EE0" w:rsidR="0088607B" w:rsidRPr="005C7277" w:rsidRDefault="00B71F70" w:rsidP="00E50ABC">
      <w:pPr>
        <w:pStyle w:val="BodyA"/>
        <w:jc w:val="center"/>
        <w:rPr>
          <w:rFonts w:cs="Calibri"/>
          <w:b/>
          <w:bCs/>
          <w:caps/>
        </w:rPr>
      </w:pPr>
      <w:r w:rsidRPr="005C7277">
        <w:rPr>
          <w:rFonts w:cs="Calibri"/>
          <w:b/>
          <w:bCs/>
          <w:caps/>
        </w:rPr>
        <w:t xml:space="preserve">PROSPECT RIDGE Resources AnNounces </w:t>
      </w:r>
      <w:r w:rsidR="00917A29">
        <w:rPr>
          <w:rFonts w:cs="Calibri"/>
          <w:b/>
          <w:bCs/>
          <w:caps/>
        </w:rPr>
        <w:t xml:space="preserve">Appointment of Dr Allen alper </w:t>
      </w:r>
      <w:r w:rsidR="001C2EFB">
        <w:rPr>
          <w:rFonts w:cs="Calibri"/>
          <w:b/>
          <w:bCs/>
          <w:caps/>
        </w:rPr>
        <w:t xml:space="preserve">and Bradley scharfe </w:t>
      </w:r>
      <w:r w:rsidR="00917A29">
        <w:rPr>
          <w:rFonts w:cs="Calibri"/>
          <w:b/>
          <w:bCs/>
          <w:caps/>
        </w:rPr>
        <w:t>as director</w:t>
      </w:r>
      <w:r w:rsidR="001C2EFB">
        <w:rPr>
          <w:rFonts w:cs="Calibri"/>
          <w:b/>
          <w:bCs/>
          <w:caps/>
        </w:rPr>
        <w:t>s</w:t>
      </w:r>
      <w:r w:rsidR="00917A29">
        <w:rPr>
          <w:rFonts w:cs="Calibri"/>
          <w:b/>
          <w:bCs/>
          <w:caps/>
        </w:rPr>
        <w:t xml:space="preserve"> and tom morgan as lead prospector</w:t>
      </w:r>
    </w:p>
    <w:p w14:paraId="14A558E9" w14:textId="77777777" w:rsidR="00F124C5" w:rsidRPr="0067049A" w:rsidRDefault="009625AC" w:rsidP="00E50ABC">
      <w:pPr>
        <w:pStyle w:val="BodyA"/>
        <w:jc w:val="both"/>
        <w:rPr>
          <w:rStyle w:val="None"/>
          <w:rFonts w:cs="Calibri"/>
          <w:sz w:val="23"/>
          <w:szCs w:val="23"/>
        </w:rPr>
      </w:pPr>
    </w:p>
    <w:p w14:paraId="0466D223" w14:textId="202411D7" w:rsidR="00126C3E" w:rsidRDefault="00B71F70" w:rsidP="005175EB">
      <w:pPr>
        <w:pStyle w:val="BodyA"/>
        <w:jc w:val="both"/>
        <w:rPr>
          <w:rStyle w:val="xgmail-s3"/>
          <w:rFonts w:cs="Calibri"/>
          <w:bdr w:val="none" w:sz="0" w:space="0" w:color="auto" w:frame="1"/>
          <w:shd w:val="clear" w:color="auto" w:fill="FFFFFF"/>
        </w:rPr>
      </w:pPr>
      <w:r w:rsidRPr="005C7277">
        <w:rPr>
          <w:rStyle w:val="xgmail-s1"/>
          <w:rFonts w:cs="Calibri"/>
          <w:b/>
          <w:bCs/>
          <w:color w:val="131313"/>
          <w:bdr w:val="none" w:sz="0" w:space="0" w:color="auto" w:frame="1"/>
          <w:shd w:val="clear" w:color="auto" w:fill="FFFFFF"/>
        </w:rPr>
        <w:t xml:space="preserve">Vancouver – </w:t>
      </w:r>
      <w:r w:rsidR="0039316E">
        <w:rPr>
          <w:rStyle w:val="xgmail-s1"/>
          <w:rFonts w:cs="Calibri"/>
          <w:b/>
          <w:bCs/>
          <w:color w:val="131313"/>
          <w:bdr w:val="none" w:sz="0" w:space="0" w:color="auto" w:frame="1"/>
          <w:shd w:val="clear" w:color="auto" w:fill="FFFFFF"/>
        </w:rPr>
        <w:t>April</w:t>
      </w:r>
      <w:r w:rsidRPr="005C7277">
        <w:rPr>
          <w:rStyle w:val="xgmail-s1"/>
          <w:rFonts w:cs="Calibri"/>
          <w:b/>
          <w:bCs/>
          <w:color w:val="131313"/>
          <w:bdr w:val="none" w:sz="0" w:space="0" w:color="auto" w:frame="1"/>
          <w:shd w:val="clear" w:color="auto" w:fill="FFFFFF"/>
        </w:rPr>
        <w:t xml:space="preserve"> </w:t>
      </w:r>
      <w:r w:rsidR="00E55574">
        <w:rPr>
          <w:rStyle w:val="xgmail-s1"/>
          <w:rFonts w:cs="Calibri"/>
          <w:b/>
          <w:bCs/>
          <w:color w:val="131313"/>
          <w:bdr w:val="none" w:sz="0" w:space="0" w:color="auto" w:frame="1"/>
          <w:shd w:val="clear" w:color="auto" w:fill="FFFFFF"/>
        </w:rPr>
        <w:t>27</w:t>
      </w:r>
      <w:r w:rsidRPr="005C7277">
        <w:rPr>
          <w:rStyle w:val="xgmail-s1"/>
          <w:rFonts w:cs="Calibri"/>
          <w:b/>
          <w:bCs/>
          <w:color w:val="131313"/>
          <w:bdr w:val="none" w:sz="0" w:space="0" w:color="auto" w:frame="1"/>
          <w:shd w:val="clear" w:color="auto" w:fill="FFFFFF"/>
        </w:rPr>
        <w:t>, 202</w:t>
      </w:r>
      <w:r w:rsidR="00A53F61" w:rsidRPr="005C7277">
        <w:rPr>
          <w:rStyle w:val="xgmail-s1"/>
          <w:rFonts w:cs="Calibri"/>
          <w:b/>
          <w:bCs/>
          <w:color w:val="131313"/>
          <w:bdr w:val="none" w:sz="0" w:space="0" w:color="auto" w:frame="1"/>
          <w:shd w:val="clear" w:color="auto" w:fill="FFFFFF"/>
        </w:rPr>
        <w:t>2</w:t>
      </w:r>
      <w:r w:rsidRPr="005C7277">
        <w:rPr>
          <w:rStyle w:val="xgmail-s1"/>
          <w:rFonts w:cs="Calibri"/>
          <w:color w:val="131313"/>
          <w:bdr w:val="none" w:sz="0" w:space="0" w:color="auto" w:frame="1"/>
          <w:shd w:val="clear" w:color="auto" w:fill="FFFFFF"/>
        </w:rPr>
        <w:t> – </w:t>
      </w:r>
      <w:hyperlink r:id="rId8" w:tgtFrame="_blank" w:history="1">
        <w:r w:rsidRPr="005C7277">
          <w:rPr>
            <w:rStyle w:val="xgmail-s2"/>
            <w:rFonts w:cs="Calibri"/>
            <w:bdr w:val="none" w:sz="0" w:space="0" w:color="auto" w:frame="1"/>
            <w:shd w:val="clear" w:color="auto" w:fill="FFFFFF"/>
          </w:rPr>
          <w:t>Prospect Ridge Resources Corp.</w:t>
        </w:r>
      </w:hyperlink>
      <w:r w:rsidRPr="005C7277">
        <w:rPr>
          <w:rStyle w:val="xgmail-s1"/>
          <w:rFonts w:cs="Calibri"/>
          <w:color w:val="131313"/>
          <w:bdr w:val="none" w:sz="0" w:space="0" w:color="auto" w:frame="1"/>
          <w:shd w:val="clear" w:color="auto" w:fill="FFFFFF"/>
        </w:rPr>
        <w:t> </w:t>
      </w:r>
      <w:r w:rsidRPr="005C7277">
        <w:rPr>
          <w:rStyle w:val="xgmail-s3"/>
          <w:rFonts w:cs="Calibri"/>
          <w:bdr w:val="none" w:sz="0" w:space="0" w:color="auto" w:frame="1"/>
          <w:shd w:val="clear" w:color="auto" w:fill="FFFFFF"/>
        </w:rPr>
        <w:t>(the "</w:t>
      </w:r>
      <w:r w:rsidRPr="005C7277">
        <w:rPr>
          <w:rStyle w:val="xgmail-s3"/>
          <w:rFonts w:cs="Calibri"/>
          <w:b/>
          <w:bCs/>
          <w:bdr w:val="none" w:sz="0" w:space="0" w:color="auto" w:frame="1"/>
          <w:shd w:val="clear" w:color="auto" w:fill="FFFFFF"/>
        </w:rPr>
        <w:t>Company</w:t>
      </w:r>
      <w:r w:rsidRPr="005C7277">
        <w:rPr>
          <w:rStyle w:val="xgmail-s3"/>
          <w:rFonts w:cs="Calibri"/>
          <w:bdr w:val="none" w:sz="0" w:space="0" w:color="auto" w:frame="1"/>
          <w:shd w:val="clear" w:color="auto" w:fill="FFFFFF"/>
        </w:rPr>
        <w:t>" or "</w:t>
      </w:r>
      <w:r w:rsidRPr="005C7277">
        <w:rPr>
          <w:rStyle w:val="xgmail-s3"/>
          <w:rFonts w:cs="Calibri"/>
          <w:b/>
          <w:bCs/>
          <w:bdr w:val="none" w:sz="0" w:space="0" w:color="auto" w:frame="1"/>
          <w:shd w:val="clear" w:color="auto" w:fill="FFFFFF"/>
        </w:rPr>
        <w:t>Prospect Ridge</w:t>
      </w:r>
      <w:r w:rsidRPr="005C7277">
        <w:rPr>
          <w:rStyle w:val="xgmail-s3"/>
          <w:rFonts w:cs="Calibri"/>
          <w:bdr w:val="none" w:sz="0" w:space="0" w:color="auto" w:frame="1"/>
          <w:shd w:val="clear" w:color="auto" w:fill="FFFFFF"/>
        </w:rPr>
        <w:t>") (CSE: PRR) (OTC: PRRSF) (FRA: OED) is pleased to</w:t>
      </w:r>
      <w:r w:rsidR="007C017B" w:rsidRPr="005C7277">
        <w:rPr>
          <w:rStyle w:val="xgmail-s3"/>
          <w:rFonts w:cs="Calibri"/>
          <w:bdr w:val="none" w:sz="0" w:space="0" w:color="auto" w:frame="1"/>
          <w:shd w:val="clear" w:color="auto" w:fill="FFFFFF"/>
        </w:rPr>
        <w:t xml:space="preserve"> announce</w:t>
      </w:r>
      <w:r w:rsidR="00A53F61" w:rsidRPr="005C7277">
        <w:rPr>
          <w:rStyle w:val="xgmail-s3"/>
          <w:rFonts w:cs="Calibri"/>
          <w:bdr w:val="none" w:sz="0" w:space="0" w:color="auto" w:frame="1"/>
          <w:shd w:val="clear" w:color="auto" w:fill="FFFFFF"/>
        </w:rPr>
        <w:t xml:space="preserve"> </w:t>
      </w:r>
      <w:r w:rsidR="00126C3E">
        <w:rPr>
          <w:rStyle w:val="xgmail-s3"/>
          <w:rFonts w:cs="Calibri"/>
          <w:bdr w:val="none" w:sz="0" w:space="0" w:color="auto" w:frame="1"/>
          <w:shd w:val="clear" w:color="auto" w:fill="FFFFFF"/>
        </w:rPr>
        <w:t>the appointment of Metal News Founder and Editor</w:t>
      </w:r>
      <w:r w:rsidR="00EF6D09">
        <w:rPr>
          <w:rStyle w:val="xgmail-s3"/>
          <w:rFonts w:cs="Calibri"/>
          <w:bdr w:val="none" w:sz="0" w:space="0" w:color="auto" w:frame="1"/>
          <w:shd w:val="clear" w:color="auto" w:fill="FFFFFF"/>
        </w:rPr>
        <w:t>-in-Chief</w:t>
      </w:r>
      <w:r w:rsidR="00126C3E">
        <w:rPr>
          <w:rStyle w:val="xgmail-s3"/>
          <w:rFonts w:cs="Calibri"/>
          <w:bdr w:val="none" w:sz="0" w:space="0" w:color="auto" w:frame="1"/>
          <w:shd w:val="clear" w:color="auto" w:fill="FFFFFF"/>
        </w:rPr>
        <w:t>, Dr</w:t>
      </w:r>
      <w:r w:rsidR="003A03B1">
        <w:rPr>
          <w:rStyle w:val="xgmail-s3"/>
          <w:rFonts w:cs="Calibri"/>
          <w:bdr w:val="none" w:sz="0" w:space="0" w:color="auto" w:frame="1"/>
          <w:shd w:val="clear" w:color="auto" w:fill="FFFFFF"/>
        </w:rPr>
        <w:t>.</w:t>
      </w:r>
      <w:r w:rsidR="00126C3E">
        <w:rPr>
          <w:rStyle w:val="xgmail-s3"/>
          <w:rFonts w:cs="Calibri"/>
          <w:bdr w:val="none" w:sz="0" w:space="0" w:color="auto" w:frame="1"/>
          <w:shd w:val="clear" w:color="auto" w:fill="FFFFFF"/>
        </w:rPr>
        <w:t xml:space="preserve"> Allen Alper as a Director, and “Prospector of the Year” Tom Morgan as lead prospector. </w:t>
      </w:r>
      <w:r w:rsidR="00D73852">
        <w:rPr>
          <w:rStyle w:val="xgmail-s3"/>
          <w:rFonts w:cs="Calibri"/>
          <w:bdr w:val="none" w:sz="0" w:space="0" w:color="auto" w:frame="1"/>
          <w:shd w:val="clear" w:color="auto" w:fill="FFFFFF"/>
        </w:rPr>
        <w:t>These two professionals are incredibly exciting additions to the Prospect Ridge team bringing with them the experience from decades of successful careers.</w:t>
      </w:r>
    </w:p>
    <w:p w14:paraId="157C3341" w14:textId="77777777" w:rsidR="007A7C9F" w:rsidRDefault="007A7C9F" w:rsidP="005175EB">
      <w:pPr>
        <w:pStyle w:val="BodyA"/>
        <w:jc w:val="both"/>
        <w:rPr>
          <w:rStyle w:val="xgmail-s3"/>
          <w:rFonts w:cs="Calibri"/>
          <w:bdr w:val="none" w:sz="0" w:space="0" w:color="auto" w:frame="1"/>
          <w:shd w:val="clear" w:color="auto" w:fill="FFFFFF"/>
        </w:rPr>
      </w:pPr>
    </w:p>
    <w:p w14:paraId="3F6B4419" w14:textId="6B4D11AE" w:rsidR="003A03B1" w:rsidRDefault="003A03B1" w:rsidP="0041485F">
      <w:pPr>
        <w:shd w:val="clear" w:color="auto" w:fill="FFFFFF"/>
        <w:jc w:val="both"/>
        <w:textAlignment w:val="baseline"/>
        <w:rPr>
          <w:rFonts w:ascii="Calibri" w:eastAsia="Times New Roman" w:hAnsi="Calibri" w:cs="Calibri"/>
          <w:color w:val="201F1E"/>
          <w:bdr w:val="none" w:sz="0" w:space="0" w:color="auto"/>
          <w:lang w:val="en-CA" w:eastAsia="en-CA"/>
        </w:rPr>
      </w:pPr>
      <w:r w:rsidRPr="003A03B1">
        <w:rPr>
          <w:rFonts w:ascii="Calibri" w:eastAsia="Times New Roman" w:hAnsi="Calibri" w:cs="Calibri"/>
          <w:color w:val="201F1E"/>
          <w:bdr w:val="none" w:sz="0" w:space="0" w:color="auto"/>
          <w:lang w:val="en-CA" w:eastAsia="en-CA"/>
        </w:rPr>
        <w:t xml:space="preserve">Dr. </w:t>
      </w:r>
      <w:r w:rsidR="0019602B">
        <w:rPr>
          <w:rFonts w:ascii="Calibri" w:eastAsia="Times New Roman" w:hAnsi="Calibri" w:cs="Calibri"/>
          <w:color w:val="201F1E"/>
          <w:bdr w:val="none" w:sz="0" w:space="0" w:color="auto"/>
          <w:lang w:val="en-CA" w:eastAsia="en-CA"/>
        </w:rPr>
        <w:t xml:space="preserve">Allen </w:t>
      </w:r>
      <w:r w:rsidRPr="003A03B1">
        <w:rPr>
          <w:rFonts w:ascii="Calibri" w:eastAsia="Times New Roman" w:hAnsi="Calibri" w:cs="Calibri"/>
          <w:color w:val="201F1E"/>
          <w:bdr w:val="none" w:sz="0" w:space="0" w:color="auto"/>
          <w:lang w:val="en-CA" w:eastAsia="en-CA"/>
        </w:rPr>
        <w:t>Alper received a PhD in Economic Geology and Petrology from Columbia University in New York City. He has over 40 years of experience in the mining industry. He is a Fellow of the Geological Society of America</w:t>
      </w:r>
      <w:r>
        <w:rPr>
          <w:rFonts w:ascii="Calibri" w:eastAsia="Times New Roman" w:hAnsi="Calibri" w:cs="Calibri"/>
          <w:color w:val="201F1E"/>
          <w:bdr w:val="none" w:sz="0" w:space="0" w:color="auto"/>
          <w:lang w:val="en-CA" w:eastAsia="en-CA"/>
        </w:rPr>
        <w:t>,</w:t>
      </w:r>
      <w:r w:rsidRPr="003A03B1">
        <w:rPr>
          <w:rFonts w:ascii="Calibri" w:eastAsia="Times New Roman" w:hAnsi="Calibri" w:cs="Calibri"/>
          <w:color w:val="201F1E"/>
          <w:bdr w:val="none" w:sz="0" w:space="0" w:color="auto"/>
          <w:lang w:val="en-CA" w:eastAsia="en-CA"/>
        </w:rPr>
        <w:t xml:space="preserve"> the Founder, Editor-In-Chief and CEO of Metals </w:t>
      </w:r>
      <w:proofErr w:type="gramStart"/>
      <w:r w:rsidRPr="003A03B1">
        <w:rPr>
          <w:rFonts w:ascii="Calibri" w:eastAsia="Times New Roman" w:hAnsi="Calibri" w:cs="Calibri"/>
          <w:color w:val="201F1E"/>
          <w:bdr w:val="none" w:sz="0" w:space="0" w:color="auto"/>
          <w:lang w:val="en-CA" w:eastAsia="en-CA"/>
        </w:rPr>
        <w:t>News</w:t>
      </w:r>
      <w:r>
        <w:rPr>
          <w:rFonts w:ascii="Calibri" w:eastAsia="Times New Roman" w:hAnsi="Calibri" w:cs="Calibri"/>
          <w:color w:val="201F1E"/>
          <w:bdr w:val="none" w:sz="0" w:space="0" w:color="auto"/>
          <w:lang w:val="en-CA" w:eastAsia="en-CA"/>
        </w:rPr>
        <w:t>, and</w:t>
      </w:r>
      <w:proofErr w:type="gramEnd"/>
      <w:r w:rsidRPr="003A03B1">
        <w:rPr>
          <w:rFonts w:ascii="Calibri" w:eastAsia="Times New Roman" w:hAnsi="Calibri" w:cs="Calibri"/>
          <w:color w:val="201F1E"/>
          <w:bdr w:val="none" w:sz="0" w:space="0" w:color="auto"/>
          <w:lang w:val="en-CA" w:eastAsia="en-CA"/>
        </w:rPr>
        <w:t xml:space="preserve"> is the Founder and President of Alper Consulting. </w:t>
      </w:r>
      <w:r>
        <w:rPr>
          <w:rFonts w:ascii="Calibri" w:eastAsia="Times New Roman" w:hAnsi="Calibri" w:cs="Calibri"/>
          <w:color w:val="201F1E"/>
          <w:bdr w:val="none" w:sz="0" w:space="0" w:color="auto"/>
          <w:lang w:val="en-CA" w:eastAsia="en-CA"/>
        </w:rPr>
        <w:t>Dr. Alper</w:t>
      </w:r>
      <w:r w:rsidRPr="003A03B1">
        <w:rPr>
          <w:rFonts w:ascii="Calibri" w:eastAsia="Times New Roman" w:hAnsi="Calibri" w:cs="Calibri"/>
          <w:color w:val="201F1E"/>
          <w:bdr w:val="none" w:sz="0" w:space="0" w:color="auto"/>
          <w:lang w:val="en-CA" w:eastAsia="en-CA"/>
        </w:rPr>
        <w:t xml:space="preserve"> has and continues to facilitate mergers, acquisitions, </w:t>
      </w:r>
      <w:r w:rsidR="0019602B" w:rsidRPr="003A03B1">
        <w:rPr>
          <w:rFonts w:ascii="Calibri" w:eastAsia="Times New Roman" w:hAnsi="Calibri" w:cs="Calibri"/>
          <w:color w:val="201F1E"/>
          <w:bdr w:val="none" w:sz="0" w:space="0" w:color="auto"/>
          <w:lang w:val="en-CA" w:eastAsia="en-CA"/>
        </w:rPr>
        <w:t>offtakes,</w:t>
      </w:r>
      <w:r w:rsidRPr="003A03B1">
        <w:rPr>
          <w:rFonts w:ascii="Calibri" w:eastAsia="Times New Roman" w:hAnsi="Calibri" w:cs="Calibri"/>
          <w:color w:val="201F1E"/>
          <w:bdr w:val="none" w:sz="0" w:space="0" w:color="auto"/>
          <w:lang w:val="en-CA" w:eastAsia="en-CA"/>
        </w:rPr>
        <w:t xml:space="preserve"> and funding for mining companies. He was a Director of Largo Resources, one of the largest producing vanadium miners in the world. He was Vice President and General Manager of OSRAM Sylvania and directed their tungsten powder and tungsten carbide businesses, the largest in the western world. He also directed its global molybdenum, rare earths, cobalt, &amp; tantalum businesses.</w:t>
      </w:r>
      <w:r>
        <w:rPr>
          <w:rFonts w:ascii="Calibri" w:eastAsia="Times New Roman" w:hAnsi="Calibri" w:cs="Calibri"/>
          <w:color w:val="201F1E"/>
          <w:bdr w:val="none" w:sz="0" w:space="0" w:color="auto"/>
          <w:lang w:val="en-CA" w:eastAsia="en-CA"/>
        </w:rPr>
        <w:t xml:space="preserve"> </w:t>
      </w:r>
      <w:r w:rsidRPr="003A03B1">
        <w:rPr>
          <w:rFonts w:ascii="Calibri" w:eastAsia="Times New Roman" w:hAnsi="Calibri" w:cs="Calibri"/>
          <w:color w:val="201F1E"/>
          <w:bdr w:val="none" w:sz="0" w:space="0" w:color="auto"/>
          <w:lang w:val="en-CA" w:eastAsia="en-CA"/>
        </w:rPr>
        <w:t xml:space="preserve">In addition, he was President of </w:t>
      </w:r>
      <w:proofErr w:type="spellStart"/>
      <w:r w:rsidRPr="003A03B1">
        <w:rPr>
          <w:rFonts w:ascii="Calibri" w:eastAsia="Times New Roman" w:hAnsi="Calibri" w:cs="Calibri"/>
          <w:color w:val="201F1E"/>
          <w:bdr w:val="none" w:sz="0" w:space="0" w:color="auto"/>
          <w:lang w:val="en-CA" w:eastAsia="en-CA"/>
        </w:rPr>
        <w:t>Walmet</w:t>
      </w:r>
      <w:proofErr w:type="spellEnd"/>
      <w:r w:rsidRPr="003A03B1">
        <w:rPr>
          <w:rFonts w:ascii="Calibri" w:eastAsia="Times New Roman" w:hAnsi="Calibri" w:cs="Calibri"/>
          <w:color w:val="201F1E"/>
          <w:bdr w:val="none" w:sz="0" w:space="0" w:color="auto"/>
          <w:lang w:val="en-CA" w:eastAsia="en-CA"/>
        </w:rPr>
        <w:t xml:space="preserve"> Corporation, for Sylvania, in Detroit, Michigan.</w:t>
      </w:r>
      <w:r w:rsidR="0019602B">
        <w:rPr>
          <w:rFonts w:ascii="Calibri" w:eastAsia="Times New Roman" w:hAnsi="Calibri" w:cs="Calibri"/>
          <w:color w:val="201F1E"/>
          <w:bdr w:val="none" w:sz="0" w:space="0" w:color="auto"/>
          <w:lang w:val="en-CA" w:eastAsia="en-CA"/>
        </w:rPr>
        <w:t xml:space="preserve"> Dr. Alper is </w:t>
      </w:r>
      <w:r w:rsidR="0019602B" w:rsidRPr="0019602B">
        <w:rPr>
          <w:rFonts w:ascii="Calibri" w:eastAsia="Times New Roman" w:hAnsi="Calibri" w:cs="Calibri"/>
          <w:color w:val="201F1E"/>
          <w:bdr w:val="none" w:sz="0" w:space="0" w:color="auto"/>
          <w:lang w:val="en-CA" w:eastAsia="en-CA"/>
        </w:rPr>
        <w:t>also on the Advisory Board of Providence Gold Mines Inc.</w:t>
      </w:r>
      <w:r w:rsidRPr="003A03B1">
        <w:rPr>
          <w:rFonts w:ascii="Calibri" w:eastAsia="Times New Roman" w:hAnsi="Calibri" w:cs="Calibri"/>
          <w:color w:val="201F1E"/>
          <w:bdr w:val="none" w:sz="0" w:space="0" w:color="auto"/>
          <w:lang w:val="en-CA" w:eastAsia="en-CA"/>
        </w:rPr>
        <w:t xml:space="preserve"> Previously, he was at Corning Glass Works, Corning, New York, as a Research Manager and a Senior Research Fellow of Ceramics. Dr. Alper has edited 11 books on high temperature materials and phase diagrams of metals and oxides. He served on Penn State’s Materials Advisory Board</w:t>
      </w:r>
      <w:r w:rsidR="007A7C9F">
        <w:rPr>
          <w:rFonts w:ascii="Calibri" w:eastAsia="Times New Roman" w:hAnsi="Calibri" w:cs="Calibri"/>
          <w:color w:val="201F1E"/>
          <w:bdr w:val="none" w:sz="0" w:space="0" w:color="auto"/>
          <w:lang w:val="en-CA" w:eastAsia="en-CA"/>
        </w:rPr>
        <w:t xml:space="preserve">, </w:t>
      </w:r>
      <w:r w:rsidRPr="003A03B1">
        <w:rPr>
          <w:rFonts w:ascii="Calibri" w:eastAsia="Times New Roman" w:hAnsi="Calibri" w:cs="Calibri"/>
          <w:color w:val="201F1E"/>
          <w:bdr w:val="none" w:sz="0" w:space="0" w:color="auto"/>
          <w:lang w:val="en-CA" w:eastAsia="en-CA"/>
        </w:rPr>
        <w:t>was a member of the Pennsylvania Business Round Table</w:t>
      </w:r>
      <w:r w:rsidR="007A7C9F">
        <w:rPr>
          <w:rFonts w:ascii="Calibri" w:eastAsia="Times New Roman" w:hAnsi="Calibri" w:cs="Calibri"/>
          <w:color w:val="201F1E"/>
          <w:bdr w:val="none" w:sz="0" w:space="0" w:color="auto"/>
          <w:lang w:val="en-CA" w:eastAsia="en-CA"/>
        </w:rPr>
        <w:t>, and</w:t>
      </w:r>
      <w:r w:rsidRPr="003A03B1">
        <w:rPr>
          <w:rFonts w:ascii="Calibri" w:eastAsia="Times New Roman" w:hAnsi="Calibri" w:cs="Calibri"/>
          <w:color w:val="201F1E"/>
          <w:bdr w:val="none" w:sz="0" w:space="0" w:color="auto"/>
          <w:lang w:val="en-CA" w:eastAsia="en-CA"/>
        </w:rPr>
        <w:t xml:space="preserve"> holds 33 patents.</w:t>
      </w:r>
    </w:p>
    <w:p w14:paraId="06AC27FE" w14:textId="1586DE6B" w:rsidR="001C2EFB" w:rsidRDefault="001C2EFB" w:rsidP="0041485F">
      <w:pPr>
        <w:shd w:val="clear" w:color="auto" w:fill="FFFFFF"/>
        <w:jc w:val="both"/>
        <w:textAlignment w:val="baseline"/>
        <w:rPr>
          <w:rFonts w:ascii="Calibri" w:eastAsia="Times New Roman" w:hAnsi="Calibri" w:cs="Calibri"/>
          <w:color w:val="201F1E"/>
          <w:bdr w:val="none" w:sz="0" w:space="0" w:color="auto"/>
          <w:lang w:val="en-CA" w:eastAsia="en-CA"/>
        </w:rPr>
      </w:pPr>
    </w:p>
    <w:p w14:paraId="7B0F8F00" w14:textId="08D174EE" w:rsidR="001C2EFB" w:rsidRPr="001C2EFB" w:rsidRDefault="001C2EFB" w:rsidP="004148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22222"/>
          <w:bdr w:val="none" w:sz="0" w:space="0" w:color="auto"/>
          <w:lang w:val="en-CA" w:eastAsia="en-CA"/>
        </w:rPr>
      </w:pPr>
      <w:r w:rsidRPr="001C2EFB">
        <w:rPr>
          <w:rFonts w:ascii="Calibri" w:eastAsia="Times New Roman" w:hAnsi="Calibri" w:cs="Calibri"/>
          <w:color w:val="222222"/>
          <w:bdr w:val="none" w:sz="0" w:space="0" w:color="auto"/>
          <w:lang w:val="en-CA" w:eastAsia="en-CA"/>
        </w:rPr>
        <w:t>Bradley Scharfe</w:t>
      </w:r>
      <w:r>
        <w:rPr>
          <w:rFonts w:ascii="Calibri" w:eastAsia="Times New Roman" w:hAnsi="Calibri" w:cs="Calibri"/>
          <w:color w:val="222222"/>
          <w:bdr w:val="none" w:sz="0" w:space="0" w:color="auto"/>
          <w:lang w:val="en-CA" w:eastAsia="en-CA"/>
        </w:rPr>
        <w:t xml:space="preserve"> is the</w:t>
      </w:r>
      <w:r w:rsidRPr="001C2EFB">
        <w:rPr>
          <w:rFonts w:ascii="Calibri" w:eastAsia="Times New Roman" w:hAnsi="Calibri" w:cs="Calibri"/>
          <w:color w:val="222222"/>
          <w:bdr w:val="none" w:sz="0" w:space="0" w:color="auto"/>
          <w:lang w:val="en-CA" w:eastAsia="en-CA"/>
        </w:rPr>
        <w:t xml:space="preserve"> President, Co-Chairman &amp; CEO of Scharfe Group of Companies,</w:t>
      </w:r>
      <w:r>
        <w:rPr>
          <w:rFonts w:ascii="Calibri" w:eastAsia="Times New Roman" w:hAnsi="Calibri" w:cs="Calibri"/>
          <w:color w:val="222222"/>
          <w:bdr w:val="none" w:sz="0" w:space="0" w:color="auto"/>
          <w:lang w:val="en-CA" w:eastAsia="en-CA"/>
        </w:rPr>
        <w:t xml:space="preserve"> and</w:t>
      </w:r>
      <w:r w:rsidRPr="001C2EFB">
        <w:rPr>
          <w:rFonts w:ascii="Calibri" w:eastAsia="Times New Roman" w:hAnsi="Calibri" w:cs="Calibri"/>
          <w:color w:val="222222"/>
          <w:bdr w:val="none" w:sz="0" w:space="0" w:color="auto"/>
          <w:lang w:val="en-CA" w:eastAsia="en-CA"/>
        </w:rPr>
        <w:t xml:space="preserve"> is an accomplished financier with over 25 years of expertise in North America’s capital markets. Mr. Scharfe has spearheaded financing efforts and assembled robust companies in the areas of resources and commodities, clean technology and renewable/alternative energy, oil and gas, and biotech and tech. Mr. Scharfe is an expert at raising, deploying, and managing venture capital for companies in the early growth phase of their development. His focus is on backing emerging companies that require early-stage financing, public market support and management structuring and collecting strategic experts who can appropriately contribute to the company’s ongoing</w:t>
      </w:r>
      <w:r>
        <w:rPr>
          <w:rFonts w:ascii="Calibri" w:eastAsia="Times New Roman" w:hAnsi="Calibri" w:cs="Calibri"/>
          <w:color w:val="222222"/>
          <w:bdr w:val="none" w:sz="0" w:space="0" w:color="auto"/>
          <w:lang w:val="en-CA" w:eastAsia="en-CA"/>
        </w:rPr>
        <w:t xml:space="preserve"> and</w:t>
      </w:r>
      <w:r w:rsidRPr="001C2EFB">
        <w:rPr>
          <w:rFonts w:ascii="Calibri" w:eastAsia="Times New Roman" w:hAnsi="Calibri" w:cs="Calibri"/>
          <w:color w:val="222222"/>
          <w:bdr w:val="none" w:sz="0" w:space="0" w:color="auto"/>
          <w:lang w:val="en-CA" w:eastAsia="en-CA"/>
        </w:rPr>
        <w:t xml:space="preserve"> expansive growth.</w:t>
      </w:r>
      <w:r>
        <w:rPr>
          <w:rFonts w:ascii="Calibri" w:eastAsia="Times New Roman" w:hAnsi="Calibri" w:cs="Calibri"/>
          <w:color w:val="222222"/>
          <w:bdr w:val="none" w:sz="0" w:space="0" w:color="auto"/>
          <w:lang w:val="en-CA" w:eastAsia="en-CA"/>
        </w:rPr>
        <w:t xml:space="preserve"> </w:t>
      </w:r>
      <w:r w:rsidRPr="001C2EFB">
        <w:rPr>
          <w:rFonts w:ascii="Calibri" w:eastAsia="Times New Roman" w:hAnsi="Calibri" w:cs="Calibri"/>
          <w:color w:val="222222"/>
          <w:bdr w:val="none" w:sz="0" w:space="0" w:color="auto"/>
          <w:lang w:val="en-CA" w:eastAsia="en-CA"/>
        </w:rPr>
        <w:t>For 12 years, Mr. Scharfe was a successful venture capital stockbroker with Canaccord Capital Corporation, a premier Canadian investment firm. While at Canaccord, he was part of the Chairman’s Club, based on outstanding achievement.</w:t>
      </w:r>
      <w:r>
        <w:rPr>
          <w:rFonts w:ascii="Calibri" w:eastAsia="Times New Roman" w:hAnsi="Calibri" w:cs="Calibri"/>
          <w:color w:val="222222"/>
          <w:bdr w:val="none" w:sz="0" w:space="0" w:color="auto"/>
          <w:lang w:val="en-CA" w:eastAsia="en-CA"/>
        </w:rPr>
        <w:t xml:space="preserve"> </w:t>
      </w:r>
      <w:r w:rsidRPr="001C2EFB">
        <w:rPr>
          <w:rFonts w:ascii="Calibri" w:eastAsia="Times New Roman" w:hAnsi="Calibri" w:cs="Calibri"/>
          <w:color w:val="222222"/>
          <w:bdr w:val="none" w:sz="0" w:space="0" w:color="auto"/>
          <w:lang w:val="en-CA" w:eastAsia="en-CA"/>
        </w:rPr>
        <w:t>Mr. Scharfe holds a Bachelor of Arts Degree from the University of Toronto, where he majored in Commerce and Economics</w:t>
      </w:r>
      <w:r w:rsidR="00685EBD">
        <w:rPr>
          <w:rFonts w:ascii="Calibri" w:eastAsia="Times New Roman" w:hAnsi="Calibri" w:cs="Calibri"/>
          <w:color w:val="222222"/>
          <w:bdr w:val="none" w:sz="0" w:space="0" w:color="auto"/>
          <w:lang w:val="en-CA" w:eastAsia="en-CA"/>
        </w:rPr>
        <w:t>.</w:t>
      </w:r>
    </w:p>
    <w:p w14:paraId="720F699D" w14:textId="77777777" w:rsidR="001C2EFB" w:rsidRPr="003A03B1" w:rsidRDefault="001C2EFB" w:rsidP="0041485F">
      <w:pPr>
        <w:shd w:val="clear" w:color="auto" w:fill="FFFFFF"/>
        <w:jc w:val="both"/>
        <w:textAlignment w:val="baseline"/>
        <w:rPr>
          <w:rFonts w:ascii="Segoe UI" w:eastAsia="Times New Roman" w:hAnsi="Segoe UI" w:cs="Segoe UI"/>
          <w:color w:val="201F1E"/>
          <w:sz w:val="23"/>
          <w:szCs w:val="23"/>
          <w:bdr w:val="none" w:sz="0" w:space="0" w:color="auto"/>
          <w:lang w:val="en-CA" w:eastAsia="en-CA"/>
        </w:rPr>
      </w:pPr>
    </w:p>
    <w:p w14:paraId="244A4C7F" w14:textId="77777777" w:rsidR="00126C3E" w:rsidRDefault="00126C3E">
      <w:pPr>
        <w:pStyle w:val="BodyA"/>
        <w:jc w:val="both"/>
        <w:rPr>
          <w:rStyle w:val="xgmail-s3"/>
          <w:rFonts w:ascii="Times New Roman" w:hAnsi="Times New Roman" w:cs="Calibri"/>
          <w:color w:val="auto"/>
          <w:bdr w:val="none" w:sz="0" w:space="0" w:color="auto" w:frame="1"/>
          <w:shd w:val="clear" w:color="auto" w:fill="FFFFFF"/>
          <w14:textOutline w14:w="0" w14:cap="rnd" w14:cmpd="sng" w14:algn="ctr">
            <w14:noFill/>
            <w14:prstDash w14:val="solid"/>
            <w14:bevel/>
          </w14:textOutline>
        </w:rPr>
      </w:pPr>
    </w:p>
    <w:p w14:paraId="7A1A5CD9" w14:textId="3478DC7A" w:rsidR="005C7277" w:rsidRPr="005C7277" w:rsidRDefault="009C76DE">
      <w:pPr>
        <w:pStyle w:val="BodyA"/>
        <w:jc w:val="both"/>
        <w:rPr>
          <w:rStyle w:val="xgmail-s3"/>
          <w:rFonts w:cs="Calibri"/>
          <w:bdr w:val="none" w:sz="0" w:space="0" w:color="auto" w:frame="1"/>
          <w:shd w:val="clear" w:color="auto" w:fill="FFFFFF"/>
        </w:rPr>
      </w:pPr>
      <w:r>
        <w:rPr>
          <w:rStyle w:val="xgmail-s3"/>
          <w:rFonts w:cs="Calibri"/>
          <w:bdr w:val="none" w:sz="0" w:space="0" w:color="auto" w:frame="1"/>
          <w:shd w:val="clear" w:color="auto" w:fill="FFFFFF"/>
        </w:rPr>
        <w:lastRenderedPageBreak/>
        <w:t xml:space="preserve">Mr. Tom Morgan is a </w:t>
      </w:r>
      <w:r w:rsidR="005B6691">
        <w:rPr>
          <w:rStyle w:val="xgmail-s3"/>
          <w:rFonts w:cs="Calibri"/>
          <w:bdr w:val="none" w:sz="0" w:space="0" w:color="auto" w:frame="1"/>
          <w:shd w:val="clear" w:color="auto" w:fill="FFFFFF"/>
        </w:rPr>
        <w:t>well-known, respected,</w:t>
      </w:r>
      <w:r>
        <w:rPr>
          <w:rStyle w:val="xgmail-s3"/>
          <w:rFonts w:cs="Calibri"/>
          <w:bdr w:val="none" w:sz="0" w:space="0" w:color="auto" w:frame="1"/>
          <w:shd w:val="clear" w:color="auto" w:fill="FFFFFF"/>
        </w:rPr>
        <w:t xml:space="preserve"> and very successful prospector who was awarded Yukon Prospector of the Year in </w:t>
      </w:r>
      <w:proofErr w:type="gramStart"/>
      <w:r>
        <w:rPr>
          <w:rStyle w:val="xgmail-s3"/>
          <w:rFonts w:cs="Calibri"/>
          <w:bdr w:val="none" w:sz="0" w:space="0" w:color="auto" w:frame="1"/>
          <w:shd w:val="clear" w:color="auto" w:fill="FFFFFF"/>
        </w:rPr>
        <w:t>2004</w:t>
      </w:r>
      <w:r w:rsidR="005B6691">
        <w:rPr>
          <w:rStyle w:val="xgmail-s3"/>
          <w:rFonts w:cs="Calibri"/>
          <w:bdr w:val="none" w:sz="0" w:space="0" w:color="auto" w:frame="1"/>
          <w:shd w:val="clear" w:color="auto" w:fill="FFFFFF"/>
        </w:rPr>
        <w:t>,</w:t>
      </w:r>
      <w:r w:rsidR="00FC663C">
        <w:rPr>
          <w:rStyle w:val="xgmail-s3"/>
          <w:rFonts w:cs="Calibri"/>
          <w:bdr w:val="none" w:sz="0" w:space="0" w:color="auto" w:frame="1"/>
          <w:shd w:val="clear" w:color="auto" w:fill="FFFFFF"/>
        </w:rPr>
        <w:t xml:space="preserve"> and</w:t>
      </w:r>
      <w:proofErr w:type="gramEnd"/>
      <w:r w:rsidR="005B6691">
        <w:rPr>
          <w:rStyle w:val="xgmail-s3"/>
          <w:rFonts w:cs="Calibri"/>
          <w:bdr w:val="none" w:sz="0" w:space="0" w:color="auto" w:frame="1"/>
          <w:shd w:val="clear" w:color="auto" w:fill="FFFFFF"/>
        </w:rPr>
        <w:t xml:space="preserve"> has</w:t>
      </w:r>
      <w:r w:rsidR="00FC663C">
        <w:rPr>
          <w:rStyle w:val="xgmail-s3"/>
          <w:rFonts w:cs="Calibri"/>
          <w:bdr w:val="none" w:sz="0" w:space="0" w:color="auto" w:frame="1"/>
          <w:shd w:val="clear" w:color="auto" w:fill="FFFFFF"/>
        </w:rPr>
        <w:t xml:space="preserve"> appeared on the TV series Yukon Gold</w:t>
      </w:r>
      <w:r>
        <w:rPr>
          <w:rStyle w:val="xgmail-s3"/>
          <w:rFonts w:cs="Calibri"/>
          <w:bdr w:val="none" w:sz="0" w:space="0" w:color="auto" w:frame="1"/>
          <w:shd w:val="clear" w:color="auto" w:fill="FFFFFF"/>
        </w:rPr>
        <w:t xml:space="preserve">. Tom is originally from Edmonton, Alberta, </w:t>
      </w:r>
      <w:r w:rsidR="005B6691">
        <w:rPr>
          <w:rStyle w:val="xgmail-s3"/>
          <w:rFonts w:cs="Calibri"/>
          <w:bdr w:val="none" w:sz="0" w:space="0" w:color="auto" w:frame="1"/>
          <w:shd w:val="clear" w:color="auto" w:fill="FFFFFF"/>
        </w:rPr>
        <w:t xml:space="preserve">and </w:t>
      </w:r>
      <w:r>
        <w:rPr>
          <w:rStyle w:val="xgmail-s3"/>
          <w:rFonts w:cs="Calibri"/>
          <w:bdr w:val="none" w:sz="0" w:space="0" w:color="auto" w:frame="1"/>
          <w:shd w:val="clear" w:color="auto" w:fill="FFFFFF"/>
        </w:rPr>
        <w:t xml:space="preserve">has since lived and worked in many different places including the Yukon, British Columbia, Alaska, California, the </w:t>
      </w:r>
      <w:proofErr w:type="spellStart"/>
      <w:r>
        <w:rPr>
          <w:rStyle w:val="xgmail-s3"/>
          <w:rFonts w:cs="Calibri"/>
          <w:bdr w:val="none" w:sz="0" w:space="0" w:color="auto" w:frame="1"/>
          <w:shd w:val="clear" w:color="auto" w:fill="FFFFFF"/>
        </w:rPr>
        <w:t>Phillipines</w:t>
      </w:r>
      <w:proofErr w:type="spellEnd"/>
      <w:r>
        <w:rPr>
          <w:rStyle w:val="xgmail-s3"/>
          <w:rFonts w:cs="Calibri"/>
          <w:bdr w:val="none" w:sz="0" w:space="0" w:color="auto" w:frame="1"/>
          <w:shd w:val="clear" w:color="auto" w:fill="FFFFFF"/>
        </w:rPr>
        <w:t xml:space="preserve">, and Russia. Mr. Morgan </w:t>
      </w:r>
      <w:r w:rsidRPr="009C76DE">
        <w:rPr>
          <w:shd w:val="clear" w:color="auto" w:fill="FFFFFF"/>
        </w:rPr>
        <w:t>attended St. Francis Xavier University at Antigonish, Nova Scotia</w:t>
      </w:r>
      <w:r>
        <w:rPr>
          <w:shd w:val="clear" w:color="auto" w:fill="FFFFFF"/>
        </w:rPr>
        <w:t>.</w:t>
      </w:r>
    </w:p>
    <w:p w14:paraId="6D0B3E2D" w14:textId="77777777" w:rsidR="003F5CE9" w:rsidRDefault="003F5CE9" w:rsidP="0041485F">
      <w:pPr>
        <w:jc w:val="both"/>
        <w:rPr>
          <w:rFonts w:ascii="Calibri" w:hAnsi="Calibri" w:cs="Calibri"/>
        </w:rPr>
      </w:pPr>
    </w:p>
    <w:p w14:paraId="10F7BBD1" w14:textId="6FCE1256" w:rsidR="0007665D" w:rsidRPr="00883864" w:rsidRDefault="00F90ECA" w:rsidP="0041485F">
      <w:pPr>
        <w:jc w:val="both"/>
        <w:rPr>
          <w:rStyle w:val="None"/>
          <w:rFonts w:ascii="Calibri" w:hAnsi="Calibri" w:cs="Calibri"/>
        </w:rPr>
      </w:pPr>
      <w:r w:rsidRPr="008B768F">
        <w:rPr>
          <w:rStyle w:val="None"/>
          <w:rFonts w:ascii="Calibri" w:hAnsi="Calibri" w:cs="Calibri"/>
          <w:b/>
          <w:bCs/>
        </w:rPr>
        <w:t xml:space="preserve">Michael Iverson, CEO states, </w:t>
      </w:r>
      <w:r w:rsidRPr="008B768F">
        <w:rPr>
          <w:rStyle w:val="None"/>
          <w:rFonts w:ascii="Calibri" w:hAnsi="Calibri" w:cs="Calibri"/>
        </w:rPr>
        <w:t>“</w:t>
      </w:r>
      <w:r w:rsidR="007A7C9F">
        <w:rPr>
          <w:rStyle w:val="None"/>
          <w:rFonts w:ascii="Calibri" w:hAnsi="Calibri" w:cs="Calibri"/>
        </w:rPr>
        <w:t>The addition of Dr</w:t>
      </w:r>
      <w:r w:rsidR="00FC663C">
        <w:rPr>
          <w:rStyle w:val="None"/>
          <w:rFonts w:ascii="Calibri" w:hAnsi="Calibri" w:cs="Calibri"/>
        </w:rPr>
        <w:t>.</w:t>
      </w:r>
      <w:r w:rsidR="007A7C9F">
        <w:rPr>
          <w:rStyle w:val="None"/>
          <w:rFonts w:ascii="Calibri" w:hAnsi="Calibri" w:cs="Calibri"/>
        </w:rPr>
        <w:t xml:space="preserve"> Alper</w:t>
      </w:r>
      <w:r w:rsidR="001C2EFB">
        <w:rPr>
          <w:rStyle w:val="None"/>
          <w:rFonts w:ascii="Calibri" w:hAnsi="Calibri" w:cs="Calibri"/>
        </w:rPr>
        <w:t>, Brad Scharfe,</w:t>
      </w:r>
      <w:r w:rsidR="007A7C9F">
        <w:rPr>
          <w:rStyle w:val="None"/>
          <w:rFonts w:ascii="Calibri" w:hAnsi="Calibri" w:cs="Calibri"/>
        </w:rPr>
        <w:t xml:space="preserve"> and Tom Morgan to the Prospect Ridge family is very exciting, confidence inspiring, and makes us stronger and more capable. </w:t>
      </w:r>
      <w:r w:rsidR="0007665D">
        <w:rPr>
          <w:rStyle w:val="None"/>
          <w:rFonts w:ascii="Calibri" w:hAnsi="Calibri" w:cs="Calibri"/>
        </w:rPr>
        <w:t>Both</w:t>
      </w:r>
      <w:r w:rsidR="007A7C9F">
        <w:rPr>
          <w:rStyle w:val="None"/>
          <w:rFonts w:ascii="Calibri" w:hAnsi="Calibri" w:cs="Calibri"/>
        </w:rPr>
        <w:t xml:space="preserve"> gentlemen see the enormous potential we have on the Knauss Creek and Holy Grail properties and believe we </w:t>
      </w:r>
      <w:r w:rsidR="0007665D">
        <w:rPr>
          <w:rStyle w:val="None"/>
          <w:rFonts w:ascii="Calibri" w:hAnsi="Calibri" w:cs="Calibri"/>
        </w:rPr>
        <w:t>are going to prove-up the next major gold property.</w:t>
      </w:r>
      <w:r w:rsidR="00FC663C">
        <w:rPr>
          <w:rStyle w:val="None"/>
          <w:rFonts w:ascii="Calibri" w:hAnsi="Calibri" w:cs="Calibri"/>
        </w:rPr>
        <w:t xml:space="preserve"> </w:t>
      </w:r>
      <w:r w:rsidR="0007665D">
        <w:rPr>
          <w:rStyle w:val="None"/>
          <w:rFonts w:ascii="Calibri" w:hAnsi="Calibri" w:cs="Calibri"/>
        </w:rPr>
        <w:t>With Dr. Alper</w:t>
      </w:r>
      <w:r w:rsidR="001C2EFB">
        <w:rPr>
          <w:rStyle w:val="None"/>
          <w:rFonts w:ascii="Calibri" w:hAnsi="Calibri" w:cs="Calibri"/>
        </w:rPr>
        <w:t xml:space="preserve"> and Brad</w:t>
      </w:r>
      <w:r w:rsidR="0007665D">
        <w:rPr>
          <w:rStyle w:val="None"/>
          <w:rFonts w:ascii="Calibri" w:hAnsi="Calibri" w:cs="Calibri"/>
        </w:rPr>
        <w:t xml:space="preserve"> in the boardroom</w:t>
      </w:r>
      <w:r w:rsidR="001C2EFB">
        <w:rPr>
          <w:rStyle w:val="None"/>
          <w:rFonts w:ascii="Calibri" w:hAnsi="Calibri" w:cs="Calibri"/>
        </w:rPr>
        <w:t>,</w:t>
      </w:r>
      <w:r w:rsidR="0007665D">
        <w:rPr>
          <w:rStyle w:val="None"/>
          <w:rFonts w:ascii="Calibri" w:hAnsi="Calibri" w:cs="Calibri"/>
        </w:rPr>
        <w:t xml:space="preserve"> and Mr. Morgan in the field we are additionally set up for success. 2022 is going to be a year for the record books.”</w:t>
      </w:r>
    </w:p>
    <w:p w14:paraId="4AC23CE4" w14:textId="77777777" w:rsidR="00F90ECA" w:rsidRPr="0067049A" w:rsidRDefault="00F90ECA">
      <w:pPr>
        <w:pStyle w:val="NormalWeb"/>
        <w:spacing w:before="0" w:after="0"/>
        <w:jc w:val="both"/>
        <w:rPr>
          <w:rFonts w:ascii="Calibri" w:hAnsi="Calibri" w:cs="Calibri"/>
          <w:sz w:val="23"/>
          <w:szCs w:val="23"/>
        </w:rPr>
      </w:pPr>
    </w:p>
    <w:p w14:paraId="18A6C49B" w14:textId="77777777" w:rsidR="00F90ECA" w:rsidRPr="0067049A" w:rsidRDefault="00F90ECA">
      <w:pPr>
        <w:pStyle w:val="BodyA"/>
        <w:jc w:val="both"/>
        <w:rPr>
          <w:rStyle w:val="None"/>
          <w:rFonts w:ascii="Times New Roman" w:hAnsi="Times New Roman" w:cs="Calibri"/>
          <w:b/>
          <w:bCs/>
          <w:sz w:val="23"/>
          <w:szCs w:val="23"/>
          <w14:textOutline w14:w="0" w14:cap="rnd" w14:cmpd="sng" w14:algn="ctr">
            <w14:noFill/>
            <w14:prstDash w14:val="solid"/>
            <w14:bevel/>
          </w14:textOutline>
        </w:rPr>
      </w:pPr>
      <w:r w:rsidRPr="0067049A">
        <w:rPr>
          <w:rStyle w:val="None"/>
          <w:rFonts w:cs="Calibri"/>
          <w:b/>
          <w:bCs/>
          <w:sz w:val="23"/>
          <w:szCs w:val="23"/>
        </w:rPr>
        <w:t xml:space="preserve">Qualified Person </w:t>
      </w:r>
    </w:p>
    <w:p w14:paraId="6847E6D6" w14:textId="77777777" w:rsidR="0085387F" w:rsidRPr="0067049A" w:rsidRDefault="009625AC">
      <w:pPr>
        <w:pStyle w:val="BodyA"/>
        <w:jc w:val="both"/>
        <w:rPr>
          <w:rStyle w:val="None"/>
          <w:rFonts w:cs="Calibri"/>
          <w:b/>
          <w:bCs/>
          <w:sz w:val="23"/>
          <w:szCs w:val="23"/>
        </w:rPr>
      </w:pPr>
    </w:p>
    <w:p w14:paraId="296F91C9" w14:textId="77777777" w:rsidR="0085387F" w:rsidRPr="0067049A" w:rsidRDefault="00B71F70">
      <w:pPr>
        <w:pStyle w:val="BodyA"/>
        <w:jc w:val="both"/>
        <w:rPr>
          <w:rStyle w:val="None"/>
          <w:rFonts w:cs="Calibri"/>
          <w:sz w:val="23"/>
          <w:szCs w:val="23"/>
        </w:rPr>
      </w:pPr>
      <w:r w:rsidRPr="0067049A">
        <w:rPr>
          <w:rStyle w:val="None"/>
          <w:rFonts w:cs="Calibri"/>
          <w:sz w:val="23"/>
          <w:szCs w:val="23"/>
        </w:rPr>
        <w:t xml:space="preserve">All scientific or technical information included in this news release has been reviewed, </w:t>
      </w:r>
      <w:proofErr w:type="gramStart"/>
      <w:r w:rsidRPr="0067049A">
        <w:rPr>
          <w:rStyle w:val="None"/>
          <w:rFonts w:cs="Calibri"/>
          <w:sz w:val="23"/>
          <w:szCs w:val="23"/>
        </w:rPr>
        <w:t>verified</w:t>
      </w:r>
      <w:proofErr w:type="gramEnd"/>
      <w:r w:rsidRPr="0067049A">
        <w:rPr>
          <w:rStyle w:val="None"/>
          <w:rFonts w:cs="Calibri"/>
          <w:sz w:val="23"/>
          <w:szCs w:val="23"/>
        </w:rPr>
        <w:t xml:space="preserve"> and approved by Rein Turna, </w:t>
      </w:r>
      <w:proofErr w:type="spellStart"/>
      <w:r w:rsidRPr="0067049A">
        <w:rPr>
          <w:rStyle w:val="None"/>
          <w:rFonts w:cs="Calibri"/>
          <w:sz w:val="23"/>
          <w:szCs w:val="23"/>
        </w:rPr>
        <w:t>P.Geol</w:t>
      </w:r>
      <w:proofErr w:type="spellEnd"/>
      <w:r w:rsidRPr="0067049A">
        <w:rPr>
          <w:rStyle w:val="None"/>
          <w:rFonts w:cs="Calibri"/>
          <w:sz w:val="23"/>
          <w:szCs w:val="23"/>
        </w:rPr>
        <w:t>., a consultant to the Company and a qualified person as defined by National Instrument 43-101.</w:t>
      </w:r>
    </w:p>
    <w:p w14:paraId="38389107" w14:textId="77777777" w:rsidR="0085387F" w:rsidRPr="0067049A" w:rsidRDefault="009625AC">
      <w:pPr>
        <w:pStyle w:val="BodyA"/>
        <w:jc w:val="both"/>
        <w:rPr>
          <w:rFonts w:cs="Calibri"/>
          <w:sz w:val="23"/>
          <w:szCs w:val="23"/>
        </w:rPr>
      </w:pPr>
    </w:p>
    <w:p w14:paraId="6D209E8B" w14:textId="43F5E148" w:rsidR="0085387F" w:rsidRPr="0067049A" w:rsidRDefault="00B71F70">
      <w:pPr>
        <w:pStyle w:val="BodyA"/>
        <w:jc w:val="both"/>
        <w:rPr>
          <w:rStyle w:val="None"/>
          <w:rFonts w:cs="Calibri"/>
          <w:b/>
          <w:bCs/>
          <w:sz w:val="23"/>
          <w:szCs w:val="23"/>
        </w:rPr>
      </w:pPr>
      <w:r w:rsidRPr="0067049A">
        <w:rPr>
          <w:rStyle w:val="None"/>
          <w:rFonts w:cs="Calibri"/>
          <w:b/>
          <w:bCs/>
          <w:sz w:val="23"/>
          <w:szCs w:val="23"/>
        </w:rPr>
        <w:t>About Holy Grail</w:t>
      </w:r>
      <w:r w:rsidR="00DC7CE4">
        <w:rPr>
          <w:rStyle w:val="None"/>
          <w:rFonts w:cs="Calibri"/>
          <w:b/>
          <w:bCs/>
          <w:sz w:val="23"/>
          <w:szCs w:val="23"/>
        </w:rPr>
        <w:t xml:space="preserve"> &amp; Knauss Creek</w:t>
      </w:r>
    </w:p>
    <w:p w14:paraId="176F3502" w14:textId="77777777" w:rsidR="0085387F" w:rsidRPr="0067049A" w:rsidRDefault="009625AC">
      <w:pPr>
        <w:pStyle w:val="BodyA"/>
        <w:jc w:val="both"/>
        <w:rPr>
          <w:rStyle w:val="None"/>
          <w:rFonts w:cs="Calibri"/>
          <w:b/>
          <w:bCs/>
          <w:sz w:val="23"/>
          <w:szCs w:val="23"/>
        </w:rPr>
      </w:pPr>
    </w:p>
    <w:p w14:paraId="2051409B" w14:textId="77777777" w:rsidR="0085387F" w:rsidRPr="0067049A" w:rsidRDefault="00B71F70">
      <w:pPr>
        <w:pStyle w:val="BodyA"/>
        <w:jc w:val="both"/>
        <w:rPr>
          <w:rFonts w:cs="Calibri"/>
          <w:sz w:val="23"/>
          <w:szCs w:val="23"/>
        </w:rPr>
      </w:pPr>
      <w:r w:rsidRPr="0067049A">
        <w:rPr>
          <w:rStyle w:val="None"/>
          <w:rFonts w:cs="Calibri"/>
          <w:sz w:val="23"/>
          <w:szCs w:val="23"/>
        </w:rPr>
        <w:t xml:space="preserve">The Holy Grail Property is 10 kilometers outside of Terrace within 45 km from </w:t>
      </w:r>
      <w:r>
        <w:rPr>
          <w:rStyle w:val="None"/>
          <w:rFonts w:cs="Calibri"/>
          <w:sz w:val="23"/>
          <w:szCs w:val="23"/>
        </w:rPr>
        <w:t xml:space="preserve">a </w:t>
      </w:r>
      <w:r w:rsidRPr="0067049A">
        <w:rPr>
          <w:rStyle w:val="None"/>
          <w:rFonts w:cs="Calibri"/>
          <w:sz w:val="23"/>
          <w:szCs w:val="23"/>
        </w:rPr>
        <w:t xml:space="preserve">smelter and deep </w:t>
      </w:r>
      <w:proofErr w:type="gramStart"/>
      <w:r w:rsidRPr="0067049A">
        <w:rPr>
          <w:rStyle w:val="None"/>
          <w:rFonts w:cs="Calibri"/>
          <w:sz w:val="23"/>
          <w:szCs w:val="23"/>
        </w:rPr>
        <w:t>sea port</w:t>
      </w:r>
      <w:proofErr w:type="gramEnd"/>
      <w:r>
        <w:rPr>
          <w:rStyle w:val="None"/>
          <w:rFonts w:cs="Calibri"/>
          <w:sz w:val="23"/>
          <w:szCs w:val="23"/>
        </w:rPr>
        <w:t>. T</w:t>
      </w:r>
      <w:r w:rsidRPr="0067049A">
        <w:rPr>
          <w:rStyle w:val="None"/>
          <w:rFonts w:cs="Calibri"/>
          <w:sz w:val="23"/>
          <w:szCs w:val="23"/>
        </w:rPr>
        <w:t xml:space="preserve">he property is easy-accessible bounded by two highways with CN rail, high tension power crossing the property and a network of logging roads over approximately 80% of the property which will make for a very cost-effective exploration and strong feasibility. Some of the key areas are located below tree line and can be worked nearly year-round. </w:t>
      </w:r>
    </w:p>
    <w:p w14:paraId="68283A98" w14:textId="77777777" w:rsidR="0085387F" w:rsidRPr="0067049A" w:rsidRDefault="009625AC">
      <w:pPr>
        <w:pStyle w:val="BodyA"/>
        <w:jc w:val="both"/>
        <w:rPr>
          <w:rFonts w:cs="Calibri"/>
          <w:sz w:val="23"/>
          <w:szCs w:val="23"/>
        </w:rPr>
      </w:pPr>
    </w:p>
    <w:p w14:paraId="6A5CD393" w14:textId="3515001B" w:rsidR="0085387F" w:rsidRPr="0067049A" w:rsidRDefault="00B71F70">
      <w:pPr>
        <w:pStyle w:val="BodyA"/>
        <w:jc w:val="both"/>
        <w:rPr>
          <w:rStyle w:val="None"/>
          <w:rFonts w:cs="Calibri"/>
          <w:b/>
          <w:bCs/>
          <w:sz w:val="23"/>
          <w:szCs w:val="23"/>
        </w:rPr>
      </w:pPr>
      <w:r w:rsidRPr="0067049A">
        <w:rPr>
          <w:rStyle w:val="None"/>
          <w:rFonts w:cs="Calibri"/>
          <w:sz w:val="23"/>
          <w:szCs w:val="23"/>
        </w:rPr>
        <w:t xml:space="preserve">The Holy Grail district sized package now contains over </w:t>
      </w:r>
      <w:r w:rsidR="00DC7CE4">
        <w:rPr>
          <w:rStyle w:val="None"/>
          <w:rFonts w:cs="Calibri"/>
          <w:sz w:val="23"/>
          <w:szCs w:val="23"/>
        </w:rPr>
        <w:t>7</w:t>
      </w:r>
      <w:r w:rsidRPr="0067049A">
        <w:rPr>
          <w:rStyle w:val="None"/>
          <w:rFonts w:cs="Calibri"/>
          <w:sz w:val="23"/>
          <w:szCs w:val="23"/>
        </w:rPr>
        <w:t>0,000 hectares.  The property was selected based on regional geological, structural, and geochemical resemblances that coincide with mineralization 50 km northwest in the Golden Triangle.  The company believe the project has the potential for a district scale hydrothermal system and will extend the boundaries of the Golden Triangle to cover this vast under-explored region</w:t>
      </w:r>
      <w:r>
        <w:rPr>
          <w:rStyle w:val="None"/>
          <w:rFonts w:cs="Calibri"/>
          <w:sz w:val="23"/>
          <w:szCs w:val="23"/>
        </w:rPr>
        <w:t>.</w:t>
      </w:r>
    </w:p>
    <w:p w14:paraId="062D9FFF" w14:textId="01B1DC36" w:rsidR="0085387F" w:rsidRDefault="009625AC">
      <w:pPr>
        <w:pStyle w:val="BodyA"/>
        <w:keepNext/>
        <w:jc w:val="both"/>
        <w:rPr>
          <w:rStyle w:val="None"/>
          <w:rFonts w:cs="Calibri"/>
          <w:b/>
          <w:bCs/>
          <w:sz w:val="23"/>
          <w:szCs w:val="23"/>
        </w:rPr>
      </w:pPr>
    </w:p>
    <w:p w14:paraId="6DFF0D06" w14:textId="62E45398" w:rsidR="00DC7CE4" w:rsidRPr="00DC7CE4" w:rsidRDefault="00DC7CE4" w:rsidP="0041485F">
      <w:pPr>
        <w:jc w:val="both"/>
        <w:rPr>
          <w:rFonts w:ascii="Calibri" w:hAnsi="Calibri" w:cs="Calibri"/>
          <w:sz w:val="23"/>
          <w:szCs w:val="23"/>
        </w:rPr>
      </w:pPr>
      <w:r w:rsidRPr="00DC7CE4">
        <w:rPr>
          <w:rFonts w:ascii="Calibri" w:hAnsi="Calibri" w:cs="Calibri"/>
          <w:sz w:val="23"/>
          <w:szCs w:val="23"/>
        </w:rPr>
        <w:t xml:space="preserve">The </w:t>
      </w:r>
      <w:r>
        <w:rPr>
          <w:rFonts w:ascii="Calibri" w:hAnsi="Calibri" w:cs="Calibri"/>
          <w:sz w:val="23"/>
          <w:szCs w:val="23"/>
        </w:rPr>
        <w:t>Knauss Creek property</w:t>
      </w:r>
      <w:r w:rsidRPr="00DC7CE4">
        <w:rPr>
          <w:rFonts w:ascii="Calibri" w:hAnsi="Calibri" w:cs="Calibri"/>
          <w:sz w:val="23"/>
          <w:szCs w:val="23"/>
        </w:rPr>
        <w:t xml:space="preserve"> is underlain by Upper Jurassic to Mid-Cretaceous Bowser Lake Group sedimentary rocks and Upper Triassic to Middle Jurassic Hazelton Group volcano-sedimentary rocks. Bowser Lake and Hazelton group rocks have been intruded by the Eocene aged Carpenter Creek Pluton in the southwestern part of the property and by Eocene rhyolite dykes in the central part of the property. Regionally, significant east-west trending faults cut the area, with veining and faulting showing a similar general trend.</w:t>
      </w:r>
    </w:p>
    <w:p w14:paraId="6CA385E7" w14:textId="77777777" w:rsidR="00DC7CE4" w:rsidRPr="00DC7CE4" w:rsidRDefault="00DC7CE4" w:rsidP="0041485F">
      <w:pPr>
        <w:jc w:val="both"/>
        <w:rPr>
          <w:rFonts w:ascii="Calibri" w:hAnsi="Calibri" w:cs="Calibri"/>
          <w:sz w:val="23"/>
          <w:szCs w:val="23"/>
        </w:rPr>
      </w:pPr>
    </w:p>
    <w:p w14:paraId="5854F051" w14:textId="43437CD6" w:rsidR="00DC7CE4" w:rsidRPr="00DC7CE4" w:rsidRDefault="00DC7CE4" w:rsidP="0041485F">
      <w:pPr>
        <w:jc w:val="both"/>
        <w:rPr>
          <w:rFonts w:ascii="Calibri" w:hAnsi="Calibri" w:cs="Calibri"/>
          <w:sz w:val="23"/>
          <w:szCs w:val="23"/>
        </w:rPr>
      </w:pPr>
      <w:r w:rsidRPr="00DC7CE4">
        <w:rPr>
          <w:rFonts w:ascii="Calibri" w:hAnsi="Calibri" w:cs="Calibri"/>
          <w:sz w:val="23"/>
          <w:szCs w:val="23"/>
        </w:rPr>
        <w:lastRenderedPageBreak/>
        <w:t xml:space="preserve">Mineralization is structurally and stratigraphically controlled and is hosted within argillaceous sedimentary rocks and diorite intrusions, which are also likely the driver of the mineralized system. Auriferous-polymetallic-quartz veins on the property have returned values up to 240 g/t Au, 1644 g/t Ag, 2.3% Cu, 50.22% Pb and 13.88% Zn. The </w:t>
      </w:r>
      <w:r w:rsidR="001023F4">
        <w:rPr>
          <w:rFonts w:ascii="Calibri" w:hAnsi="Calibri" w:cs="Calibri"/>
          <w:sz w:val="23"/>
          <w:szCs w:val="23"/>
        </w:rPr>
        <w:t>Knauss Creek property</w:t>
      </w:r>
      <w:r w:rsidRPr="00DC7CE4">
        <w:rPr>
          <w:rFonts w:ascii="Calibri" w:hAnsi="Calibri" w:cs="Calibri"/>
          <w:sz w:val="23"/>
          <w:szCs w:val="23"/>
        </w:rPr>
        <w:t xml:space="preserve"> covers 3 known mineral occurrences and the past producing Doreen mine. In 1952, 476 </w:t>
      </w:r>
      <w:proofErr w:type="spellStart"/>
      <w:r w:rsidRPr="00DC7CE4">
        <w:rPr>
          <w:rFonts w:ascii="Calibri" w:hAnsi="Calibri" w:cs="Calibri"/>
          <w:sz w:val="23"/>
          <w:szCs w:val="23"/>
        </w:rPr>
        <w:t>tonnes</w:t>
      </w:r>
      <w:proofErr w:type="spellEnd"/>
      <w:r w:rsidRPr="00DC7CE4">
        <w:rPr>
          <w:rFonts w:ascii="Calibri" w:hAnsi="Calibri" w:cs="Calibri"/>
          <w:sz w:val="23"/>
          <w:szCs w:val="23"/>
        </w:rPr>
        <w:t xml:space="preserve"> of ore were shipped, producing 3266 grams of Au, 8118 grams of Ag, 3137 kg of Pb and 1342 kg of Zn. </w:t>
      </w:r>
    </w:p>
    <w:p w14:paraId="4D9447F0" w14:textId="77777777" w:rsidR="00DC7CE4" w:rsidRPr="00DC7CE4" w:rsidRDefault="00DC7CE4" w:rsidP="0041485F">
      <w:pPr>
        <w:jc w:val="both"/>
        <w:rPr>
          <w:rFonts w:ascii="Calibri" w:hAnsi="Calibri" w:cs="Calibri"/>
          <w:sz w:val="23"/>
          <w:szCs w:val="23"/>
        </w:rPr>
      </w:pPr>
    </w:p>
    <w:p w14:paraId="4C98AD56" w14:textId="77777777" w:rsidR="00DC7CE4" w:rsidRPr="00DC7CE4" w:rsidRDefault="00DC7CE4" w:rsidP="0041485F">
      <w:pPr>
        <w:jc w:val="both"/>
        <w:rPr>
          <w:rFonts w:ascii="Calibri" w:hAnsi="Calibri" w:cs="Calibri"/>
          <w:sz w:val="23"/>
          <w:szCs w:val="23"/>
        </w:rPr>
      </w:pPr>
      <w:r w:rsidRPr="00DC7CE4">
        <w:rPr>
          <w:rFonts w:ascii="Calibri" w:hAnsi="Calibri" w:cs="Calibri"/>
          <w:sz w:val="23"/>
          <w:szCs w:val="23"/>
        </w:rPr>
        <w:t xml:space="preserve">An alternate occurrence in the zone displays multiple near vertical </w:t>
      </w:r>
      <w:proofErr w:type="spellStart"/>
      <w:r w:rsidRPr="00DC7CE4">
        <w:rPr>
          <w:rFonts w:ascii="Calibri" w:hAnsi="Calibri" w:cs="Calibri"/>
          <w:sz w:val="23"/>
          <w:szCs w:val="23"/>
        </w:rPr>
        <w:t>sulphide</w:t>
      </w:r>
      <w:proofErr w:type="spellEnd"/>
      <w:r w:rsidRPr="00DC7CE4">
        <w:rPr>
          <w:rFonts w:ascii="Calibri" w:hAnsi="Calibri" w:cs="Calibri"/>
          <w:sz w:val="23"/>
          <w:szCs w:val="23"/>
        </w:rPr>
        <w:t xml:space="preserve">-rich veins up to 2.5m wide occur in sub-parallel sets with broader alteration halos containing disseminated </w:t>
      </w:r>
      <w:proofErr w:type="spellStart"/>
      <w:r w:rsidRPr="00DC7CE4">
        <w:rPr>
          <w:rFonts w:ascii="Calibri" w:hAnsi="Calibri" w:cs="Calibri"/>
          <w:sz w:val="23"/>
          <w:szCs w:val="23"/>
        </w:rPr>
        <w:t>sulphide</w:t>
      </w:r>
      <w:proofErr w:type="spellEnd"/>
      <w:r w:rsidRPr="00DC7CE4">
        <w:rPr>
          <w:rFonts w:ascii="Calibri" w:hAnsi="Calibri" w:cs="Calibri"/>
          <w:sz w:val="23"/>
          <w:szCs w:val="23"/>
        </w:rPr>
        <w:t xml:space="preserve">. Ore minerology consists of pyrite, galena, chalcopyrite, sphalerite and tetrahedrite.  </w:t>
      </w:r>
    </w:p>
    <w:p w14:paraId="1F59B346" w14:textId="4F3F4BFD" w:rsidR="00DC7CE4" w:rsidRDefault="00DC7CE4">
      <w:pPr>
        <w:pStyle w:val="BodyA"/>
        <w:keepNext/>
        <w:jc w:val="both"/>
        <w:rPr>
          <w:rStyle w:val="None"/>
          <w:rFonts w:ascii="Times New Roman" w:hAnsi="Times New Roman" w:cs="Calibri"/>
          <w:b/>
          <w:bCs/>
          <w:color w:val="auto"/>
          <w:sz w:val="23"/>
          <w:szCs w:val="23"/>
          <w14:textOutline w14:w="0" w14:cap="rnd" w14:cmpd="sng" w14:algn="ctr">
            <w14:noFill/>
            <w14:prstDash w14:val="solid"/>
            <w14:bevel/>
          </w14:textOutline>
        </w:rPr>
      </w:pPr>
    </w:p>
    <w:p w14:paraId="4A53054C" w14:textId="77777777" w:rsidR="00DC7CE4" w:rsidRPr="0067049A" w:rsidRDefault="00DC7CE4">
      <w:pPr>
        <w:pStyle w:val="BodyA"/>
        <w:keepNext/>
        <w:jc w:val="both"/>
        <w:rPr>
          <w:rStyle w:val="None"/>
          <w:rFonts w:cs="Calibri"/>
          <w:b/>
          <w:bCs/>
          <w:sz w:val="23"/>
          <w:szCs w:val="23"/>
        </w:rPr>
      </w:pPr>
    </w:p>
    <w:p w14:paraId="1F5FBB34" w14:textId="77777777" w:rsidR="0085387F" w:rsidRPr="0067049A" w:rsidRDefault="00B71F70">
      <w:pPr>
        <w:pStyle w:val="BodyA"/>
        <w:keepNext/>
        <w:jc w:val="both"/>
        <w:rPr>
          <w:rStyle w:val="None"/>
          <w:rFonts w:cs="Calibri"/>
          <w:b/>
          <w:bCs/>
          <w:sz w:val="23"/>
          <w:szCs w:val="23"/>
        </w:rPr>
      </w:pPr>
      <w:r w:rsidRPr="0067049A">
        <w:rPr>
          <w:rStyle w:val="None"/>
          <w:rFonts w:cs="Calibri"/>
          <w:b/>
          <w:bCs/>
          <w:sz w:val="23"/>
          <w:szCs w:val="23"/>
        </w:rPr>
        <w:t>About Prospect Ridge Resources Corp.</w:t>
      </w:r>
    </w:p>
    <w:p w14:paraId="369D6AE5" w14:textId="77777777" w:rsidR="0085387F" w:rsidRPr="0067049A" w:rsidRDefault="009625AC">
      <w:pPr>
        <w:pStyle w:val="BodyA"/>
        <w:keepNext/>
        <w:jc w:val="both"/>
        <w:rPr>
          <w:rStyle w:val="None"/>
          <w:rFonts w:cs="Calibri"/>
          <w:b/>
          <w:bCs/>
          <w:sz w:val="23"/>
          <w:szCs w:val="23"/>
        </w:rPr>
      </w:pPr>
    </w:p>
    <w:p w14:paraId="501AA516" w14:textId="77777777" w:rsidR="0085387F" w:rsidRDefault="00B71F70">
      <w:pPr>
        <w:pStyle w:val="BodyA"/>
        <w:jc w:val="both"/>
        <w:rPr>
          <w:rStyle w:val="None"/>
          <w:rFonts w:cs="Calibri"/>
          <w:sz w:val="23"/>
          <w:szCs w:val="23"/>
        </w:rPr>
      </w:pPr>
      <w:r w:rsidRPr="0067049A">
        <w:rPr>
          <w:rStyle w:val="None"/>
          <w:rFonts w:cs="Calibri"/>
          <w:sz w:val="23"/>
          <w:szCs w:val="23"/>
        </w:rPr>
        <w:t>Prospect Ridge Resources Corp. is a BC based exploration and development company focused on strategic mineral exploration in Canada concurrently with developing a location in British Columbia and Quebec. Prospect Ridge</w:t>
      </w:r>
      <w:r w:rsidRPr="0067049A">
        <w:rPr>
          <w:rStyle w:val="None"/>
          <w:rFonts w:cs="Calibri"/>
          <w:sz w:val="23"/>
          <w:szCs w:val="23"/>
          <w:rtl/>
          <w:lang w:val="ar-SA"/>
        </w:rPr>
        <w:t>’</w:t>
      </w:r>
      <w:r w:rsidRPr="0067049A">
        <w:rPr>
          <w:rStyle w:val="None"/>
          <w:rFonts w:cs="Calibri"/>
          <w:sz w:val="23"/>
          <w:szCs w:val="23"/>
        </w:rPr>
        <w:t>s technical team and management with over 100 combined years of mineral exploration experience believes the Holy Grail to have the potential for a district scale hydrothermal system and will extend the boundaries of the Golden Triangle to cover this vast under-explored region.</w:t>
      </w:r>
    </w:p>
    <w:p w14:paraId="293C2B4A" w14:textId="77777777" w:rsidR="00122D94" w:rsidRPr="0067049A" w:rsidRDefault="009625AC">
      <w:pPr>
        <w:pStyle w:val="BodyA"/>
        <w:jc w:val="both"/>
        <w:rPr>
          <w:rFonts w:cs="Calibri"/>
          <w:sz w:val="23"/>
          <w:szCs w:val="23"/>
        </w:rPr>
      </w:pPr>
    </w:p>
    <w:p w14:paraId="045577C0" w14:textId="77777777" w:rsidR="0085387F" w:rsidRPr="0067049A" w:rsidRDefault="00B71F70">
      <w:pPr>
        <w:pStyle w:val="NormalWeb"/>
        <w:keepNext/>
        <w:spacing w:before="0" w:after="0"/>
        <w:jc w:val="both"/>
        <w:rPr>
          <w:rStyle w:val="None"/>
          <w:rFonts w:ascii="Calibri" w:eastAsia="Calibri" w:hAnsi="Calibri" w:cs="Calibri"/>
          <w:b/>
          <w:bCs/>
          <w:sz w:val="23"/>
          <w:szCs w:val="23"/>
          <w14:textOutline w14:w="12700" w14:cap="flat" w14:cmpd="sng" w14:algn="ctr">
            <w14:noFill/>
            <w14:prstDash w14:val="solid"/>
            <w14:miter w14:lim="400000"/>
          </w14:textOutline>
        </w:rPr>
      </w:pPr>
      <w:r w:rsidRPr="0067049A">
        <w:rPr>
          <w:rStyle w:val="None"/>
          <w:rFonts w:ascii="Calibri" w:hAnsi="Calibri" w:cs="Calibri"/>
          <w:b/>
          <w:bCs/>
          <w:sz w:val="23"/>
          <w:szCs w:val="23"/>
        </w:rPr>
        <w:t>Contact Information</w:t>
      </w:r>
    </w:p>
    <w:p w14:paraId="5DDFA743" w14:textId="77777777" w:rsidR="0085387F" w:rsidRPr="0067049A" w:rsidRDefault="00B71F70">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Prospect Ridge Resources Corp.</w:t>
      </w:r>
    </w:p>
    <w:p w14:paraId="68209D1D" w14:textId="77777777" w:rsidR="0085387F" w:rsidRPr="0067049A" w:rsidRDefault="00B71F70">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Michael Iverson, Chief Executive Officer</w:t>
      </w:r>
      <w:r w:rsidRPr="0067049A">
        <w:rPr>
          <w:rStyle w:val="None"/>
          <w:rFonts w:ascii="Calibri" w:hAnsi="Calibri" w:cs="Calibri"/>
          <w:sz w:val="23"/>
          <w:szCs w:val="23"/>
        </w:rPr>
        <w:tab/>
      </w:r>
    </w:p>
    <w:p w14:paraId="46385154" w14:textId="77777777" w:rsidR="0085387F" w:rsidRPr="0067049A" w:rsidRDefault="00B71F70">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Email: schen@redfernconsulting.ca</w:t>
      </w:r>
    </w:p>
    <w:p w14:paraId="7994DDA7" w14:textId="22CD2A44" w:rsidR="0085387F" w:rsidRPr="0067049A" w:rsidRDefault="00B71F70">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 xml:space="preserve">Telephone: </w:t>
      </w:r>
      <w:r w:rsidR="00BB6D86">
        <w:rPr>
          <w:rStyle w:val="None"/>
          <w:rFonts w:ascii="Calibri" w:hAnsi="Calibri" w:cs="Calibri"/>
          <w:sz w:val="23"/>
          <w:szCs w:val="23"/>
        </w:rPr>
        <w:t>604-838-0184</w:t>
      </w:r>
    </w:p>
    <w:p w14:paraId="5F083D36" w14:textId="77777777" w:rsidR="0085387F" w:rsidRPr="0067049A" w:rsidRDefault="009625AC">
      <w:pPr>
        <w:pStyle w:val="BodyA"/>
        <w:jc w:val="both"/>
        <w:rPr>
          <w:rStyle w:val="EmphasisA"/>
          <w:rFonts w:cs="Calibri"/>
          <w:sz w:val="23"/>
          <w:szCs w:val="23"/>
          <w14:textOutline w14:w="0" w14:cap="rnd" w14:cmpd="sng" w14:algn="ctr">
            <w14:noFill/>
            <w14:prstDash w14:val="solid"/>
            <w14:bevel/>
          </w14:textOutline>
        </w:rPr>
      </w:pPr>
    </w:p>
    <w:p w14:paraId="5A213009" w14:textId="77777777" w:rsidR="0085387F" w:rsidRPr="0067049A" w:rsidRDefault="00B71F70">
      <w:pPr>
        <w:pStyle w:val="BodyA"/>
        <w:jc w:val="both"/>
        <w:rPr>
          <w:rStyle w:val="None"/>
          <w:rFonts w:cs="Calibri"/>
          <w:i/>
          <w:iCs/>
          <w:sz w:val="23"/>
          <w:szCs w:val="23"/>
        </w:rPr>
      </w:pPr>
      <w:r w:rsidRPr="0067049A">
        <w:rPr>
          <w:rStyle w:val="None"/>
          <w:rFonts w:cs="Calibri"/>
          <w:i/>
          <w:iCs/>
          <w:sz w:val="23"/>
          <w:szCs w:val="23"/>
        </w:rPr>
        <w:t>Neither the Canadian Securities Exchange nor its Regulation Services Provider (as that term is defined in the policies of the Canadian Securities Exchange) accepts responsibility for the adequacy or accuracy of this release.</w:t>
      </w:r>
    </w:p>
    <w:p w14:paraId="463CA6EE" w14:textId="77777777" w:rsidR="0085387F" w:rsidRPr="0067049A" w:rsidRDefault="009625AC">
      <w:pPr>
        <w:pStyle w:val="BodyA"/>
        <w:jc w:val="both"/>
        <w:rPr>
          <w:rStyle w:val="None"/>
          <w:rFonts w:cs="Calibri"/>
          <w:i/>
          <w:iCs/>
          <w:sz w:val="23"/>
          <w:szCs w:val="23"/>
        </w:rPr>
      </w:pPr>
    </w:p>
    <w:p w14:paraId="1FDCD440" w14:textId="77777777" w:rsidR="00122D94" w:rsidRPr="00122D94" w:rsidRDefault="00B71F70">
      <w:pPr>
        <w:pStyle w:val="BodyA"/>
        <w:jc w:val="both"/>
        <w:rPr>
          <w:rFonts w:cs="Calibri"/>
          <w:i/>
          <w:iCs/>
          <w:sz w:val="23"/>
          <w:szCs w:val="23"/>
        </w:rPr>
      </w:pPr>
      <w:r w:rsidRPr="00122D94">
        <w:rPr>
          <w:rFonts w:cs="Calibri"/>
          <w:i/>
          <w:iCs/>
          <w:sz w:val="23"/>
          <w:szCs w:val="23"/>
        </w:rPr>
        <w:t xml:space="preserve">This release includes certain statements and information that may constitute forward-looking information within the meaning of applicable Canadian securities laws. Forward-looking statements relate to future events or future performance and reflect the expectations or beliefs of management of the Company regarding future events. Generally, forward-looking statements and information can be identified </w:t>
      </w:r>
      <w:proofErr w:type="gramStart"/>
      <w:r w:rsidRPr="00122D94">
        <w:rPr>
          <w:rFonts w:cs="Calibri"/>
          <w:i/>
          <w:iCs/>
          <w:sz w:val="23"/>
          <w:szCs w:val="23"/>
        </w:rPr>
        <w:t>by the use of</w:t>
      </w:r>
      <w:proofErr w:type="gramEnd"/>
      <w:r w:rsidRPr="00122D94">
        <w:rPr>
          <w:rFonts w:cs="Calibri"/>
          <w:i/>
          <w:iCs/>
          <w:sz w:val="23"/>
          <w:szCs w:val="23"/>
        </w:rPr>
        <w:t xml:space="preserve"> forward-looking terminology such as </w:t>
      </w:r>
      <w:r w:rsidRPr="00122D94">
        <w:rPr>
          <w:rFonts w:cs="Calibri"/>
          <w:i/>
          <w:iCs/>
          <w:sz w:val="23"/>
          <w:szCs w:val="23"/>
          <w:rtl/>
          <w:lang w:val="ar-SA"/>
        </w:rPr>
        <w:t>“</w:t>
      </w:r>
      <w:r w:rsidRPr="00122D94">
        <w:rPr>
          <w:rFonts w:cs="Calibri"/>
          <w:i/>
          <w:iCs/>
          <w:sz w:val="23"/>
          <w:szCs w:val="23"/>
        </w:rPr>
        <w:t>intends</w:t>
      </w:r>
      <w:r w:rsidRPr="00122D94">
        <w:rPr>
          <w:rFonts w:cs="Calibri"/>
          <w:i/>
          <w:iCs/>
          <w:sz w:val="23"/>
          <w:szCs w:val="23"/>
          <w:lang w:val="it-IT"/>
        </w:rPr>
        <w:t xml:space="preserve">” or </w:t>
      </w:r>
      <w:r w:rsidRPr="00122D94">
        <w:rPr>
          <w:rFonts w:cs="Calibri"/>
          <w:i/>
          <w:iCs/>
          <w:sz w:val="23"/>
          <w:szCs w:val="23"/>
          <w:rtl/>
          <w:lang w:val="ar-SA"/>
        </w:rPr>
        <w:t>“</w:t>
      </w:r>
      <w:r w:rsidRPr="00122D94">
        <w:rPr>
          <w:rFonts w:cs="Calibri"/>
          <w:i/>
          <w:iCs/>
          <w:sz w:val="23"/>
          <w:szCs w:val="23"/>
          <w:lang w:val="it-IT"/>
        </w:rPr>
        <w:t>anticipates”</w:t>
      </w:r>
      <w:r w:rsidRPr="00122D94">
        <w:rPr>
          <w:rFonts w:cs="Calibri"/>
          <w:i/>
          <w:iCs/>
          <w:sz w:val="23"/>
          <w:szCs w:val="23"/>
        </w:rPr>
        <w:t xml:space="preserve">, or variations of such words and phrases or statements that certain actions, events or results </w:t>
      </w:r>
      <w:r w:rsidRPr="00122D94">
        <w:rPr>
          <w:rFonts w:cs="Calibri"/>
          <w:i/>
          <w:iCs/>
          <w:sz w:val="23"/>
          <w:szCs w:val="23"/>
          <w:rtl/>
          <w:lang w:val="ar-SA"/>
        </w:rPr>
        <w:t>“</w:t>
      </w:r>
      <w:r w:rsidRPr="00122D94">
        <w:rPr>
          <w:rFonts w:cs="Calibri"/>
          <w:i/>
          <w:iCs/>
          <w:sz w:val="23"/>
          <w:szCs w:val="23"/>
          <w:lang w:val="it-IT"/>
        </w:rPr>
        <w:t xml:space="preserve">may”, </w:t>
      </w:r>
      <w:r w:rsidRPr="00122D94">
        <w:rPr>
          <w:rFonts w:cs="Calibri"/>
          <w:i/>
          <w:iCs/>
          <w:sz w:val="23"/>
          <w:szCs w:val="23"/>
          <w:rtl/>
          <w:lang w:val="ar-SA"/>
        </w:rPr>
        <w:t>“</w:t>
      </w:r>
      <w:r w:rsidRPr="00122D94">
        <w:rPr>
          <w:rFonts w:cs="Calibri"/>
          <w:i/>
          <w:iCs/>
          <w:sz w:val="23"/>
          <w:szCs w:val="23"/>
        </w:rPr>
        <w:t>could</w:t>
      </w:r>
      <w:r w:rsidRPr="00122D94">
        <w:rPr>
          <w:rFonts w:cs="Calibri"/>
          <w:i/>
          <w:iCs/>
          <w:sz w:val="23"/>
          <w:szCs w:val="23"/>
          <w:lang w:val="it-IT"/>
        </w:rPr>
        <w:t xml:space="preserve">”, </w:t>
      </w:r>
      <w:r w:rsidRPr="00122D94">
        <w:rPr>
          <w:rFonts w:cs="Calibri"/>
          <w:i/>
          <w:iCs/>
          <w:sz w:val="23"/>
          <w:szCs w:val="23"/>
          <w:rtl/>
          <w:lang w:val="ar-SA"/>
        </w:rPr>
        <w:t>“</w:t>
      </w:r>
      <w:r w:rsidRPr="00122D94">
        <w:rPr>
          <w:rFonts w:cs="Calibri"/>
          <w:i/>
          <w:iCs/>
          <w:sz w:val="23"/>
          <w:szCs w:val="23"/>
        </w:rPr>
        <w:t>should</w:t>
      </w:r>
      <w:r w:rsidRPr="00122D94">
        <w:rPr>
          <w:rFonts w:cs="Calibri"/>
          <w:i/>
          <w:iCs/>
          <w:sz w:val="23"/>
          <w:szCs w:val="23"/>
          <w:lang w:val="it-IT"/>
        </w:rPr>
        <w:t xml:space="preserve">”, </w:t>
      </w:r>
      <w:r w:rsidRPr="00122D94">
        <w:rPr>
          <w:rFonts w:cs="Calibri"/>
          <w:i/>
          <w:iCs/>
          <w:sz w:val="23"/>
          <w:szCs w:val="23"/>
          <w:rtl/>
          <w:lang w:val="ar-SA"/>
        </w:rPr>
        <w:t>“</w:t>
      </w:r>
      <w:r w:rsidRPr="00122D94">
        <w:rPr>
          <w:rFonts w:cs="Calibri"/>
          <w:i/>
          <w:iCs/>
          <w:sz w:val="23"/>
          <w:szCs w:val="23"/>
        </w:rPr>
        <w:t>would</w:t>
      </w:r>
      <w:r w:rsidRPr="00122D94">
        <w:rPr>
          <w:rFonts w:cs="Calibri"/>
          <w:i/>
          <w:iCs/>
          <w:sz w:val="23"/>
          <w:szCs w:val="23"/>
          <w:lang w:val="it-IT"/>
        </w:rPr>
        <w:t xml:space="preserve">” or </w:t>
      </w:r>
      <w:r w:rsidRPr="00122D94">
        <w:rPr>
          <w:rFonts w:cs="Calibri"/>
          <w:i/>
          <w:iCs/>
          <w:sz w:val="23"/>
          <w:szCs w:val="23"/>
          <w:rtl/>
          <w:lang w:val="ar-SA"/>
        </w:rPr>
        <w:t>“</w:t>
      </w:r>
      <w:r w:rsidRPr="00122D94">
        <w:rPr>
          <w:rFonts w:cs="Calibri"/>
          <w:i/>
          <w:iCs/>
          <w:sz w:val="23"/>
          <w:szCs w:val="23"/>
        </w:rPr>
        <w:t>occur</w:t>
      </w:r>
      <w:r w:rsidRPr="00122D94">
        <w:rPr>
          <w:rFonts w:cs="Calibri"/>
          <w:i/>
          <w:iCs/>
          <w:sz w:val="23"/>
          <w:szCs w:val="23"/>
          <w:lang w:val="it-IT"/>
        </w:rPr>
        <w:t>”</w:t>
      </w:r>
      <w:r w:rsidRPr="00122D94">
        <w:rPr>
          <w:rFonts w:cs="Calibri"/>
          <w:i/>
          <w:iCs/>
          <w:sz w:val="23"/>
          <w:szCs w:val="23"/>
        </w:rPr>
        <w:t xml:space="preserve">. This information and these statements, referred to herein as "forward-looking statements", are not historical facts, are made as of the date of this news release and include without limitation, statements regarding discussions of future plans, estimates and forecasts and statements as to management's expectations and intentions with respect to, among </w:t>
      </w:r>
      <w:r w:rsidRPr="00122D94">
        <w:rPr>
          <w:rFonts w:cs="Calibri"/>
          <w:i/>
          <w:iCs/>
          <w:sz w:val="23"/>
          <w:szCs w:val="23"/>
        </w:rPr>
        <w:lastRenderedPageBreak/>
        <w:t>other things, positive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 and the Company’s use of proceeds from the Private Placement</w:t>
      </w:r>
      <w:r w:rsidRPr="00122D94">
        <w:rPr>
          <w:rFonts w:cs="Calibri"/>
          <w:i/>
          <w:iCs/>
          <w:sz w:val="23"/>
          <w:szCs w:val="23"/>
        </w:rPr>
        <w:t xml:space="preserve">. These forward-looking statements involve numerous risks and </w:t>
      </w:r>
      <w:proofErr w:type="gramStart"/>
      <w:r w:rsidRPr="00122D94">
        <w:rPr>
          <w:rFonts w:cs="Calibri"/>
          <w:i/>
          <w:iCs/>
          <w:sz w:val="23"/>
          <w:szCs w:val="23"/>
        </w:rPr>
        <w:t>uncertainties</w:t>
      </w:r>
      <w:proofErr w:type="gramEnd"/>
      <w:r w:rsidRPr="00122D94">
        <w:rPr>
          <w:rFonts w:cs="Calibri"/>
          <w:i/>
          <w:iCs/>
          <w:sz w:val="23"/>
          <w:szCs w:val="23"/>
        </w:rPr>
        <w:t xml:space="preserve"> and actual results might differ materially from results suggested in any forward-looking statements. These risks and uncertainties include, among other things, that future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w:t>
      </w:r>
      <w:r w:rsidRPr="00122D94">
        <w:rPr>
          <w:rFonts w:cs="Calibri"/>
          <w:i/>
          <w:iCs/>
          <w:sz w:val="23"/>
          <w:szCs w:val="23"/>
        </w:rPr>
        <w:t xml:space="preserve"> will not be as anticipated</w:t>
      </w:r>
      <w:r>
        <w:rPr>
          <w:rFonts w:cs="Calibri"/>
          <w:sz w:val="23"/>
          <w:szCs w:val="23"/>
        </w:rPr>
        <w:t xml:space="preserve"> </w:t>
      </w:r>
      <w:r>
        <w:rPr>
          <w:rFonts w:cs="Calibri"/>
          <w:i/>
          <w:iCs/>
          <w:sz w:val="23"/>
          <w:szCs w:val="23"/>
        </w:rPr>
        <w:t>and that the Company will use the proceeds from the Private Placement as anticipated</w:t>
      </w:r>
      <w:r w:rsidRPr="00122D94">
        <w:rPr>
          <w:rFonts w:cs="Calibri"/>
          <w:i/>
          <w:iCs/>
          <w:sz w:val="23"/>
          <w:szCs w:val="23"/>
        </w:rPr>
        <w:t>.</w:t>
      </w:r>
    </w:p>
    <w:p w14:paraId="75C76247" w14:textId="77777777" w:rsidR="00122D94" w:rsidRPr="00122D94" w:rsidRDefault="009625AC">
      <w:pPr>
        <w:pStyle w:val="BodyA"/>
        <w:jc w:val="both"/>
        <w:rPr>
          <w:rFonts w:cs="Calibri"/>
          <w:i/>
          <w:iCs/>
          <w:sz w:val="23"/>
          <w:szCs w:val="23"/>
        </w:rPr>
      </w:pPr>
    </w:p>
    <w:p w14:paraId="7D12457C" w14:textId="77777777" w:rsidR="00122D94" w:rsidRPr="00122D94" w:rsidRDefault="00B71F70">
      <w:pPr>
        <w:pStyle w:val="BodyA"/>
        <w:jc w:val="both"/>
        <w:rPr>
          <w:rFonts w:cs="Calibri"/>
          <w:i/>
          <w:iCs/>
          <w:sz w:val="23"/>
          <w:szCs w:val="23"/>
        </w:rPr>
      </w:pPr>
      <w:r w:rsidRPr="00122D94">
        <w:rPr>
          <w:rFonts w:cs="Calibri"/>
          <w:i/>
          <w:iCs/>
          <w:sz w:val="23"/>
          <w:szCs w:val="23"/>
        </w:rPr>
        <w:t xml:space="preserve">In making the </w:t>
      </w:r>
      <w:proofErr w:type="gramStart"/>
      <w:r w:rsidRPr="00122D94">
        <w:rPr>
          <w:rFonts w:cs="Calibri"/>
          <w:i/>
          <w:iCs/>
          <w:sz w:val="23"/>
          <w:szCs w:val="23"/>
        </w:rPr>
        <w:t>forward looking</w:t>
      </w:r>
      <w:proofErr w:type="gramEnd"/>
      <w:r w:rsidRPr="00122D94">
        <w:rPr>
          <w:rFonts w:cs="Calibri"/>
          <w:i/>
          <w:iCs/>
          <w:sz w:val="23"/>
          <w:szCs w:val="23"/>
        </w:rPr>
        <w:t xml:space="preserve"> statements in this news release, the Company has applied several material assumptions, including without limitation, that future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w:t>
      </w:r>
      <w:r w:rsidRPr="00122D94">
        <w:rPr>
          <w:rFonts w:cs="Calibri"/>
          <w:i/>
          <w:iCs/>
          <w:sz w:val="23"/>
          <w:szCs w:val="23"/>
        </w:rPr>
        <w:t xml:space="preserve"> will be as anticipated</w:t>
      </w:r>
      <w:r>
        <w:rPr>
          <w:rFonts w:cs="Calibri"/>
          <w:i/>
          <w:iCs/>
          <w:sz w:val="23"/>
          <w:szCs w:val="23"/>
        </w:rPr>
        <w:t xml:space="preserve"> and that the Company will use the proceeds from the Private Placement as anticipated</w:t>
      </w:r>
      <w:r w:rsidRPr="00122D94">
        <w:rPr>
          <w:rFonts w:cs="Calibri"/>
          <w:i/>
          <w:iCs/>
          <w:sz w:val="23"/>
          <w:szCs w:val="23"/>
        </w:rPr>
        <w:t xml:space="preserve">. </w:t>
      </w:r>
    </w:p>
    <w:p w14:paraId="4100A473" w14:textId="77777777" w:rsidR="00122D94" w:rsidRPr="00122D94" w:rsidRDefault="009625AC">
      <w:pPr>
        <w:pStyle w:val="BodyA"/>
        <w:jc w:val="both"/>
        <w:rPr>
          <w:rFonts w:cs="Calibri"/>
          <w:i/>
          <w:iCs/>
          <w:sz w:val="23"/>
          <w:szCs w:val="23"/>
        </w:rPr>
      </w:pPr>
    </w:p>
    <w:p w14:paraId="50B1BA1A" w14:textId="77777777" w:rsidR="00122D94" w:rsidRPr="00122D94" w:rsidRDefault="00B71F70">
      <w:pPr>
        <w:pStyle w:val="BodyA"/>
        <w:jc w:val="both"/>
        <w:rPr>
          <w:rFonts w:cs="Calibri"/>
          <w:i/>
          <w:iCs/>
          <w:sz w:val="23"/>
          <w:szCs w:val="23"/>
        </w:rPr>
      </w:pPr>
      <w:r w:rsidRPr="00122D94">
        <w:rPr>
          <w:rFonts w:cs="Calibri"/>
          <w:i/>
          <w:iCs/>
          <w:sz w:val="23"/>
          <w:szCs w:val="23"/>
        </w:rPr>
        <w:t>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 We seek safe harbor.</w:t>
      </w:r>
    </w:p>
    <w:p w14:paraId="4D3D479E" w14:textId="77777777" w:rsidR="0085387F" w:rsidRPr="0067049A" w:rsidRDefault="009625AC">
      <w:pPr>
        <w:pStyle w:val="BodyA"/>
        <w:jc w:val="both"/>
        <w:rPr>
          <w:rFonts w:cs="Calibri"/>
          <w:sz w:val="23"/>
          <w:szCs w:val="23"/>
        </w:rPr>
      </w:pPr>
    </w:p>
    <w:sectPr w:rsidR="0085387F" w:rsidRPr="0067049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E0A7" w14:textId="77777777" w:rsidR="009625AC" w:rsidRDefault="009625AC">
      <w:r>
        <w:separator/>
      </w:r>
    </w:p>
  </w:endnote>
  <w:endnote w:type="continuationSeparator" w:id="0">
    <w:p w14:paraId="3129D043" w14:textId="77777777" w:rsidR="009625AC" w:rsidRDefault="0096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38D2" w14:textId="77777777" w:rsidR="009625AC" w:rsidRDefault="009625AC">
      <w:r>
        <w:separator/>
      </w:r>
    </w:p>
  </w:footnote>
  <w:footnote w:type="continuationSeparator" w:id="0">
    <w:p w14:paraId="33CDC82D" w14:textId="77777777" w:rsidR="009625AC" w:rsidRDefault="0096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7A36" w14:textId="77777777" w:rsidR="0085387F" w:rsidRDefault="00B71F70">
    <w:pPr>
      <w:pStyle w:val="BodyA"/>
      <w:tabs>
        <w:tab w:val="left" w:pos="5748"/>
      </w:tabs>
      <w:jc w:val="right"/>
      <w:rPr>
        <w:rFonts w:ascii="Times New Roman" w:hAnsi="Times New Roman"/>
      </w:rPr>
    </w:pPr>
    <w:r>
      <w:rPr>
        <w:rFonts w:ascii="Times New Roman" w:eastAsia="Times New Roman" w:hAnsi="Times New Roman" w:cs="Times New Roman"/>
        <w:noProof/>
      </w:rPr>
      <w:drawing>
        <wp:anchor distT="152400" distB="152400" distL="152400" distR="152400" simplePos="0" relativeHeight="251658240" behindDoc="1" locked="0" layoutInCell="1" allowOverlap="1" wp14:anchorId="17D80648" wp14:editId="5575B752">
          <wp:simplePos x="0" y="0"/>
          <wp:positionH relativeFrom="page">
            <wp:posOffset>914400</wp:posOffset>
          </wp:positionH>
          <wp:positionV relativeFrom="page">
            <wp:posOffset>461010</wp:posOffset>
          </wp:positionV>
          <wp:extent cx="3352800" cy="857885"/>
          <wp:effectExtent l="0" t="0" r="0" b="0"/>
          <wp:wrapNone/>
          <wp:docPr id="1073741825" name="officeArt object"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black and white signDescription automatically generated with low confidence" descr="A black and white signDescription automatically generated with low confidence"/>
                  <pic:cNvPicPr>
                    <a:picLocks noChangeAspect="1"/>
                  </pic:cNvPicPr>
                </pic:nvPicPr>
                <pic:blipFill>
                  <a:blip r:embed="rId1"/>
                  <a:stretch>
                    <a:fillRect/>
                  </a:stretch>
                </pic:blipFill>
                <pic:spPr>
                  <a:xfrm>
                    <a:off x="0" y="0"/>
                    <a:ext cx="3352800" cy="857885"/>
                  </a:xfrm>
                  <a:prstGeom prst="rect">
                    <a:avLst/>
                  </a:prstGeom>
                  <a:ln w="12700">
                    <a:noFill/>
                    <a:miter lim="400000"/>
                  </a:ln>
                </pic:spPr>
              </pic:pic>
            </a:graphicData>
          </a:graphic>
        </wp:anchor>
      </w:drawing>
    </w:r>
    <w:r>
      <w:rPr>
        <w:rFonts w:ascii="Times New Roman" w:hAnsi="Times New Roman"/>
      </w:rPr>
      <w:tab/>
    </w:r>
  </w:p>
  <w:p w14:paraId="5283604E" w14:textId="77777777" w:rsidR="0085387F" w:rsidRDefault="00B71F70">
    <w:pPr>
      <w:pStyle w:val="BodyA"/>
      <w:tabs>
        <w:tab w:val="left" w:pos="5748"/>
      </w:tabs>
      <w:jc w:val="right"/>
      <w:rPr>
        <w:rFonts w:ascii="Times New Roman" w:eastAsia="Times New Roman" w:hAnsi="Times New Roman" w:cs="Times New Roman"/>
      </w:rPr>
    </w:pPr>
    <w:r>
      <w:rPr>
        <w:rFonts w:ascii="Times New Roman" w:hAnsi="Times New Roman"/>
      </w:rPr>
      <w:t>488-1090 West Georgia Street</w:t>
    </w:r>
  </w:p>
  <w:p w14:paraId="15125F63" w14:textId="77777777" w:rsidR="0085387F" w:rsidRDefault="00B71F70">
    <w:pPr>
      <w:pStyle w:val="BodyA"/>
      <w:tabs>
        <w:tab w:val="left" w:pos="5748"/>
      </w:tabs>
      <w:jc w:val="right"/>
      <w:rPr>
        <w:rFonts w:ascii="Times New Roman" w:eastAsia="Times New Roman" w:hAnsi="Times New Roman" w:cs="Times New Roman"/>
        <w:lang w:val="fr-FR"/>
      </w:rPr>
    </w:pPr>
    <w:r>
      <w:rPr>
        <w:rFonts w:ascii="Times New Roman" w:hAnsi="Times New Roman"/>
        <w:lang w:val="fr-FR"/>
      </w:rPr>
      <w:t>Vancouver, BC V6E 3V7</w:t>
    </w:r>
  </w:p>
  <w:p w14:paraId="7CE224A4" w14:textId="33DB3F48" w:rsidR="0085387F" w:rsidRDefault="00BB6D86">
    <w:pPr>
      <w:pStyle w:val="BodyA"/>
      <w:tabs>
        <w:tab w:val="left" w:pos="5748"/>
      </w:tabs>
      <w:jc w:val="right"/>
      <w:rPr>
        <w:rFonts w:ascii="Times New Roman" w:eastAsia="Times New Roman" w:hAnsi="Times New Roman" w:cs="Times New Roman"/>
      </w:rPr>
    </w:pPr>
    <w:r>
      <w:rPr>
        <w:rFonts w:ascii="Times New Roman" w:hAnsi="Times New Roman"/>
      </w:rPr>
      <w:t>604-838-0184</w:t>
    </w:r>
  </w:p>
  <w:p w14:paraId="0AA492F4" w14:textId="77777777" w:rsidR="0085387F" w:rsidRDefault="009625AC">
    <w:pPr>
      <w:pStyle w:val="BodyA"/>
      <w:tabs>
        <w:tab w:val="left" w:pos="5748"/>
      </w:tabs>
      <w:jc w:val="right"/>
      <w:rPr>
        <w:rFonts w:ascii="Times New Roman" w:eastAsia="Times New Roman" w:hAnsi="Times New Roman" w:cs="Times New Roman"/>
      </w:rPr>
    </w:pPr>
  </w:p>
  <w:p w14:paraId="66A6595B" w14:textId="77777777" w:rsidR="0085387F" w:rsidRDefault="009625AC">
    <w:pPr>
      <w:pStyle w:val="BodyA"/>
      <w:tabs>
        <w:tab w:val="left" w:pos="5748"/>
      </w:tabs>
      <w:jc w:val="right"/>
      <w:rPr>
        <w:rFonts w:ascii="Times New Roman" w:eastAsia="Times New Roman" w:hAnsi="Times New Roman" w:cs="Times New Roman"/>
      </w:rPr>
    </w:pPr>
  </w:p>
  <w:p w14:paraId="16BED32D" w14:textId="77777777" w:rsidR="0085387F" w:rsidRDefault="009625AC">
    <w:pPr>
      <w:pStyle w:val="BodyA"/>
      <w:tabs>
        <w:tab w:val="left" w:pos="57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10F"/>
    <w:multiLevelType w:val="hybridMultilevel"/>
    <w:tmpl w:val="C128D602"/>
    <w:lvl w:ilvl="0" w:tplc="F67C8972">
      <w:start w:val="1"/>
      <w:numFmt w:val="upperLetter"/>
      <w:lvlText w:val="%1)"/>
      <w:lvlJc w:val="left"/>
      <w:pPr>
        <w:ind w:left="720" w:hanging="360"/>
      </w:pPr>
      <w:rPr>
        <w:rFonts w:hint="default"/>
      </w:rPr>
    </w:lvl>
    <w:lvl w:ilvl="1" w:tplc="5D7CEB74" w:tentative="1">
      <w:start w:val="1"/>
      <w:numFmt w:val="lowerLetter"/>
      <w:lvlText w:val="%2."/>
      <w:lvlJc w:val="left"/>
      <w:pPr>
        <w:ind w:left="1440" w:hanging="360"/>
      </w:pPr>
    </w:lvl>
    <w:lvl w:ilvl="2" w:tplc="4EEC4B18" w:tentative="1">
      <w:start w:val="1"/>
      <w:numFmt w:val="lowerRoman"/>
      <w:lvlText w:val="%3."/>
      <w:lvlJc w:val="right"/>
      <w:pPr>
        <w:ind w:left="2160" w:hanging="180"/>
      </w:pPr>
    </w:lvl>
    <w:lvl w:ilvl="3" w:tplc="272049B8" w:tentative="1">
      <w:start w:val="1"/>
      <w:numFmt w:val="decimal"/>
      <w:lvlText w:val="%4."/>
      <w:lvlJc w:val="left"/>
      <w:pPr>
        <w:ind w:left="2880" w:hanging="360"/>
      </w:pPr>
    </w:lvl>
    <w:lvl w:ilvl="4" w:tplc="67C8DBF6" w:tentative="1">
      <w:start w:val="1"/>
      <w:numFmt w:val="lowerLetter"/>
      <w:lvlText w:val="%5."/>
      <w:lvlJc w:val="left"/>
      <w:pPr>
        <w:ind w:left="3600" w:hanging="360"/>
      </w:pPr>
    </w:lvl>
    <w:lvl w:ilvl="5" w:tplc="E620167A" w:tentative="1">
      <w:start w:val="1"/>
      <w:numFmt w:val="lowerRoman"/>
      <w:lvlText w:val="%6."/>
      <w:lvlJc w:val="right"/>
      <w:pPr>
        <w:ind w:left="4320" w:hanging="180"/>
      </w:pPr>
    </w:lvl>
    <w:lvl w:ilvl="6" w:tplc="BCA24B7A" w:tentative="1">
      <w:start w:val="1"/>
      <w:numFmt w:val="decimal"/>
      <w:lvlText w:val="%7."/>
      <w:lvlJc w:val="left"/>
      <w:pPr>
        <w:ind w:left="5040" w:hanging="360"/>
      </w:pPr>
    </w:lvl>
    <w:lvl w:ilvl="7" w:tplc="F4BC8FB2" w:tentative="1">
      <w:start w:val="1"/>
      <w:numFmt w:val="lowerLetter"/>
      <w:lvlText w:val="%8."/>
      <w:lvlJc w:val="left"/>
      <w:pPr>
        <w:ind w:left="5760" w:hanging="360"/>
      </w:pPr>
    </w:lvl>
    <w:lvl w:ilvl="8" w:tplc="33EE790A" w:tentative="1">
      <w:start w:val="1"/>
      <w:numFmt w:val="lowerRoman"/>
      <w:lvlText w:val="%9."/>
      <w:lvlJc w:val="right"/>
      <w:pPr>
        <w:ind w:left="6480" w:hanging="180"/>
      </w:pPr>
    </w:lvl>
  </w:abstractNum>
  <w:abstractNum w:abstractNumId="1" w15:restartNumberingAfterBreak="0">
    <w:nsid w:val="090419E5"/>
    <w:multiLevelType w:val="multilevel"/>
    <w:tmpl w:val="15D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B464E"/>
    <w:multiLevelType w:val="hybridMultilevel"/>
    <w:tmpl w:val="AE347F58"/>
    <w:lvl w:ilvl="0" w:tplc="A4280700">
      <w:start w:val="1"/>
      <w:numFmt w:val="upperLetter"/>
      <w:lvlText w:val="%1)"/>
      <w:lvlJc w:val="left"/>
      <w:pPr>
        <w:ind w:left="720" w:hanging="360"/>
      </w:pPr>
      <w:rPr>
        <w:rFonts w:hint="default"/>
      </w:rPr>
    </w:lvl>
    <w:lvl w:ilvl="1" w:tplc="ED44E92E" w:tentative="1">
      <w:start w:val="1"/>
      <w:numFmt w:val="lowerLetter"/>
      <w:lvlText w:val="%2."/>
      <w:lvlJc w:val="left"/>
      <w:pPr>
        <w:ind w:left="1440" w:hanging="360"/>
      </w:pPr>
    </w:lvl>
    <w:lvl w:ilvl="2" w:tplc="4186157A" w:tentative="1">
      <w:start w:val="1"/>
      <w:numFmt w:val="lowerRoman"/>
      <w:lvlText w:val="%3."/>
      <w:lvlJc w:val="right"/>
      <w:pPr>
        <w:ind w:left="2160" w:hanging="180"/>
      </w:pPr>
    </w:lvl>
    <w:lvl w:ilvl="3" w:tplc="634E3C80" w:tentative="1">
      <w:start w:val="1"/>
      <w:numFmt w:val="decimal"/>
      <w:lvlText w:val="%4."/>
      <w:lvlJc w:val="left"/>
      <w:pPr>
        <w:ind w:left="2880" w:hanging="360"/>
      </w:pPr>
    </w:lvl>
    <w:lvl w:ilvl="4" w:tplc="5148CA96" w:tentative="1">
      <w:start w:val="1"/>
      <w:numFmt w:val="lowerLetter"/>
      <w:lvlText w:val="%5."/>
      <w:lvlJc w:val="left"/>
      <w:pPr>
        <w:ind w:left="3600" w:hanging="360"/>
      </w:pPr>
    </w:lvl>
    <w:lvl w:ilvl="5" w:tplc="897E38CA" w:tentative="1">
      <w:start w:val="1"/>
      <w:numFmt w:val="lowerRoman"/>
      <w:lvlText w:val="%6."/>
      <w:lvlJc w:val="right"/>
      <w:pPr>
        <w:ind w:left="4320" w:hanging="180"/>
      </w:pPr>
    </w:lvl>
    <w:lvl w:ilvl="6" w:tplc="E676EDC8" w:tentative="1">
      <w:start w:val="1"/>
      <w:numFmt w:val="decimal"/>
      <w:lvlText w:val="%7."/>
      <w:lvlJc w:val="left"/>
      <w:pPr>
        <w:ind w:left="5040" w:hanging="360"/>
      </w:pPr>
    </w:lvl>
    <w:lvl w:ilvl="7" w:tplc="D07E1292" w:tentative="1">
      <w:start w:val="1"/>
      <w:numFmt w:val="lowerLetter"/>
      <w:lvlText w:val="%8."/>
      <w:lvlJc w:val="left"/>
      <w:pPr>
        <w:ind w:left="5760" w:hanging="360"/>
      </w:pPr>
    </w:lvl>
    <w:lvl w:ilvl="8" w:tplc="E1CC0AB8" w:tentative="1">
      <w:start w:val="1"/>
      <w:numFmt w:val="lowerRoman"/>
      <w:lvlText w:val="%9."/>
      <w:lvlJc w:val="right"/>
      <w:pPr>
        <w:ind w:left="6480" w:hanging="180"/>
      </w:pPr>
    </w:lvl>
  </w:abstractNum>
  <w:abstractNum w:abstractNumId="3" w15:restartNumberingAfterBreak="0">
    <w:nsid w:val="2A105AE6"/>
    <w:multiLevelType w:val="hybridMultilevel"/>
    <w:tmpl w:val="9664E61A"/>
    <w:numStyleLink w:val="ImportedStyle1"/>
  </w:abstractNum>
  <w:abstractNum w:abstractNumId="4" w15:restartNumberingAfterBreak="0">
    <w:nsid w:val="425F7851"/>
    <w:multiLevelType w:val="hybridMultilevel"/>
    <w:tmpl w:val="30105D88"/>
    <w:lvl w:ilvl="0" w:tplc="16BCAF3C">
      <w:start w:val="1"/>
      <w:numFmt w:val="bullet"/>
      <w:lvlText w:val=""/>
      <w:lvlJc w:val="left"/>
      <w:pPr>
        <w:ind w:left="720" w:hanging="360"/>
      </w:pPr>
      <w:rPr>
        <w:rFonts w:ascii="Symbol" w:hAnsi="Symbol" w:hint="default"/>
      </w:rPr>
    </w:lvl>
    <w:lvl w:ilvl="1" w:tplc="1A2E9DBC" w:tentative="1">
      <w:start w:val="1"/>
      <w:numFmt w:val="bullet"/>
      <w:lvlText w:val="o"/>
      <w:lvlJc w:val="left"/>
      <w:pPr>
        <w:ind w:left="1440" w:hanging="360"/>
      </w:pPr>
      <w:rPr>
        <w:rFonts w:ascii="Courier New" w:hAnsi="Courier New" w:cs="Courier New" w:hint="default"/>
      </w:rPr>
    </w:lvl>
    <w:lvl w:ilvl="2" w:tplc="CB10B758" w:tentative="1">
      <w:start w:val="1"/>
      <w:numFmt w:val="bullet"/>
      <w:lvlText w:val=""/>
      <w:lvlJc w:val="left"/>
      <w:pPr>
        <w:ind w:left="2160" w:hanging="360"/>
      </w:pPr>
      <w:rPr>
        <w:rFonts w:ascii="Wingdings" w:hAnsi="Wingdings" w:hint="default"/>
      </w:rPr>
    </w:lvl>
    <w:lvl w:ilvl="3" w:tplc="5B80A240" w:tentative="1">
      <w:start w:val="1"/>
      <w:numFmt w:val="bullet"/>
      <w:lvlText w:val=""/>
      <w:lvlJc w:val="left"/>
      <w:pPr>
        <w:ind w:left="2880" w:hanging="360"/>
      </w:pPr>
      <w:rPr>
        <w:rFonts w:ascii="Symbol" w:hAnsi="Symbol" w:hint="default"/>
      </w:rPr>
    </w:lvl>
    <w:lvl w:ilvl="4" w:tplc="FCF27A90" w:tentative="1">
      <w:start w:val="1"/>
      <w:numFmt w:val="bullet"/>
      <w:lvlText w:val="o"/>
      <w:lvlJc w:val="left"/>
      <w:pPr>
        <w:ind w:left="3600" w:hanging="360"/>
      </w:pPr>
      <w:rPr>
        <w:rFonts w:ascii="Courier New" w:hAnsi="Courier New" w:cs="Courier New" w:hint="default"/>
      </w:rPr>
    </w:lvl>
    <w:lvl w:ilvl="5" w:tplc="84D8F156" w:tentative="1">
      <w:start w:val="1"/>
      <w:numFmt w:val="bullet"/>
      <w:lvlText w:val=""/>
      <w:lvlJc w:val="left"/>
      <w:pPr>
        <w:ind w:left="4320" w:hanging="360"/>
      </w:pPr>
      <w:rPr>
        <w:rFonts w:ascii="Wingdings" w:hAnsi="Wingdings" w:hint="default"/>
      </w:rPr>
    </w:lvl>
    <w:lvl w:ilvl="6" w:tplc="3650F000" w:tentative="1">
      <w:start w:val="1"/>
      <w:numFmt w:val="bullet"/>
      <w:lvlText w:val=""/>
      <w:lvlJc w:val="left"/>
      <w:pPr>
        <w:ind w:left="5040" w:hanging="360"/>
      </w:pPr>
      <w:rPr>
        <w:rFonts w:ascii="Symbol" w:hAnsi="Symbol" w:hint="default"/>
      </w:rPr>
    </w:lvl>
    <w:lvl w:ilvl="7" w:tplc="B4F00AF2" w:tentative="1">
      <w:start w:val="1"/>
      <w:numFmt w:val="bullet"/>
      <w:lvlText w:val="o"/>
      <w:lvlJc w:val="left"/>
      <w:pPr>
        <w:ind w:left="5760" w:hanging="360"/>
      </w:pPr>
      <w:rPr>
        <w:rFonts w:ascii="Courier New" w:hAnsi="Courier New" w:cs="Courier New" w:hint="default"/>
      </w:rPr>
    </w:lvl>
    <w:lvl w:ilvl="8" w:tplc="5432907C" w:tentative="1">
      <w:start w:val="1"/>
      <w:numFmt w:val="bullet"/>
      <w:lvlText w:val=""/>
      <w:lvlJc w:val="left"/>
      <w:pPr>
        <w:ind w:left="6480" w:hanging="360"/>
      </w:pPr>
      <w:rPr>
        <w:rFonts w:ascii="Wingdings" w:hAnsi="Wingdings" w:hint="default"/>
      </w:rPr>
    </w:lvl>
  </w:abstractNum>
  <w:abstractNum w:abstractNumId="5" w15:restartNumberingAfterBreak="0">
    <w:nsid w:val="48DC5BD0"/>
    <w:multiLevelType w:val="hybridMultilevel"/>
    <w:tmpl w:val="1472B9F4"/>
    <w:lvl w:ilvl="0" w:tplc="C3E23002">
      <w:start w:val="1"/>
      <w:numFmt w:val="bullet"/>
      <w:lvlText w:val=""/>
      <w:lvlJc w:val="left"/>
      <w:pPr>
        <w:ind w:left="720" w:hanging="360"/>
      </w:pPr>
      <w:rPr>
        <w:rFonts w:ascii="Symbol" w:hAnsi="Symbol" w:hint="default"/>
      </w:rPr>
    </w:lvl>
    <w:lvl w:ilvl="1" w:tplc="391AF264" w:tentative="1">
      <w:start w:val="1"/>
      <w:numFmt w:val="bullet"/>
      <w:lvlText w:val="o"/>
      <w:lvlJc w:val="left"/>
      <w:pPr>
        <w:ind w:left="1440" w:hanging="360"/>
      </w:pPr>
      <w:rPr>
        <w:rFonts w:ascii="Courier New" w:hAnsi="Courier New" w:cs="Courier New" w:hint="default"/>
      </w:rPr>
    </w:lvl>
    <w:lvl w:ilvl="2" w:tplc="87B82F0C" w:tentative="1">
      <w:start w:val="1"/>
      <w:numFmt w:val="bullet"/>
      <w:lvlText w:val=""/>
      <w:lvlJc w:val="left"/>
      <w:pPr>
        <w:ind w:left="2160" w:hanging="360"/>
      </w:pPr>
      <w:rPr>
        <w:rFonts w:ascii="Wingdings" w:hAnsi="Wingdings" w:hint="default"/>
      </w:rPr>
    </w:lvl>
    <w:lvl w:ilvl="3" w:tplc="697C5AE0" w:tentative="1">
      <w:start w:val="1"/>
      <w:numFmt w:val="bullet"/>
      <w:lvlText w:val=""/>
      <w:lvlJc w:val="left"/>
      <w:pPr>
        <w:ind w:left="2880" w:hanging="360"/>
      </w:pPr>
      <w:rPr>
        <w:rFonts w:ascii="Symbol" w:hAnsi="Symbol" w:hint="default"/>
      </w:rPr>
    </w:lvl>
    <w:lvl w:ilvl="4" w:tplc="D9EEF860" w:tentative="1">
      <w:start w:val="1"/>
      <w:numFmt w:val="bullet"/>
      <w:lvlText w:val="o"/>
      <w:lvlJc w:val="left"/>
      <w:pPr>
        <w:ind w:left="3600" w:hanging="360"/>
      </w:pPr>
      <w:rPr>
        <w:rFonts w:ascii="Courier New" w:hAnsi="Courier New" w:cs="Courier New" w:hint="default"/>
      </w:rPr>
    </w:lvl>
    <w:lvl w:ilvl="5" w:tplc="3EA4867A" w:tentative="1">
      <w:start w:val="1"/>
      <w:numFmt w:val="bullet"/>
      <w:lvlText w:val=""/>
      <w:lvlJc w:val="left"/>
      <w:pPr>
        <w:ind w:left="4320" w:hanging="360"/>
      </w:pPr>
      <w:rPr>
        <w:rFonts w:ascii="Wingdings" w:hAnsi="Wingdings" w:hint="default"/>
      </w:rPr>
    </w:lvl>
    <w:lvl w:ilvl="6" w:tplc="98626E7C" w:tentative="1">
      <w:start w:val="1"/>
      <w:numFmt w:val="bullet"/>
      <w:lvlText w:val=""/>
      <w:lvlJc w:val="left"/>
      <w:pPr>
        <w:ind w:left="5040" w:hanging="360"/>
      </w:pPr>
      <w:rPr>
        <w:rFonts w:ascii="Symbol" w:hAnsi="Symbol" w:hint="default"/>
      </w:rPr>
    </w:lvl>
    <w:lvl w:ilvl="7" w:tplc="05886B08" w:tentative="1">
      <w:start w:val="1"/>
      <w:numFmt w:val="bullet"/>
      <w:lvlText w:val="o"/>
      <w:lvlJc w:val="left"/>
      <w:pPr>
        <w:ind w:left="5760" w:hanging="360"/>
      </w:pPr>
      <w:rPr>
        <w:rFonts w:ascii="Courier New" w:hAnsi="Courier New" w:cs="Courier New" w:hint="default"/>
      </w:rPr>
    </w:lvl>
    <w:lvl w:ilvl="8" w:tplc="AB463CA6" w:tentative="1">
      <w:start w:val="1"/>
      <w:numFmt w:val="bullet"/>
      <w:lvlText w:val=""/>
      <w:lvlJc w:val="left"/>
      <w:pPr>
        <w:ind w:left="6480" w:hanging="360"/>
      </w:pPr>
      <w:rPr>
        <w:rFonts w:ascii="Wingdings" w:hAnsi="Wingdings" w:hint="default"/>
      </w:rPr>
    </w:lvl>
  </w:abstractNum>
  <w:abstractNum w:abstractNumId="6" w15:restartNumberingAfterBreak="0">
    <w:nsid w:val="5BD07D38"/>
    <w:multiLevelType w:val="hybridMultilevel"/>
    <w:tmpl w:val="2488BB04"/>
    <w:lvl w:ilvl="0" w:tplc="0AF253A2">
      <w:start w:val="1"/>
      <w:numFmt w:val="upperLetter"/>
      <w:lvlText w:val="%1)"/>
      <w:lvlJc w:val="left"/>
      <w:pPr>
        <w:ind w:left="720" w:hanging="360"/>
      </w:pPr>
      <w:rPr>
        <w:rFonts w:hint="default"/>
      </w:rPr>
    </w:lvl>
    <w:lvl w:ilvl="1" w:tplc="F65A98DA" w:tentative="1">
      <w:start w:val="1"/>
      <w:numFmt w:val="lowerLetter"/>
      <w:lvlText w:val="%2."/>
      <w:lvlJc w:val="left"/>
      <w:pPr>
        <w:ind w:left="1440" w:hanging="360"/>
      </w:pPr>
    </w:lvl>
    <w:lvl w:ilvl="2" w:tplc="6472DFE8" w:tentative="1">
      <w:start w:val="1"/>
      <w:numFmt w:val="lowerRoman"/>
      <w:lvlText w:val="%3."/>
      <w:lvlJc w:val="right"/>
      <w:pPr>
        <w:ind w:left="2160" w:hanging="180"/>
      </w:pPr>
    </w:lvl>
    <w:lvl w:ilvl="3" w:tplc="88A4A10C" w:tentative="1">
      <w:start w:val="1"/>
      <w:numFmt w:val="decimal"/>
      <w:lvlText w:val="%4."/>
      <w:lvlJc w:val="left"/>
      <w:pPr>
        <w:ind w:left="2880" w:hanging="360"/>
      </w:pPr>
    </w:lvl>
    <w:lvl w:ilvl="4" w:tplc="CB82C3DC" w:tentative="1">
      <w:start w:val="1"/>
      <w:numFmt w:val="lowerLetter"/>
      <w:lvlText w:val="%5."/>
      <w:lvlJc w:val="left"/>
      <w:pPr>
        <w:ind w:left="3600" w:hanging="360"/>
      </w:pPr>
    </w:lvl>
    <w:lvl w:ilvl="5" w:tplc="401E3D3A" w:tentative="1">
      <w:start w:val="1"/>
      <w:numFmt w:val="lowerRoman"/>
      <w:lvlText w:val="%6."/>
      <w:lvlJc w:val="right"/>
      <w:pPr>
        <w:ind w:left="4320" w:hanging="180"/>
      </w:pPr>
    </w:lvl>
    <w:lvl w:ilvl="6" w:tplc="6B0ABA7A" w:tentative="1">
      <w:start w:val="1"/>
      <w:numFmt w:val="decimal"/>
      <w:lvlText w:val="%7."/>
      <w:lvlJc w:val="left"/>
      <w:pPr>
        <w:ind w:left="5040" w:hanging="360"/>
      </w:pPr>
    </w:lvl>
    <w:lvl w:ilvl="7" w:tplc="63D43B3E" w:tentative="1">
      <w:start w:val="1"/>
      <w:numFmt w:val="lowerLetter"/>
      <w:lvlText w:val="%8."/>
      <w:lvlJc w:val="left"/>
      <w:pPr>
        <w:ind w:left="5760" w:hanging="360"/>
      </w:pPr>
    </w:lvl>
    <w:lvl w:ilvl="8" w:tplc="0BC4DA64" w:tentative="1">
      <w:start w:val="1"/>
      <w:numFmt w:val="lowerRoman"/>
      <w:lvlText w:val="%9."/>
      <w:lvlJc w:val="right"/>
      <w:pPr>
        <w:ind w:left="6480" w:hanging="180"/>
      </w:pPr>
    </w:lvl>
  </w:abstractNum>
  <w:abstractNum w:abstractNumId="7" w15:restartNumberingAfterBreak="0">
    <w:nsid w:val="66076A03"/>
    <w:multiLevelType w:val="hybridMultilevel"/>
    <w:tmpl w:val="9664E61A"/>
    <w:styleLink w:val="ImportedStyle1"/>
    <w:lvl w:ilvl="0" w:tplc="1ED2CE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B8D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7815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6665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6E7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4C5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0EE6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727C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36DA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3E22DC"/>
    <w:multiLevelType w:val="hybridMultilevel"/>
    <w:tmpl w:val="187CAE30"/>
    <w:lvl w:ilvl="0" w:tplc="32A2C8C2">
      <w:start w:val="1"/>
      <w:numFmt w:val="bullet"/>
      <w:lvlText w:val=""/>
      <w:lvlJc w:val="left"/>
      <w:pPr>
        <w:ind w:left="720" w:hanging="360"/>
      </w:pPr>
      <w:rPr>
        <w:rFonts w:ascii="Symbol" w:hAnsi="Symbol" w:hint="default"/>
      </w:rPr>
    </w:lvl>
    <w:lvl w:ilvl="1" w:tplc="507C1A56" w:tentative="1">
      <w:start w:val="1"/>
      <w:numFmt w:val="bullet"/>
      <w:lvlText w:val="o"/>
      <w:lvlJc w:val="left"/>
      <w:pPr>
        <w:ind w:left="1440" w:hanging="360"/>
      </w:pPr>
      <w:rPr>
        <w:rFonts w:ascii="Courier New" w:hAnsi="Courier New" w:cs="Courier New" w:hint="default"/>
      </w:rPr>
    </w:lvl>
    <w:lvl w:ilvl="2" w:tplc="9E5CA592" w:tentative="1">
      <w:start w:val="1"/>
      <w:numFmt w:val="bullet"/>
      <w:lvlText w:val=""/>
      <w:lvlJc w:val="left"/>
      <w:pPr>
        <w:ind w:left="2160" w:hanging="360"/>
      </w:pPr>
      <w:rPr>
        <w:rFonts w:ascii="Wingdings" w:hAnsi="Wingdings" w:hint="default"/>
      </w:rPr>
    </w:lvl>
    <w:lvl w:ilvl="3" w:tplc="66124670" w:tentative="1">
      <w:start w:val="1"/>
      <w:numFmt w:val="bullet"/>
      <w:lvlText w:val=""/>
      <w:lvlJc w:val="left"/>
      <w:pPr>
        <w:ind w:left="2880" w:hanging="360"/>
      </w:pPr>
      <w:rPr>
        <w:rFonts w:ascii="Symbol" w:hAnsi="Symbol" w:hint="default"/>
      </w:rPr>
    </w:lvl>
    <w:lvl w:ilvl="4" w:tplc="BD6A3360" w:tentative="1">
      <w:start w:val="1"/>
      <w:numFmt w:val="bullet"/>
      <w:lvlText w:val="o"/>
      <w:lvlJc w:val="left"/>
      <w:pPr>
        <w:ind w:left="3600" w:hanging="360"/>
      </w:pPr>
      <w:rPr>
        <w:rFonts w:ascii="Courier New" w:hAnsi="Courier New" w:cs="Courier New" w:hint="default"/>
      </w:rPr>
    </w:lvl>
    <w:lvl w:ilvl="5" w:tplc="3F32CE3E" w:tentative="1">
      <w:start w:val="1"/>
      <w:numFmt w:val="bullet"/>
      <w:lvlText w:val=""/>
      <w:lvlJc w:val="left"/>
      <w:pPr>
        <w:ind w:left="4320" w:hanging="360"/>
      </w:pPr>
      <w:rPr>
        <w:rFonts w:ascii="Wingdings" w:hAnsi="Wingdings" w:hint="default"/>
      </w:rPr>
    </w:lvl>
    <w:lvl w:ilvl="6" w:tplc="D706A252" w:tentative="1">
      <w:start w:val="1"/>
      <w:numFmt w:val="bullet"/>
      <w:lvlText w:val=""/>
      <w:lvlJc w:val="left"/>
      <w:pPr>
        <w:ind w:left="5040" w:hanging="360"/>
      </w:pPr>
      <w:rPr>
        <w:rFonts w:ascii="Symbol" w:hAnsi="Symbol" w:hint="default"/>
      </w:rPr>
    </w:lvl>
    <w:lvl w:ilvl="7" w:tplc="D46495FC" w:tentative="1">
      <w:start w:val="1"/>
      <w:numFmt w:val="bullet"/>
      <w:lvlText w:val="o"/>
      <w:lvlJc w:val="left"/>
      <w:pPr>
        <w:ind w:left="5760" w:hanging="360"/>
      </w:pPr>
      <w:rPr>
        <w:rFonts w:ascii="Courier New" w:hAnsi="Courier New" w:cs="Courier New" w:hint="default"/>
      </w:rPr>
    </w:lvl>
    <w:lvl w:ilvl="8" w:tplc="49324FAA" w:tentative="1">
      <w:start w:val="1"/>
      <w:numFmt w:val="bullet"/>
      <w:lvlText w:val=""/>
      <w:lvlJc w:val="left"/>
      <w:pPr>
        <w:ind w:left="6480" w:hanging="360"/>
      </w:pPr>
      <w:rPr>
        <w:rFonts w:ascii="Wingdings" w:hAnsi="Wingdings" w:hint="default"/>
      </w:rPr>
    </w:lvl>
  </w:abstractNum>
  <w:abstractNum w:abstractNumId="9" w15:restartNumberingAfterBreak="0">
    <w:nsid w:val="73031C42"/>
    <w:multiLevelType w:val="hybridMultilevel"/>
    <w:tmpl w:val="83D4FAA6"/>
    <w:lvl w:ilvl="0" w:tplc="6A328B06">
      <w:start w:val="1"/>
      <w:numFmt w:val="bullet"/>
      <w:lvlText w:val=""/>
      <w:lvlJc w:val="left"/>
      <w:pPr>
        <w:ind w:left="720" w:hanging="360"/>
      </w:pPr>
      <w:rPr>
        <w:rFonts w:ascii="Symbol" w:hAnsi="Symbol" w:hint="default"/>
      </w:rPr>
    </w:lvl>
    <w:lvl w:ilvl="1" w:tplc="FCECA3A4" w:tentative="1">
      <w:start w:val="1"/>
      <w:numFmt w:val="bullet"/>
      <w:lvlText w:val="o"/>
      <w:lvlJc w:val="left"/>
      <w:pPr>
        <w:ind w:left="1440" w:hanging="360"/>
      </w:pPr>
      <w:rPr>
        <w:rFonts w:ascii="Courier New" w:hAnsi="Courier New" w:cs="Courier New" w:hint="default"/>
      </w:rPr>
    </w:lvl>
    <w:lvl w:ilvl="2" w:tplc="465CC600" w:tentative="1">
      <w:start w:val="1"/>
      <w:numFmt w:val="bullet"/>
      <w:lvlText w:val=""/>
      <w:lvlJc w:val="left"/>
      <w:pPr>
        <w:ind w:left="2160" w:hanging="360"/>
      </w:pPr>
      <w:rPr>
        <w:rFonts w:ascii="Wingdings" w:hAnsi="Wingdings" w:hint="default"/>
      </w:rPr>
    </w:lvl>
    <w:lvl w:ilvl="3" w:tplc="6E88E6FE" w:tentative="1">
      <w:start w:val="1"/>
      <w:numFmt w:val="bullet"/>
      <w:lvlText w:val=""/>
      <w:lvlJc w:val="left"/>
      <w:pPr>
        <w:ind w:left="2880" w:hanging="360"/>
      </w:pPr>
      <w:rPr>
        <w:rFonts w:ascii="Symbol" w:hAnsi="Symbol" w:hint="default"/>
      </w:rPr>
    </w:lvl>
    <w:lvl w:ilvl="4" w:tplc="37867C06" w:tentative="1">
      <w:start w:val="1"/>
      <w:numFmt w:val="bullet"/>
      <w:lvlText w:val="o"/>
      <w:lvlJc w:val="left"/>
      <w:pPr>
        <w:ind w:left="3600" w:hanging="360"/>
      </w:pPr>
      <w:rPr>
        <w:rFonts w:ascii="Courier New" w:hAnsi="Courier New" w:cs="Courier New" w:hint="default"/>
      </w:rPr>
    </w:lvl>
    <w:lvl w:ilvl="5" w:tplc="649AF7D4" w:tentative="1">
      <w:start w:val="1"/>
      <w:numFmt w:val="bullet"/>
      <w:lvlText w:val=""/>
      <w:lvlJc w:val="left"/>
      <w:pPr>
        <w:ind w:left="4320" w:hanging="360"/>
      </w:pPr>
      <w:rPr>
        <w:rFonts w:ascii="Wingdings" w:hAnsi="Wingdings" w:hint="default"/>
      </w:rPr>
    </w:lvl>
    <w:lvl w:ilvl="6" w:tplc="1A7C60F6" w:tentative="1">
      <w:start w:val="1"/>
      <w:numFmt w:val="bullet"/>
      <w:lvlText w:val=""/>
      <w:lvlJc w:val="left"/>
      <w:pPr>
        <w:ind w:left="5040" w:hanging="360"/>
      </w:pPr>
      <w:rPr>
        <w:rFonts w:ascii="Symbol" w:hAnsi="Symbol" w:hint="default"/>
      </w:rPr>
    </w:lvl>
    <w:lvl w:ilvl="7" w:tplc="326807E0" w:tentative="1">
      <w:start w:val="1"/>
      <w:numFmt w:val="bullet"/>
      <w:lvlText w:val="o"/>
      <w:lvlJc w:val="left"/>
      <w:pPr>
        <w:ind w:left="5760" w:hanging="360"/>
      </w:pPr>
      <w:rPr>
        <w:rFonts w:ascii="Courier New" w:hAnsi="Courier New" w:cs="Courier New" w:hint="default"/>
      </w:rPr>
    </w:lvl>
    <w:lvl w:ilvl="8" w:tplc="62F4AF5E" w:tentative="1">
      <w:start w:val="1"/>
      <w:numFmt w:val="bullet"/>
      <w:lvlText w:val=""/>
      <w:lvlJc w:val="left"/>
      <w:pPr>
        <w:ind w:left="6480" w:hanging="360"/>
      </w:pPr>
      <w:rPr>
        <w:rFonts w:ascii="Wingdings" w:hAnsi="Wingdings" w:hint="default"/>
      </w:rPr>
    </w:lvl>
  </w:abstractNum>
  <w:num w:numId="1" w16cid:durableId="1189831486">
    <w:abstractNumId w:val="7"/>
  </w:num>
  <w:num w:numId="2" w16cid:durableId="1910992001">
    <w:abstractNumId w:val="3"/>
  </w:num>
  <w:num w:numId="3" w16cid:durableId="1508401384">
    <w:abstractNumId w:val="9"/>
  </w:num>
  <w:num w:numId="4" w16cid:durableId="80879692">
    <w:abstractNumId w:val="4"/>
  </w:num>
  <w:num w:numId="5" w16cid:durableId="1540818970">
    <w:abstractNumId w:val="6"/>
  </w:num>
  <w:num w:numId="6" w16cid:durableId="1327631646">
    <w:abstractNumId w:val="0"/>
  </w:num>
  <w:num w:numId="7" w16cid:durableId="1943298508">
    <w:abstractNumId w:val="2"/>
  </w:num>
  <w:num w:numId="8" w16cid:durableId="93867275">
    <w:abstractNumId w:val="8"/>
  </w:num>
  <w:num w:numId="9" w16cid:durableId="171593089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6250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7B"/>
    <w:rsid w:val="00041989"/>
    <w:rsid w:val="00041B4F"/>
    <w:rsid w:val="0007665D"/>
    <w:rsid w:val="000B234A"/>
    <w:rsid w:val="000B3566"/>
    <w:rsid w:val="000D04E4"/>
    <w:rsid w:val="001023F4"/>
    <w:rsid w:val="0010405D"/>
    <w:rsid w:val="00123F1D"/>
    <w:rsid w:val="00126C3E"/>
    <w:rsid w:val="00163264"/>
    <w:rsid w:val="0019602B"/>
    <w:rsid w:val="001B4209"/>
    <w:rsid w:val="001C2EFB"/>
    <w:rsid w:val="001C3E62"/>
    <w:rsid w:val="001F0113"/>
    <w:rsid w:val="00213F18"/>
    <w:rsid w:val="00252F57"/>
    <w:rsid w:val="002842DF"/>
    <w:rsid w:val="002A23E8"/>
    <w:rsid w:val="002D1C26"/>
    <w:rsid w:val="003175CA"/>
    <w:rsid w:val="0034337B"/>
    <w:rsid w:val="00344A02"/>
    <w:rsid w:val="0039316E"/>
    <w:rsid w:val="003A03B1"/>
    <w:rsid w:val="003A486B"/>
    <w:rsid w:val="003D7F67"/>
    <w:rsid w:val="003F5CE9"/>
    <w:rsid w:val="003F6768"/>
    <w:rsid w:val="0041485F"/>
    <w:rsid w:val="00473914"/>
    <w:rsid w:val="00486B50"/>
    <w:rsid w:val="004966EA"/>
    <w:rsid w:val="004F1D00"/>
    <w:rsid w:val="005175EB"/>
    <w:rsid w:val="005475B9"/>
    <w:rsid w:val="00596CF6"/>
    <w:rsid w:val="005B6691"/>
    <w:rsid w:val="005C7277"/>
    <w:rsid w:val="005F176D"/>
    <w:rsid w:val="006039F9"/>
    <w:rsid w:val="00612C15"/>
    <w:rsid w:val="006407A0"/>
    <w:rsid w:val="00646DF0"/>
    <w:rsid w:val="00663329"/>
    <w:rsid w:val="006824AE"/>
    <w:rsid w:val="00684671"/>
    <w:rsid w:val="00685EBD"/>
    <w:rsid w:val="006B3F9C"/>
    <w:rsid w:val="006F43F1"/>
    <w:rsid w:val="00751A62"/>
    <w:rsid w:val="007A7C9F"/>
    <w:rsid w:val="007C017B"/>
    <w:rsid w:val="007D56FB"/>
    <w:rsid w:val="007F3996"/>
    <w:rsid w:val="00800726"/>
    <w:rsid w:val="00802F01"/>
    <w:rsid w:val="008170EB"/>
    <w:rsid w:val="00846889"/>
    <w:rsid w:val="00862C9B"/>
    <w:rsid w:val="00883864"/>
    <w:rsid w:val="00894075"/>
    <w:rsid w:val="008A114E"/>
    <w:rsid w:val="008B768F"/>
    <w:rsid w:val="00917A29"/>
    <w:rsid w:val="0092500D"/>
    <w:rsid w:val="00936A0B"/>
    <w:rsid w:val="009625AC"/>
    <w:rsid w:val="009704F5"/>
    <w:rsid w:val="00972700"/>
    <w:rsid w:val="0099563C"/>
    <w:rsid w:val="009A10A2"/>
    <w:rsid w:val="009A3FF2"/>
    <w:rsid w:val="009C7147"/>
    <w:rsid w:val="009C76DE"/>
    <w:rsid w:val="009E5EAC"/>
    <w:rsid w:val="009F40AC"/>
    <w:rsid w:val="00A04DBE"/>
    <w:rsid w:val="00A53F61"/>
    <w:rsid w:val="00A66E6F"/>
    <w:rsid w:val="00A71D0A"/>
    <w:rsid w:val="00AB6686"/>
    <w:rsid w:val="00B04E38"/>
    <w:rsid w:val="00B16424"/>
    <w:rsid w:val="00B44C3B"/>
    <w:rsid w:val="00B71F70"/>
    <w:rsid w:val="00BA5480"/>
    <w:rsid w:val="00BB6D86"/>
    <w:rsid w:val="00BF02A8"/>
    <w:rsid w:val="00C16944"/>
    <w:rsid w:val="00C31296"/>
    <w:rsid w:val="00C354B9"/>
    <w:rsid w:val="00C42CD8"/>
    <w:rsid w:val="00C83D17"/>
    <w:rsid w:val="00CA2965"/>
    <w:rsid w:val="00CA6515"/>
    <w:rsid w:val="00CC3796"/>
    <w:rsid w:val="00CD551E"/>
    <w:rsid w:val="00CF05EB"/>
    <w:rsid w:val="00D24D81"/>
    <w:rsid w:val="00D73852"/>
    <w:rsid w:val="00D76A86"/>
    <w:rsid w:val="00DB0C48"/>
    <w:rsid w:val="00DC7CE4"/>
    <w:rsid w:val="00E50ABC"/>
    <w:rsid w:val="00E55574"/>
    <w:rsid w:val="00E61F2E"/>
    <w:rsid w:val="00EA257D"/>
    <w:rsid w:val="00EB350A"/>
    <w:rsid w:val="00EC6CFD"/>
    <w:rsid w:val="00EF6D09"/>
    <w:rsid w:val="00F0452E"/>
    <w:rsid w:val="00F0524C"/>
    <w:rsid w:val="00F42C73"/>
    <w:rsid w:val="00F90ECA"/>
    <w:rsid w:val="00FC663C"/>
    <w:rsid w:val="00FD552A"/>
    <w:rsid w:val="00FF1F55"/>
    <w:rsid w:val="00FF6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7003"/>
  <w15:docId w15:val="{B1FC3F97-2B07-4544-A18B-A817B7C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496B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563C1"/>
      <w:u w:val="single" w:color="0563C1"/>
      <w:lang w:val="en-US"/>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EmphasisA">
    <w:name w:val="Emphasis A"/>
    <w:rPr>
      <w:rFonts w:ascii="Calibri" w:hAnsi="Calibri"/>
      <w:i/>
      <w:iCs/>
      <w:lang w:val="it-IT"/>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UnresolvedMention1">
    <w:name w:val="Unresolved Mention1"/>
    <w:basedOn w:val="DefaultParagraphFont"/>
    <w:uiPriority w:val="99"/>
    <w:semiHidden/>
    <w:unhideWhenUsed/>
    <w:rsid w:val="00960EAE"/>
    <w:rPr>
      <w:color w:val="605E5C"/>
      <w:shd w:val="clear" w:color="auto" w:fill="E1DFDD"/>
    </w:rPr>
  </w:style>
  <w:style w:type="character" w:customStyle="1" w:styleId="Heading4Char">
    <w:name w:val="Heading 4 Char"/>
    <w:basedOn w:val="DefaultParagraphFont"/>
    <w:link w:val="Heading4"/>
    <w:uiPriority w:val="9"/>
    <w:rsid w:val="00496BA4"/>
    <w:rPr>
      <w:rFonts w:eastAsia="Times New Roman"/>
      <w:b/>
      <w:bCs/>
      <w:sz w:val="24"/>
      <w:szCs w:val="24"/>
      <w:bdr w:val="none" w:sz="0" w:space="0" w:color="auto"/>
      <w:lang w:val="en-CA" w:eastAsia="en-CA"/>
    </w:rPr>
  </w:style>
  <w:style w:type="character" w:customStyle="1" w:styleId="xgmail-s1">
    <w:name w:val="x_gmail-s1"/>
    <w:basedOn w:val="DefaultParagraphFont"/>
    <w:rsid w:val="00F124C5"/>
  </w:style>
  <w:style w:type="character" w:customStyle="1" w:styleId="xgmail-s2">
    <w:name w:val="x_gmail-s2"/>
    <w:basedOn w:val="DefaultParagraphFont"/>
    <w:rsid w:val="00F124C5"/>
  </w:style>
  <w:style w:type="character" w:customStyle="1" w:styleId="xgmail-apple-converted-space">
    <w:name w:val="x_gmail-apple-converted-space"/>
    <w:basedOn w:val="DefaultParagraphFont"/>
    <w:rsid w:val="00F124C5"/>
  </w:style>
  <w:style w:type="character" w:customStyle="1" w:styleId="xgmail-s3">
    <w:name w:val="x_gmail-s3"/>
    <w:basedOn w:val="DefaultParagraphFont"/>
    <w:rsid w:val="00F124C5"/>
  </w:style>
  <w:style w:type="paragraph" w:styleId="Header">
    <w:name w:val="header"/>
    <w:basedOn w:val="Normal"/>
    <w:link w:val="HeaderChar"/>
    <w:uiPriority w:val="99"/>
    <w:unhideWhenUsed/>
    <w:rsid w:val="00486872"/>
    <w:pPr>
      <w:tabs>
        <w:tab w:val="center" w:pos="4680"/>
        <w:tab w:val="right" w:pos="9360"/>
      </w:tabs>
    </w:pPr>
  </w:style>
  <w:style w:type="character" w:customStyle="1" w:styleId="HeaderChar">
    <w:name w:val="Header Char"/>
    <w:basedOn w:val="DefaultParagraphFont"/>
    <w:link w:val="Header"/>
    <w:uiPriority w:val="99"/>
    <w:rsid w:val="00486872"/>
    <w:rPr>
      <w:sz w:val="24"/>
      <w:szCs w:val="24"/>
    </w:rPr>
  </w:style>
  <w:style w:type="paragraph" w:styleId="Footer">
    <w:name w:val="footer"/>
    <w:basedOn w:val="Normal"/>
    <w:link w:val="FooterChar"/>
    <w:uiPriority w:val="99"/>
    <w:unhideWhenUsed/>
    <w:rsid w:val="00486872"/>
    <w:pPr>
      <w:tabs>
        <w:tab w:val="center" w:pos="4680"/>
        <w:tab w:val="right" w:pos="9360"/>
      </w:tabs>
    </w:pPr>
  </w:style>
  <w:style w:type="character" w:customStyle="1" w:styleId="FooterChar">
    <w:name w:val="Footer Char"/>
    <w:basedOn w:val="DefaultParagraphFont"/>
    <w:link w:val="Footer"/>
    <w:uiPriority w:val="99"/>
    <w:rsid w:val="00486872"/>
    <w:rPr>
      <w:sz w:val="24"/>
      <w:szCs w:val="24"/>
    </w:rPr>
  </w:style>
  <w:style w:type="character" w:customStyle="1" w:styleId="apple-converted-space">
    <w:name w:val="apple-converted-space"/>
    <w:basedOn w:val="DefaultParagraphFont"/>
    <w:rsid w:val="00F42C73"/>
  </w:style>
  <w:style w:type="character" w:styleId="UnresolvedMention">
    <w:name w:val="Unresolved Mention"/>
    <w:basedOn w:val="DefaultParagraphFont"/>
    <w:uiPriority w:val="99"/>
    <w:rsid w:val="000D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00468">
      <w:bodyDiv w:val="1"/>
      <w:marLeft w:val="0"/>
      <w:marRight w:val="0"/>
      <w:marTop w:val="0"/>
      <w:marBottom w:val="0"/>
      <w:divBdr>
        <w:top w:val="none" w:sz="0" w:space="0" w:color="auto"/>
        <w:left w:val="none" w:sz="0" w:space="0" w:color="auto"/>
        <w:bottom w:val="none" w:sz="0" w:space="0" w:color="auto"/>
        <w:right w:val="none" w:sz="0" w:space="0" w:color="auto"/>
      </w:divBdr>
      <w:divsChild>
        <w:div w:id="14732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33964">
              <w:marLeft w:val="0"/>
              <w:marRight w:val="0"/>
              <w:marTop w:val="0"/>
              <w:marBottom w:val="0"/>
              <w:divBdr>
                <w:top w:val="none" w:sz="0" w:space="0" w:color="auto"/>
                <w:left w:val="none" w:sz="0" w:space="0" w:color="auto"/>
                <w:bottom w:val="none" w:sz="0" w:space="0" w:color="auto"/>
                <w:right w:val="none" w:sz="0" w:space="0" w:color="auto"/>
              </w:divBdr>
              <w:divsChild>
                <w:div w:id="513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6194">
      <w:bodyDiv w:val="1"/>
      <w:marLeft w:val="0"/>
      <w:marRight w:val="0"/>
      <w:marTop w:val="0"/>
      <w:marBottom w:val="0"/>
      <w:divBdr>
        <w:top w:val="none" w:sz="0" w:space="0" w:color="auto"/>
        <w:left w:val="none" w:sz="0" w:space="0" w:color="auto"/>
        <w:bottom w:val="none" w:sz="0" w:space="0" w:color="auto"/>
        <w:right w:val="none" w:sz="0" w:space="0" w:color="auto"/>
      </w:divBdr>
    </w:div>
    <w:div w:id="1443649250">
      <w:bodyDiv w:val="1"/>
      <w:marLeft w:val="0"/>
      <w:marRight w:val="0"/>
      <w:marTop w:val="0"/>
      <w:marBottom w:val="0"/>
      <w:divBdr>
        <w:top w:val="none" w:sz="0" w:space="0" w:color="auto"/>
        <w:left w:val="none" w:sz="0" w:space="0" w:color="auto"/>
        <w:bottom w:val="none" w:sz="0" w:space="0" w:color="auto"/>
        <w:right w:val="none" w:sz="0" w:space="0" w:color="auto"/>
      </w:divBdr>
      <w:divsChild>
        <w:div w:id="133352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028662">
              <w:marLeft w:val="0"/>
              <w:marRight w:val="0"/>
              <w:marTop w:val="0"/>
              <w:marBottom w:val="0"/>
              <w:divBdr>
                <w:top w:val="none" w:sz="0" w:space="0" w:color="auto"/>
                <w:left w:val="none" w:sz="0" w:space="0" w:color="auto"/>
                <w:bottom w:val="none" w:sz="0" w:space="0" w:color="auto"/>
                <w:right w:val="none" w:sz="0" w:space="0" w:color="auto"/>
              </w:divBdr>
              <w:divsChild>
                <w:div w:id="2570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7574">
      <w:bodyDiv w:val="1"/>
      <w:marLeft w:val="0"/>
      <w:marRight w:val="0"/>
      <w:marTop w:val="0"/>
      <w:marBottom w:val="0"/>
      <w:divBdr>
        <w:top w:val="none" w:sz="0" w:space="0" w:color="auto"/>
        <w:left w:val="none" w:sz="0" w:space="0" w:color="auto"/>
        <w:bottom w:val="none" w:sz="0" w:space="0" w:color="auto"/>
        <w:right w:val="none" w:sz="0" w:space="0" w:color="auto"/>
      </w:divBdr>
      <w:divsChild>
        <w:div w:id="118004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861897">
              <w:marLeft w:val="0"/>
              <w:marRight w:val="0"/>
              <w:marTop w:val="0"/>
              <w:marBottom w:val="0"/>
              <w:divBdr>
                <w:top w:val="none" w:sz="0" w:space="0" w:color="auto"/>
                <w:left w:val="none" w:sz="0" w:space="0" w:color="auto"/>
                <w:bottom w:val="none" w:sz="0" w:space="0" w:color="auto"/>
                <w:right w:val="none" w:sz="0" w:space="0" w:color="auto"/>
              </w:divBdr>
              <w:divsChild>
                <w:div w:id="17091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3498">
      <w:bodyDiv w:val="1"/>
      <w:marLeft w:val="0"/>
      <w:marRight w:val="0"/>
      <w:marTop w:val="0"/>
      <w:marBottom w:val="0"/>
      <w:divBdr>
        <w:top w:val="none" w:sz="0" w:space="0" w:color="auto"/>
        <w:left w:val="none" w:sz="0" w:space="0" w:color="auto"/>
        <w:bottom w:val="none" w:sz="0" w:space="0" w:color="auto"/>
        <w:right w:val="none" w:sz="0" w:space="0" w:color="auto"/>
      </w:divBdr>
      <w:divsChild>
        <w:div w:id="626818294">
          <w:marLeft w:val="0"/>
          <w:marRight w:val="0"/>
          <w:marTop w:val="0"/>
          <w:marBottom w:val="0"/>
          <w:divBdr>
            <w:top w:val="none" w:sz="0" w:space="0" w:color="auto"/>
            <w:left w:val="none" w:sz="0" w:space="0" w:color="auto"/>
            <w:bottom w:val="none" w:sz="0" w:space="0" w:color="auto"/>
            <w:right w:val="none" w:sz="0" w:space="0" w:color="auto"/>
          </w:divBdr>
        </w:div>
        <w:div w:id="459494123">
          <w:marLeft w:val="0"/>
          <w:marRight w:val="0"/>
          <w:marTop w:val="0"/>
          <w:marBottom w:val="0"/>
          <w:divBdr>
            <w:top w:val="none" w:sz="0" w:space="0" w:color="auto"/>
            <w:left w:val="none" w:sz="0" w:space="0" w:color="auto"/>
            <w:bottom w:val="none" w:sz="0" w:space="0" w:color="auto"/>
            <w:right w:val="none" w:sz="0" w:space="0" w:color="auto"/>
          </w:divBdr>
        </w:div>
        <w:div w:id="821432964">
          <w:marLeft w:val="0"/>
          <w:marRight w:val="0"/>
          <w:marTop w:val="0"/>
          <w:marBottom w:val="0"/>
          <w:divBdr>
            <w:top w:val="none" w:sz="0" w:space="0" w:color="auto"/>
            <w:left w:val="none" w:sz="0" w:space="0" w:color="auto"/>
            <w:bottom w:val="none" w:sz="0" w:space="0" w:color="auto"/>
            <w:right w:val="none" w:sz="0" w:space="0" w:color="auto"/>
          </w:divBdr>
        </w:div>
      </w:divsChild>
    </w:div>
    <w:div w:id="1735078880">
      <w:bodyDiv w:val="1"/>
      <w:marLeft w:val="0"/>
      <w:marRight w:val="0"/>
      <w:marTop w:val="0"/>
      <w:marBottom w:val="0"/>
      <w:divBdr>
        <w:top w:val="none" w:sz="0" w:space="0" w:color="auto"/>
        <w:left w:val="none" w:sz="0" w:space="0" w:color="auto"/>
        <w:bottom w:val="none" w:sz="0" w:space="0" w:color="auto"/>
        <w:right w:val="none" w:sz="0" w:space="0" w:color="auto"/>
      </w:divBdr>
    </w:div>
    <w:div w:id="1806311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pectridgeresourc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EA8B-41A6-4ACB-A603-026B1104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Luksha</dc:creator>
  <cp:lastModifiedBy>Stella Chen</cp:lastModifiedBy>
  <cp:revision>14</cp:revision>
  <dcterms:created xsi:type="dcterms:W3CDTF">2022-03-23T20:06:00Z</dcterms:created>
  <dcterms:modified xsi:type="dcterms:W3CDTF">2022-04-27T20:00:00Z</dcterms:modified>
</cp:coreProperties>
</file>