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2EA5" w14:textId="5D4DBECB" w:rsidR="000E0557" w:rsidRPr="000E0557" w:rsidRDefault="00C60A4F" w:rsidP="001635F3">
      <w:pPr>
        <w:jc w:val="center"/>
        <w:rPr>
          <w:rFonts w:ascii="Arial" w:hAnsi="Arial"/>
          <w:b/>
        </w:rPr>
      </w:pPr>
      <w:r>
        <w:rPr>
          <w:rFonts w:ascii="Arial" w:hAnsi="Arial"/>
          <w:b/>
        </w:rPr>
        <w:t>Rockland Resources</w:t>
      </w:r>
      <w:r w:rsidR="000E0557">
        <w:rPr>
          <w:rFonts w:ascii="Arial" w:hAnsi="Arial"/>
          <w:b/>
        </w:rPr>
        <w:t xml:space="preserve"> Inc.</w:t>
      </w:r>
    </w:p>
    <w:p w14:paraId="23ED3B8C" w14:textId="77777777" w:rsidR="001635F3" w:rsidRPr="001635F3" w:rsidRDefault="000E0557" w:rsidP="001635F3">
      <w:pPr>
        <w:jc w:val="center"/>
        <w:rPr>
          <w:rFonts w:ascii="Arial" w:hAnsi="Arial"/>
        </w:rPr>
      </w:pPr>
      <w:r>
        <w:rPr>
          <w:rFonts w:ascii="Arial" w:hAnsi="Arial"/>
        </w:rPr>
        <w:t>Suite 1240 - 789 West Pender Street</w:t>
      </w:r>
    </w:p>
    <w:p w14:paraId="5F1227E6" w14:textId="77777777" w:rsidR="006C7868" w:rsidRPr="001635F3" w:rsidRDefault="001635F3" w:rsidP="001635F3">
      <w:pPr>
        <w:jc w:val="center"/>
        <w:rPr>
          <w:rFonts w:ascii="Arial" w:hAnsi="Arial"/>
        </w:rPr>
      </w:pPr>
      <w:r w:rsidRPr="001635F3">
        <w:rPr>
          <w:rFonts w:ascii="Arial" w:hAnsi="Arial"/>
        </w:rPr>
        <w:t>Vancouver</w:t>
      </w:r>
      <w:r w:rsidR="00A12E6C" w:rsidRPr="001635F3">
        <w:rPr>
          <w:rFonts w:ascii="Arial" w:hAnsi="Arial"/>
        </w:rPr>
        <w:t xml:space="preserve">, </w:t>
      </w:r>
      <w:r w:rsidR="006C7868" w:rsidRPr="001635F3">
        <w:rPr>
          <w:rFonts w:ascii="Arial" w:hAnsi="Arial"/>
        </w:rPr>
        <w:t xml:space="preserve">British Columbia, Canada </w:t>
      </w:r>
      <w:r w:rsidR="000E0557">
        <w:rPr>
          <w:rFonts w:ascii="Arial" w:hAnsi="Arial"/>
        </w:rPr>
        <w:t>V6C 1H2</w:t>
      </w:r>
    </w:p>
    <w:p w14:paraId="56918BAE" w14:textId="77777777" w:rsidR="006C7868" w:rsidRPr="001635F3" w:rsidRDefault="006C7868" w:rsidP="001635F3">
      <w:pPr>
        <w:jc w:val="center"/>
        <w:rPr>
          <w:rFonts w:ascii="Arial" w:hAnsi="Arial"/>
        </w:rPr>
      </w:pPr>
      <w:r w:rsidRPr="001635F3">
        <w:rPr>
          <w:rFonts w:ascii="Arial" w:hAnsi="Arial"/>
        </w:rPr>
        <w:t>Telephone (</w:t>
      </w:r>
      <w:r w:rsidR="004F5F76">
        <w:rPr>
          <w:rFonts w:ascii="Arial" w:hAnsi="Arial"/>
        </w:rPr>
        <w:t>604</w:t>
      </w:r>
      <w:r w:rsidR="00746B85">
        <w:rPr>
          <w:rFonts w:ascii="Arial" w:hAnsi="Arial"/>
        </w:rPr>
        <w:t>)</w:t>
      </w:r>
      <w:r w:rsidR="00746B85" w:rsidRPr="00746B85">
        <w:rPr>
          <w:rFonts w:ascii="Arial" w:hAnsi="Arial"/>
        </w:rPr>
        <w:t xml:space="preserve"> </w:t>
      </w:r>
      <w:r w:rsidR="004F5F76">
        <w:rPr>
          <w:rFonts w:ascii="Arial" w:hAnsi="Arial"/>
        </w:rPr>
        <w:t>683-3995</w:t>
      </w:r>
    </w:p>
    <w:p w14:paraId="28A865FC" w14:textId="77777777" w:rsidR="00CA3F36" w:rsidRDefault="00CA3F36">
      <w:pPr>
        <w:rPr>
          <w:rFonts w:ascii="Arial" w:hAnsi="Arial"/>
          <w:sz w:val="24"/>
        </w:rPr>
      </w:pPr>
    </w:p>
    <w:p w14:paraId="5F5D2ADE" w14:textId="77777777" w:rsidR="006C7868" w:rsidRPr="006C7868" w:rsidRDefault="006C7868">
      <w:pPr>
        <w:pStyle w:val="Heading2"/>
        <w:rPr>
          <w:rFonts w:ascii="Arial" w:hAnsi="Arial"/>
          <w:sz w:val="22"/>
          <w:szCs w:val="22"/>
        </w:rPr>
      </w:pPr>
    </w:p>
    <w:p w14:paraId="14427AF1" w14:textId="5A11C56B" w:rsidR="006C7868" w:rsidRPr="006C7868" w:rsidRDefault="008C1FA3" w:rsidP="006C7868">
      <w:pPr>
        <w:rPr>
          <w:rFonts w:ascii="Arial" w:hAnsi="Arial" w:cs="Arial"/>
          <w:sz w:val="24"/>
          <w:szCs w:val="24"/>
        </w:rPr>
      </w:pPr>
      <w:r>
        <w:rPr>
          <w:rFonts w:ascii="Arial" w:hAnsi="Arial" w:cs="Arial"/>
          <w:sz w:val="24"/>
          <w:szCs w:val="24"/>
        </w:rPr>
        <w:t xml:space="preserve">March </w:t>
      </w:r>
      <w:r w:rsidR="00693C81">
        <w:rPr>
          <w:rFonts w:ascii="Arial" w:hAnsi="Arial" w:cs="Arial"/>
          <w:sz w:val="24"/>
          <w:szCs w:val="24"/>
        </w:rPr>
        <w:t>31</w:t>
      </w:r>
      <w:r w:rsidR="00626075" w:rsidRPr="00D12C5A">
        <w:rPr>
          <w:rFonts w:ascii="Arial" w:hAnsi="Arial" w:cs="Arial"/>
          <w:sz w:val="24"/>
          <w:szCs w:val="24"/>
        </w:rPr>
        <w:t>, 202</w:t>
      </w:r>
      <w:r w:rsidR="00B37599">
        <w:rPr>
          <w:rFonts w:ascii="Arial" w:hAnsi="Arial" w:cs="Arial"/>
          <w:sz w:val="24"/>
          <w:szCs w:val="24"/>
        </w:rPr>
        <w:t>2</w:t>
      </w:r>
    </w:p>
    <w:p w14:paraId="55731F6E" w14:textId="77777777" w:rsidR="006C7868" w:rsidRDefault="006C7868">
      <w:pPr>
        <w:pStyle w:val="Heading2"/>
        <w:rPr>
          <w:rFonts w:ascii="Arial" w:hAnsi="Arial"/>
        </w:rPr>
      </w:pPr>
    </w:p>
    <w:p w14:paraId="3C899B6C" w14:textId="77777777" w:rsidR="00CA3F36" w:rsidRDefault="006C7868">
      <w:pPr>
        <w:pStyle w:val="Heading2"/>
        <w:rPr>
          <w:rFonts w:ascii="Arial" w:hAnsi="Arial"/>
        </w:rPr>
      </w:pPr>
      <w:r>
        <w:rPr>
          <w:rFonts w:ascii="Arial" w:hAnsi="Arial"/>
        </w:rPr>
        <w:t xml:space="preserve">Canadian Securities </w:t>
      </w:r>
      <w:r w:rsidR="00D71C24">
        <w:rPr>
          <w:rFonts w:ascii="Arial" w:hAnsi="Arial"/>
        </w:rPr>
        <w:t>Exchange</w:t>
      </w:r>
    </w:p>
    <w:p w14:paraId="061C5D9F" w14:textId="77777777" w:rsidR="001538E1" w:rsidRDefault="006C7868">
      <w:pPr>
        <w:rPr>
          <w:rFonts w:ascii="Arial" w:hAnsi="Arial"/>
          <w:sz w:val="24"/>
        </w:rPr>
      </w:pPr>
      <w:r>
        <w:rPr>
          <w:rFonts w:ascii="Arial" w:hAnsi="Arial"/>
          <w:sz w:val="24"/>
        </w:rPr>
        <w:t xml:space="preserve">220 Bay Street, </w:t>
      </w:r>
      <w:r w:rsidR="001538E1">
        <w:rPr>
          <w:rFonts w:ascii="Arial" w:hAnsi="Arial"/>
          <w:sz w:val="24"/>
        </w:rPr>
        <w:t>9</w:t>
      </w:r>
      <w:r w:rsidR="001538E1" w:rsidRPr="001538E1">
        <w:rPr>
          <w:rFonts w:ascii="Arial" w:hAnsi="Arial"/>
          <w:sz w:val="24"/>
          <w:vertAlign w:val="superscript"/>
        </w:rPr>
        <w:t>th</w:t>
      </w:r>
      <w:r w:rsidR="001538E1">
        <w:rPr>
          <w:rFonts w:ascii="Arial" w:hAnsi="Arial"/>
          <w:sz w:val="24"/>
        </w:rPr>
        <w:t xml:space="preserve"> Floor</w:t>
      </w:r>
    </w:p>
    <w:p w14:paraId="09405902" w14:textId="77777777" w:rsidR="001538E1" w:rsidRDefault="001538E1">
      <w:pPr>
        <w:rPr>
          <w:rFonts w:ascii="Arial" w:hAnsi="Arial"/>
          <w:sz w:val="24"/>
        </w:rPr>
      </w:pPr>
      <w:r>
        <w:rPr>
          <w:rFonts w:ascii="Arial" w:hAnsi="Arial"/>
          <w:sz w:val="24"/>
        </w:rPr>
        <w:t xml:space="preserve">Toronto, </w:t>
      </w:r>
      <w:proofErr w:type="gramStart"/>
      <w:r>
        <w:rPr>
          <w:rFonts w:ascii="Arial" w:hAnsi="Arial"/>
          <w:sz w:val="24"/>
        </w:rPr>
        <w:t>Ontario</w:t>
      </w:r>
      <w:r w:rsidR="001635F3">
        <w:rPr>
          <w:rFonts w:ascii="Arial" w:hAnsi="Arial"/>
          <w:sz w:val="24"/>
        </w:rPr>
        <w:t xml:space="preserve">  </w:t>
      </w:r>
      <w:r>
        <w:rPr>
          <w:rFonts w:ascii="Arial" w:hAnsi="Arial"/>
          <w:sz w:val="24"/>
        </w:rPr>
        <w:t>M</w:t>
      </w:r>
      <w:proofErr w:type="gramEnd"/>
      <w:r>
        <w:rPr>
          <w:rFonts w:ascii="Arial" w:hAnsi="Arial"/>
          <w:sz w:val="24"/>
        </w:rPr>
        <w:t>5J 2W4</w:t>
      </w:r>
    </w:p>
    <w:p w14:paraId="04A356B4" w14:textId="77777777" w:rsidR="00CA3F36" w:rsidRDefault="00CA3F36">
      <w:pPr>
        <w:rPr>
          <w:rFonts w:ascii="Arial" w:hAnsi="Arial"/>
          <w:sz w:val="24"/>
        </w:rPr>
      </w:pPr>
    </w:p>
    <w:p w14:paraId="0941FAFB" w14:textId="77777777" w:rsidR="00CA3F36" w:rsidRDefault="00CA3F36">
      <w:pPr>
        <w:rPr>
          <w:rFonts w:ascii="Arial" w:hAnsi="Arial"/>
          <w:sz w:val="24"/>
        </w:rPr>
      </w:pPr>
      <w:r>
        <w:rPr>
          <w:rFonts w:ascii="Arial" w:hAnsi="Arial"/>
          <w:sz w:val="24"/>
        </w:rPr>
        <w:t>Dear Sirs/Mesdames:</w:t>
      </w:r>
    </w:p>
    <w:p w14:paraId="43461C84" w14:textId="77777777" w:rsidR="00CA3F36" w:rsidRDefault="00CA3F36">
      <w:pPr>
        <w:rPr>
          <w:rFonts w:ascii="Arial" w:hAnsi="Arial"/>
          <w:sz w:val="24"/>
        </w:rPr>
      </w:pPr>
    </w:p>
    <w:p w14:paraId="3133154C" w14:textId="77777777" w:rsidR="00EA3DF7" w:rsidRDefault="00CA3F36" w:rsidP="00EA3DF7">
      <w:pPr>
        <w:ind w:left="720" w:hanging="720"/>
        <w:rPr>
          <w:rFonts w:ascii="Arial" w:hAnsi="Arial"/>
          <w:b/>
          <w:sz w:val="24"/>
        </w:rPr>
      </w:pPr>
      <w:r w:rsidRPr="00067803">
        <w:rPr>
          <w:rFonts w:ascii="Arial" w:hAnsi="Arial"/>
          <w:b/>
          <w:sz w:val="24"/>
        </w:rPr>
        <w:t xml:space="preserve">Re:  </w:t>
      </w:r>
      <w:r w:rsidR="00067803">
        <w:rPr>
          <w:rFonts w:ascii="Arial" w:hAnsi="Arial"/>
          <w:b/>
          <w:sz w:val="24"/>
        </w:rPr>
        <w:tab/>
      </w:r>
      <w:r w:rsidR="00EA3DF7" w:rsidRPr="00067803">
        <w:rPr>
          <w:rFonts w:ascii="Arial" w:hAnsi="Arial"/>
          <w:b/>
          <w:sz w:val="24"/>
        </w:rPr>
        <w:t xml:space="preserve">Re:  </w:t>
      </w:r>
      <w:r w:rsidR="00EA3DF7">
        <w:rPr>
          <w:rFonts w:ascii="Arial" w:hAnsi="Arial"/>
          <w:b/>
          <w:sz w:val="24"/>
        </w:rPr>
        <w:tab/>
        <w:t xml:space="preserve">Rockland Resources Inc. </w:t>
      </w:r>
      <w:r w:rsidR="00EA3DF7" w:rsidRPr="00067803">
        <w:rPr>
          <w:rFonts w:ascii="Arial" w:hAnsi="Arial"/>
          <w:b/>
          <w:sz w:val="24"/>
        </w:rPr>
        <w:t>(the “Issuer”)</w:t>
      </w:r>
    </w:p>
    <w:p w14:paraId="116E4995" w14:textId="77777777" w:rsidR="00693C81" w:rsidRDefault="00693C81" w:rsidP="00EA3DF7">
      <w:pPr>
        <w:ind w:left="720" w:hanging="720"/>
        <w:rPr>
          <w:rFonts w:ascii="Arial" w:hAnsi="Arial"/>
          <w:b/>
          <w:sz w:val="24"/>
        </w:rPr>
      </w:pPr>
    </w:p>
    <w:p w14:paraId="7C20225E" w14:textId="0FC4DDED" w:rsidR="002F4BB3" w:rsidRDefault="002F4BB3" w:rsidP="002F4BB3">
      <w:pPr>
        <w:jc w:val="center"/>
        <w:rPr>
          <w:b/>
          <w:caps/>
          <w:sz w:val="24"/>
          <w:szCs w:val="24"/>
        </w:rPr>
      </w:pPr>
      <w:r w:rsidRPr="008B3151">
        <w:rPr>
          <w:b/>
          <w:caps/>
          <w:sz w:val="24"/>
          <w:szCs w:val="24"/>
        </w:rPr>
        <w:t xml:space="preserve">Rockland Resources </w:t>
      </w:r>
      <w:r>
        <w:rPr>
          <w:b/>
          <w:caps/>
          <w:sz w:val="24"/>
          <w:szCs w:val="24"/>
        </w:rPr>
        <w:t xml:space="preserve">REPORTS ASSAys up to 10.9 g/t Gold from INITIAL </w:t>
      </w:r>
      <w:r w:rsidRPr="008B3151">
        <w:rPr>
          <w:b/>
          <w:caps/>
          <w:sz w:val="24"/>
          <w:szCs w:val="24"/>
        </w:rPr>
        <w:t xml:space="preserve">DRILLING </w:t>
      </w:r>
      <w:r>
        <w:rPr>
          <w:b/>
          <w:caps/>
          <w:sz w:val="24"/>
          <w:szCs w:val="24"/>
        </w:rPr>
        <w:t xml:space="preserve">PROGRAM AT </w:t>
      </w:r>
      <w:r w:rsidRPr="008B3151">
        <w:rPr>
          <w:b/>
          <w:caps/>
          <w:sz w:val="24"/>
          <w:szCs w:val="24"/>
        </w:rPr>
        <w:t xml:space="preserve">cOLE gOLD mINES pROPERTY, </w:t>
      </w:r>
      <w:r>
        <w:rPr>
          <w:b/>
          <w:caps/>
          <w:sz w:val="24"/>
          <w:szCs w:val="24"/>
        </w:rPr>
        <w:t xml:space="preserve">RED LAKE AREA, </w:t>
      </w:r>
      <w:r w:rsidRPr="008B3151">
        <w:rPr>
          <w:b/>
          <w:caps/>
          <w:sz w:val="24"/>
          <w:szCs w:val="24"/>
        </w:rPr>
        <w:t>oNTARIO</w:t>
      </w:r>
    </w:p>
    <w:p w14:paraId="77D3633C" w14:textId="77777777" w:rsidR="002F4BB3" w:rsidRDefault="002F4BB3" w:rsidP="002F4BB3">
      <w:pPr>
        <w:jc w:val="center"/>
        <w:rPr>
          <w:b/>
          <w:caps/>
          <w:sz w:val="24"/>
          <w:szCs w:val="24"/>
        </w:rPr>
      </w:pPr>
    </w:p>
    <w:p w14:paraId="0392F501" w14:textId="77777777" w:rsidR="002F4BB3" w:rsidRPr="006A3C47" w:rsidRDefault="002F4BB3" w:rsidP="00693C81">
      <w:pPr>
        <w:ind w:right="49"/>
        <w:jc w:val="both"/>
        <w:rPr>
          <w:color w:val="000000"/>
          <w:sz w:val="24"/>
          <w:szCs w:val="24"/>
        </w:rPr>
      </w:pPr>
      <w:r w:rsidRPr="006A3C47">
        <w:rPr>
          <w:b/>
          <w:sz w:val="24"/>
          <w:szCs w:val="24"/>
        </w:rPr>
        <w:t xml:space="preserve">Vancouver, British Columbia, March </w:t>
      </w:r>
      <w:r>
        <w:rPr>
          <w:b/>
          <w:sz w:val="24"/>
          <w:szCs w:val="24"/>
        </w:rPr>
        <w:t>31</w:t>
      </w:r>
      <w:r w:rsidRPr="006A3C47">
        <w:rPr>
          <w:b/>
          <w:sz w:val="24"/>
          <w:szCs w:val="24"/>
        </w:rPr>
        <w:t>, 2022:</w:t>
      </w:r>
      <w:r w:rsidRPr="006A3C47">
        <w:rPr>
          <w:sz w:val="24"/>
          <w:szCs w:val="24"/>
        </w:rPr>
        <w:t xml:space="preserve">  Rockland Resources Ltd. (the "Company" or "Rockland") (</w:t>
      </w:r>
      <w:r w:rsidRPr="006A3C47">
        <w:rPr>
          <w:b/>
          <w:bCs/>
          <w:sz w:val="24"/>
          <w:szCs w:val="24"/>
        </w:rPr>
        <w:t>CSE: RKL</w:t>
      </w:r>
      <w:r w:rsidRPr="006A3C47">
        <w:rPr>
          <w:sz w:val="24"/>
          <w:szCs w:val="24"/>
        </w:rPr>
        <w:t>) is pleased to report assay results for the Company’s inaugural d</w:t>
      </w:r>
      <w:r w:rsidRPr="006A3C47">
        <w:rPr>
          <w:rFonts w:eastAsia="Calibri"/>
          <w:bCs/>
          <w:spacing w:val="1"/>
          <w:sz w:val="24"/>
          <w:szCs w:val="24"/>
        </w:rPr>
        <w:t xml:space="preserve">rill program at the Cole Gold Mines Property, Red Lake Mining Division, Ontario.  The program consisted of 5 NQ core holes for a total of 996 </w:t>
      </w:r>
      <w:proofErr w:type="spellStart"/>
      <w:r w:rsidRPr="006A3C47">
        <w:rPr>
          <w:rFonts w:eastAsia="Calibri"/>
          <w:bCs/>
          <w:spacing w:val="1"/>
          <w:sz w:val="24"/>
          <w:szCs w:val="24"/>
        </w:rPr>
        <w:t>metres</w:t>
      </w:r>
      <w:proofErr w:type="spellEnd"/>
      <w:r w:rsidRPr="006A3C47">
        <w:rPr>
          <w:rFonts w:eastAsia="Calibri"/>
          <w:bCs/>
          <w:spacing w:val="1"/>
          <w:sz w:val="24"/>
          <w:szCs w:val="24"/>
        </w:rPr>
        <w:t xml:space="preserve"> that targeted </w:t>
      </w:r>
      <w:r w:rsidRPr="006A3C47">
        <w:rPr>
          <w:sz w:val="24"/>
          <w:szCs w:val="24"/>
        </w:rPr>
        <w:t>quartz veins and shear structures with quartz-sericite-</w:t>
      </w:r>
      <w:proofErr w:type="spellStart"/>
      <w:r w:rsidRPr="006A3C47">
        <w:rPr>
          <w:sz w:val="24"/>
          <w:szCs w:val="24"/>
        </w:rPr>
        <w:t>sulphide</w:t>
      </w:r>
      <w:proofErr w:type="spellEnd"/>
      <w:r w:rsidRPr="006A3C47">
        <w:rPr>
          <w:sz w:val="24"/>
          <w:szCs w:val="24"/>
        </w:rPr>
        <w:t xml:space="preserve"> alteration.</w:t>
      </w:r>
    </w:p>
    <w:p w14:paraId="37CDD2BF" w14:textId="77777777" w:rsidR="002F4BB3" w:rsidRPr="006A3C47" w:rsidRDefault="002F4BB3" w:rsidP="00693C81">
      <w:pPr>
        <w:ind w:right="49"/>
        <w:jc w:val="both"/>
        <w:rPr>
          <w:color w:val="000000"/>
          <w:sz w:val="24"/>
          <w:szCs w:val="24"/>
        </w:rPr>
      </w:pPr>
    </w:p>
    <w:p w14:paraId="6E1AC9BE" w14:textId="77777777" w:rsidR="002F4BB3" w:rsidRPr="006A3C47" w:rsidRDefault="002F4BB3" w:rsidP="00693C81">
      <w:pPr>
        <w:ind w:right="49"/>
        <w:jc w:val="both"/>
        <w:rPr>
          <w:color w:val="000000"/>
          <w:sz w:val="24"/>
          <w:szCs w:val="24"/>
        </w:rPr>
      </w:pPr>
      <w:r w:rsidRPr="006A3C47">
        <w:rPr>
          <w:b/>
          <w:bCs/>
          <w:color w:val="000000"/>
          <w:sz w:val="24"/>
          <w:szCs w:val="24"/>
        </w:rPr>
        <w:t xml:space="preserve">Drill results – </w:t>
      </w:r>
      <w:r w:rsidRPr="006A3C47">
        <w:rPr>
          <w:color w:val="000000"/>
          <w:sz w:val="24"/>
          <w:szCs w:val="24"/>
        </w:rPr>
        <w:t xml:space="preserve">Highlights from the program include the intersection of the gold mineralized quartz vein system developed by the historical Cole Gold Mines underground workings (Vein #1) and newly-discovered footwall gold mineralization in rhyolite with strong biotite, garnet, silica alteration and associated </w:t>
      </w:r>
      <w:proofErr w:type="spellStart"/>
      <w:r w:rsidRPr="006A3C47">
        <w:rPr>
          <w:color w:val="000000"/>
          <w:sz w:val="24"/>
          <w:szCs w:val="24"/>
        </w:rPr>
        <w:t>sulphides</w:t>
      </w:r>
      <w:proofErr w:type="spellEnd"/>
      <w:r w:rsidRPr="006A3C47">
        <w:rPr>
          <w:color w:val="000000"/>
          <w:sz w:val="24"/>
          <w:szCs w:val="24"/>
        </w:rPr>
        <w:t xml:space="preserve">.  </w:t>
      </w:r>
      <w:r>
        <w:rPr>
          <w:color w:val="000000"/>
          <w:sz w:val="24"/>
          <w:szCs w:val="24"/>
        </w:rPr>
        <w:t>Gold (Au) is reported in grams/</w:t>
      </w:r>
      <w:proofErr w:type="spellStart"/>
      <w:r>
        <w:rPr>
          <w:color w:val="000000"/>
          <w:sz w:val="24"/>
          <w:szCs w:val="24"/>
        </w:rPr>
        <w:t>tonne</w:t>
      </w:r>
      <w:proofErr w:type="spellEnd"/>
      <w:r>
        <w:rPr>
          <w:color w:val="000000"/>
          <w:sz w:val="24"/>
          <w:szCs w:val="24"/>
        </w:rPr>
        <w:t xml:space="preserve"> (g/t) in Table 1.</w:t>
      </w:r>
    </w:p>
    <w:p w14:paraId="14BA6E7E" w14:textId="77777777" w:rsidR="002F4BB3" w:rsidRPr="006A3C47" w:rsidRDefault="002F4BB3" w:rsidP="00693C81">
      <w:pPr>
        <w:ind w:right="49"/>
        <w:jc w:val="both"/>
        <w:rPr>
          <w:color w:val="000000"/>
          <w:sz w:val="24"/>
          <w:szCs w:val="24"/>
        </w:rPr>
      </w:pPr>
    </w:p>
    <w:p w14:paraId="4F2DA3FA" w14:textId="77777777" w:rsidR="002F4BB3" w:rsidRPr="006A3C47" w:rsidRDefault="002F4BB3" w:rsidP="00693C81">
      <w:pPr>
        <w:ind w:right="49"/>
        <w:jc w:val="both"/>
        <w:rPr>
          <w:b/>
          <w:bCs/>
          <w:color w:val="000000"/>
          <w:sz w:val="24"/>
          <w:szCs w:val="24"/>
        </w:rPr>
      </w:pPr>
      <w:r w:rsidRPr="006A3C47">
        <w:rPr>
          <w:b/>
          <w:bCs/>
          <w:color w:val="000000"/>
          <w:sz w:val="24"/>
          <w:szCs w:val="24"/>
        </w:rPr>
        <w:t xml:space="preserve">Hole RL-CP-02 intersected 0.5 m at 4.9 g/t Au in </w:t>
      </w:r>
      <w:proofErr w:type="gramStart"/>
      <w:r w:rsidRPr="006A3C47">
        <w:rPr>
          <w:b/>
          <w:bCs/>
          <w:color w:val="000000"/>
          <w:sz w:val="24"/>
          <w:szCs w:val="24"/>
        </w:rPr>
        <w:t>Vein</w:t>
      </w:r>
      <w:proofErr w:type="gramEnd"/>
      <w:r w:rsidRPr="006A3C47">
        <w:rPr>
          <w:b/>
          <w:bCs/>
          <w:color w:val="000000"/>
          <w:sz w:val="24"/>
          <w:szCs w:val="24"/>
        </w:rPr>
        <w:t xml:space="preserve"> #1 and 2.5 m at 3.6 g/t Au including 0.5 m at 10.9 g/t in the Footwall Zone.</w:t>
      </w:r>
    </w:p>
    <w:p w14:paraId="24F87D3F" w14:textId="77777777" w:rsidR="002F4BB3" w:rsidRPr="006A3C47" w:rsidRDefault="002F4BB3" w:rsidP="00693C81">
      <w:pPr>
        <w:ind w:right="49"/>
        <w:jc w:val="both"/>
        <w:rPr>
          <w:color w:val="000000"/>
          <w:sz w:val="24"/>
          <w:szCs w:val="24"/>
        </w:rPr>
      </w:pPr>
    </w:p>
    <w:p w14:paraId="6BE9A20A" w14:textId="77777777" w:rsidR="002F4BB3" w:rsidRPr="006A3C47" w:rsidRDefault="002F4BB3" w:rsidP="00693C81">
      <w:pPr>
        <w:ind w:right="49"/>
        <w:jc w:val="both"/>
        <w:rPr>
          <w:rFonts w:eastAsia="Calibri"/>
          <w:bCs/>
          <w:spacing w:val="1"/>
          <w:sz w:val="24"/>
          <w:szCs w:val="24"/>
        </w:rPr>
      </w:pPr>
      <w:r w:rsidRPr="006A3C47">
        <w:rPr>
          <w:color w:val="000000"/>
          <w:sz w:val="24"/>
          <w:szCs w:val="24"/>
        </w:rPr>
        <w:t xml:space="preserve">Rockland’s CEO, Mike England stated "We are pleased that our inaugural program at Cole has intersected multiple zones of gold mineralization that are associated with strong alteration and well-defined structural controls. </w:t>
      </w:r>
      <w:r>
        <w:rPr>
          <w:color w:val="000000"/>
          <w:sz w:val="24"/>
          <w:szCs w:val="24"/>
        </w:rPr>
        <w:t xml:space="preserve"> </w:t>
      </w:r>
      <w:r w:rsidRPr="006A3C47">
        <w:rPr>
          <w:color w:val="000000"/>
          <w:sz w:val="24"/>
          <w:szCs w:val="24"/>
        </w:rPr>
        <w:t>Rockland’s program is the first drilling campaign on the Cole Gold Mines Property since 1972.  Our results from the initial holes after a half century provide strong encouragement for further drilling on this gold mineralized system”.</w:t>
      </w:r>
    </w:p>
    <w:p w14:paraId="7CFA56C2" w14:textId="77777777" w:rsidR="002F4BB3" w:rsidRPr="006A3C47" w:rsidRDefault="002F4BB3" w:rsidP="00693C81">
      <w:pPr>
        <w:ind w:right="49"/>
        <w:jc w:val="both"/>
        <w:rPr>
          <w:rFonts w:eastAsia="Calibri"/>
          <w:bCs/>
          <w:spacing w:val="1"/>
          <w:sz w:val="24"/>
          <w:szCs w:val="24"/>
        </w:rPr>
      </w:pPr>
    </w:p>
    <w:p w14:paraId="2ADF5DDE" w14:textId="77777777" w:rsidR="002F4BB3" w:rsidRPr="006A3C47" w:rsidRDefault="002F4BB3" w:rsidP="00693C81">
      <w:pPr>
        <w:jc w:val="both"/>
        <w:rPr>
          <w:b/>
          <w:bCs/>
          <w:sz w:val="24"/>
          <w:szCs w:val="24"/>
        </w:rPr>
      </w:pPr>
      <w:r w:rsidRPr="006A3C47">
        <w:rPr>
          <w:b/>
          <w:bCs/>
          <w:sz w:val="24"/>
          <w:szCs w:val="24"/>
        </w:rPr>
        <w:t xml:space="preserve">Table 1. Cole Gold Property, 2021 Drill Program, Intersections with &gt; 2 g/t Au, </w:t>
      </w:r>
    </w:p>
    <w:tbl>
      <w:tblPr>
        <w:tblStyle w:val="TableGrid"/>
        <w:tblW w:w="826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5"/>
        <w:gridCol w:w="1207"/>
        <w:gridCol w:w="1350"/>
        <w:gridCol w:w="900"/>
        <w:gridCol w:w="810"/>
        <w:gridCol w:w="1043"/>
        <w:gridCol w:w="1440"/>
      </w:tblGrid>
      <w:tr w:rsidR="002F4BB3" w:rsidRPr="006A3C47" w14:paraId="79FAFB31" w14:textId="77777777" w:rsidTr="00871170">
        <w:trPr>
          <w:trHeight w:val="300"/>
        </w:trPr>
        <w:tc>
          <w:tcPr>
            <w:tcW w:w="1515" w:type="dxa"/>
            <w:tcBorders>
              <w:top w:val="double" w:sz="4" w:space="0" w:color="auto"/>
              <w:bottom w:val="double" w:sz="4" w:space="0" w:color="auto"/>
            </w:tcBorders>
            <w:shd w:val="clear" w:color="auto" w:fill="FFFFFF" w:themeFill="background1"/>
            <w:noWrap/>
            <w:hideMark/>
          </w:tcPr>
          <w:p w14:paraId="5620DE32"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Hole ID</w:t>
            </w:r>
          </w:p>
        </w:tc>
        <w:tc>
          <w:tcPr>
            <w:tcW w:w="1207" w:type="dxa"/>
            <w:tcBorders>
              <w:top w:val="double" w:sz="4" w:space="0" w:color="auto"/>
              <w:bottom w:val="double" w:sz="4" w:space="0" w:color="auto"/>
            </w:tcBorders>
            <w:shd w:val="clear" w:color="auto" w:fill="FFFFFF" w:themeFill="background1"/>
          </w:tcPr>
          <w:p w14:paraId="45F9081E"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Zone</w:t>
            </w:r>
          </w:p>
        </w:tc>
        <w:tc>
          <w:tcPr>
            <w:tcW w:w="1350" w:type="dxa"/>
            <w:tcBorders>
              <w:top w:val="double" w:sz="4" w:space="0" w:color="auto"/>
              <w:bottom w:val="double" w:sz="4" w:space="0" w:color="auto"/>
            </w:tcBorders>
            <w:shd w:val="clear" w:color="auto" w:fill="FFFFFF" w:themeFill="background1"/>
            <w:noWrap/>
            <w:hideMark/>
          </w:tcPr>
          <w:p w14:paraId="7DB94C93"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Az/Dip</w:t>
            </w:r>
          </w:p>
        </w:tc>
        <w:tc>
          <w:tcPr>
            <w:tcW w:w="900" w:type="dxa"/>
            <w:tcBorders>
              <w:top w:val="double" w:sz="4" w:space="0" w:color="auto"/>
              <w:bottom w:val="double" w:sz="4" w:space="0" w:color="auto"/>
            </w:tcBorders>
            <w:shd w:val="clear" w:color="auto" w:fill="FFFFFF" w:themeFill="background1"/>
            <w:noWrap/>
            <w:hideMark/>
          </w:tcPr>
          <w:p w14:paraId="48BB8FE6"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From (m)</w:t>
            </w:r>
          </w:p>
        </w:tc>
        <w:tc>
          <w:tcPr>
            <w:tcW w:w="810" w:type="dxa"/>
            <w:tcBorders>
              <w:top w:val="double" w:sz="4" w:space="0" w:color="auto"/>
              <w:bottom w:val="double" w:sz="4" w:space="0" w:color="auto"/>
            </w:tcBorders>
            <w:shd w:val="clear" w:color="auto" w:fill="FFFFFF" w:themeFill="background1"/>
            <w:noWrap/>
            <w:hideMark/>
          </w:tcPr>
          <w:p w14:paraId="5E8C44FE"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To (m)</w:t>
            </w:r>
          </w:p>
        </w:tc>
        <w:tc>
          <w:tcPr>
            <w:tcW w:w="1043" w:type="dxa"/>
            <w:tcBorders>
              <w:top w:val="double" w:sz="4" w:space="0" w:color="auto"/>
              <w:bottom w:val="double" w:sz="4" w:space="0" w:color="auto"/>
            </w:tcBorders>
            <w:shd w:val="clear" w:color="auto" w:fill="FFFFFF" w:themeFill="background1"/>
            <w:noWrap/>
            <w:hideMark/>
          </w:tcPr>
          <w:p w14:paraId="463FA754"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 xml:space="preserve">Interval </w:t>
            </w:r>
            <w:r>
              <w:rPr>
                <w:rFonts w:ascii="Times New Roman" w:hAnsi="Times New Roman" w:cs="Times New Roman"/>
                <w:b/>
                <w:bCs/>
                <w:sz w:val="24"/>
                <w:szCs w:val="24"/>
              </w:rPr>
              <w:t>(</w:t>
            </w:r>
            <w:r w:rsidRPr="006A3C47">
              <w:rPr>
                <w:rFonts w:ascii="Times New Roman" w:hAnsi="Times New Roman" w:cs="Times New Roman"/>
                <w:b/>
                <w:bCs/>
                <w:sz w:val="24"/>
                <w:szCs w:val="24"/>
              </w:rPr>
              <w:t>m)</w:t>
            </w:r>
          </w:p>
        </w:tc>
        <w:tc>
          <w:tcPr>
            <w:tcW w:w="1440" w:type="dxa"/>
            <w:tcBorders>
              <w:top w:val="double" w:sz="4" w:space="0" w:color="auto"/>
              <w:bottom w:val="double" w:sz="4" w:space="0" w:color="auto"/>
            </w:tcBorders>
            <w:shd w:val="clear" w:color="auto" w:fill="FFFFFF" w:themeFill="background1"/>
            <w:noWrap/>
            <w:hideMark/>
          </w:tcPr>
          <w:p w14:paraId="1303204E" w14:textId="77777777" w:rsidR="002F4BB3" w:rsidRPr="006A3C47" w:rsidRDefault="002F4BB3" w:rsidP="00693C81">
            <w:pPr>
              <w:jc w:val="both"/>
              <w:rPr>
                <w:rFonts w:ascii="Times New Roman" w:hAnsi="Times New Roman" w:cs="Times New Roman"/>
                <w:b/>
                <w:bCs/>
                <w:sz w:val="24"/>
                <w:szCs w:val="24"/>
              </w:rPr>
            </w:pPr>
            <w:r w:rsidRPr="006A3C47">
              <w:rPr>
                <w:rFonts w:ascii="Times New Roman" w:hAnsi="Times New Roman" w:cs="Times New Roman"/>
                <w:b/>
                <w:bCs/>
                <w:sz w:val="24"/>
                <w:szCs w:val="24"/>
              </w:rPr>
              <w:t>Au (g/t)</w:t>
            </w:r>
          </w:p>
        </w:tc>
      </w:tr>
      <w:tr w:rsidR="002F4BB3" w:rsidRPr="006A3C47" w14:paraId="7CC92FCA" w14:textId="77777777" w:rsidTr="00871170">
        <w:trPr>
          <w:trHeight w:val="300"/>
        </w:trPr>
        <w:tc>
          <w:tcPr>
            <w:tcW w:w="1515" w:type="dxa"/>
            <w:tcBorders>
              <w:top w:val="double" w:sz="4" w:space="0" w:color="auto"/>
            </w:tcBorders>
            <w:noWrap/>
            <w:hideMark/>
          </w:tcPr>
          <w:p w14:paraId="2C83831C"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RL-CP-01</w:t>
            </w:r>
          </w:p>
        </w:tc>
        <w:tc>
          <w:tcPr>
            <w:tcW w:w="1207" w:type="dxa"/>
            <w:tcBorders>
              <w:top w:val="double" w:sz="4" w:space="0" w:color="auto"/>
            </w:tcBorders>
          </w:tcPr>
          <w:p w14:paraId="4C4989D6"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Footwall</w:t>
            </w:r>
          </w:p>
        </w:tc>
        <w:tc>
          <w:tcPr>
            <w:tcW w:w="1350" w:type="dxa"/>
            <w:tcBorders>
              <w:top w:val="double" w:sz="4" w:space="0" w:color="auto"/>
            </w:tcBorders>
            <w:noWrap/>
            <w:hideMark/>
          </w:tcPr>
          <w:p w14:paraId="3C39A737"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180</w:t>
            </w:r>
            <w:r w:rsidRPr="006A3C47">
              <w:rPr>
                <w:rFonts w:ascii="Times New Roman" w:hAnsi="Times New Roman" w:cs="Times New Roman"/>
                <w:color w:val="000000"/>
                <w:sz w:val="24"/>
                <w:szCs w:val="24"/>
                <w:vertAlign w:val="superscript"/>
              </w:rPr>
              <w:t>o</w:t>
            </w:r>
            <w:r w:rsidRPr="006A3C47">
              <w:rPr>
                <w:rFonts w:ascii="Times New Roman" w:hAnsi="Times New Roman" w:cs="Times New Roman"/>
                <w:color w:val="000000"/>
                <w:sz w:val="24"/>
                <w:szCs w:val="24"/>
              </w:rPr>
              <w:t>/-55</w:t>
            </w:r>
            <w:r w:rsidRPr="006A3C47">
              <w:rPr>
                <w:rFonts w:ascii="Times New Roman" w:hAnsi="Times New Roman" w:cs="Times New Roman"/>
                <w:color w:val="000000"/>
                <w:sz w:val="24"/>
                <w:szCs w:val="24"/>
                <w:vertAlign w:val="superscript"/>
              </w:rPr>
              <w:t>o</w:t>
            </w:r>
          </w:p>
        </w:tc>
        <w:tc>
          <w:tcPr>
            <w:tcW w:w="900" w:type="dxa"/>
            <w:tcBorders>
              <w:top w:val="double" w:sz="4" w:space="0" w:color="auto"/>
            </w:tcBorders>
            <w:noWrap/>
          </w:tcPr>
          <w:p w14:paraId="0AD0C5F8"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179.5</w:t>
            </w:r>
          </w:p>
        </w:tc>
        <w:tc>
          <w:tcPr>
            <w:tcW w:w="810" w:type="dxa"/>
            <w:tcBorders>
              <w:top w:val="double" w:sz="4" w:space="0" w:color="auto"/>
            </w:tcBorders>
            <w:noWrap/>
          </w:tcPr>
          <w:p w14:paraId="06477E88"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180.0</w:t>
            </w:r>
          </w:p>
        </w:tc>
        <w:tc>
          <w:tcPr>
            <w:tcW w:w="1043" w:type="dxa"/>
            <w:tcBorders>
              <w:top w:val="double" w:sz="4" w:space="0" w:color="auto"/>
            </w:tcBorders>
            <w:noWrap/>
          </w:tcPr>
          <w:p w14:paraId="7FCDED29"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0.5</w:t>
            </w:r>
          </w:p>
        </w:tc>
        <w:tc>
          <w:tcPr>
            <w:tcW w:w="1440" w:type="dxa"/>
            <w:tcBorders>
              <w:top w:val="double" w:sz="4" w:space="0" w:color="auto"/>
            </w:tcBorders>
            <w:noWrap/>
          </w:tcPr>
          <w:p w14:paraId="1A104238"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3.1</w:t>
            </w:r>
          </w:p>
        </w:tc>
      </w:tr>
      <w:tr w:rsidR="002F4BB3" w:rsidRPr="006A3C47" w14:paraId="20A93B75" w14:textId="77777777" w:rsidTr="00871170">
        <w:trPr>
          <w:trHeight w:val="300"/>
        </w:trPr>
        <w:tc>
          <w:tcPr>
            <w:tcW w:w="1515" w:type="dxa"/>
            <w:noWrap/>
          </w:tcPr>
          <w:p w14:paraId="4D3B433B"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RL-CP-02</w:t>
            </w:r>
          </w:p>
        </w:tc>
        <w:tc>
          <w:tcPr>
            <w:tcW w:w="1207" w:type="dxa"/>
          </w:tcPr>
          <w:p w14:paraId="758F092B"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Vein #1</w:t>
            </w:r>
          </w:p>
        </w:tc>
        <w:tc>
          <w:tcPr>
            <w:tcW w:w="1350" w:type="dxa"/>
            <w:noWrap/>
          </w:tcPr>
          <w:p w14:paraId="0B5FB58E"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180</w:t>
            </w:r>
            <w:r w:rsidRPr="006A3C47">
              <w:rPr>
                <w:rFonts w:ascii="Times New Roman" w:hAnsi="Times New Roman" w:cs="Times New Roman"/>
                <w:color w:val="000000"/>
                <w:sz w:val="24"/>
                <w:szCs w:val="24"/>
                <w:vertAlign w:val="superscript"/>
              </w:rPr>
              <w:t>o</w:t>
            </w:r>
            <w:r w:rsidRPr="006A3C47">
              <w:rPr>
                <w:rFonts w:ascii="Times New Roman" w:hAnsi="Times New Roman" w:cs="Times New Roman"/>
                <w:color w:val="000000"/>
                <w:sz w:val="24"/>
                <w:szCs w:val="24"/>
              </w:rPr>
              <w:t>/-57</w:t>
            </w:r>
            <w:r w:rsidRPr="006A3C47">
              <w:rPr>
                <w:rFonts w:ascii="Times New Roman" w:hAnsi="Times New Roman" w:cs="Times New Roman"/>
                <w:color w:val="000000"/>
                <w:sz w:val="24"/>
                <w:szCs w:val="24"/>
                <w:vertAlign w:val="superscript"/>
              </w:rPr>
              <w:t>o</w:t>
            </w:r>
          </w:p>
        </w:tc>
        <w:tc>
          <w:tcPr>
            <w:tcW w:w="900" w:type="dxa"/>
            <w:noWrap/>
          </w:tcPr>
          <w:p w14:paraId="71C4B0AB"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121.0</w:t>
            </w:r>
          </w:p>
        </w:tc>
        <w:tc>
          <w:tcPr>
            <w:tcW w:w="810" w:type="dxa"/>
            <w:noWrap/>
          </w:tcPr>
          <w:p w14:paraId="21BA9725"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121.5</w:t>
            </w:r>
          </w:p>
        </w:tc>
        <w:tc>
          <w:tcPr>
            <w:tcW w:w="1043" w:type="dxa"/>
            <w:noWrap/>
          </w:tcPr>
          <w:p w14:paraId="0E452635"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0.5</w:t>
            </w:r>
          </w:p>
        </w:tc>
        <w:tc>
          <w:tcPr>
            <w:tcW w:w="1440" w:type="dxa"/>
            <w:noWrap/>
          </w:tcPr>
          <w:p w14:paraId="0DD788D6"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4.9</w:t>
            </w:r>
          </w:p>
        </w:tc>
      </w:tr>
      <w:tr w:rsidR="002F4BB3" w:rsidRPr="006A3C47" w14:paraId="4F4E526F" w14:textId="77777777" w:rsidTr="00871170">
        <w:trPr>
          <w:trHeight w:val="300"/>
        </w:trPr>
        <w:tc>
          <w:tcPr>
            <w:tcW w:w="1515" w:type="dxa"/>
            <w:noWrap/>
          </w:tcPr>
          <w:p w14:paraId="175AB672"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lastRenderedPageBreak/>
              <w:t>And</w:t>
            </w:r>
          </w:p>
        </w:tc>
        <w:tc>
          <w:tcPr>
            <w:tcW w:w="1207" w:type="dxa"/>
          </w:tcPr>
          <w:p w14:paraId="0E15FD12"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Footwall</w:t>
            </w:r>
          </w:p>
        </w:tc>
        <w:tc>
          <w:tcPr>
            <w:tcW w:w="1350" w:type="dxa"/>
            <w:noWrap/>
          </w:tcPr>
          <w:p w14:paraId="7C9A6437" w14:textId="77777777" w:rsidR="002F4BB3" w:rsidRPr="006A3C47" w:rsidRDefault="002F4BB3" w:rsidP="00693C81">
            <w:pPr>
              <w:jc w:val="both"/>
              <w:rPr>
                <w:rFonts w:ascii="Times New Roman" w:hAnsi="Times New Roman" w:cs="Times New Roman"/>
                <w:color w:val="000000"/>
                <w:sz w:val="24"/>
                <w:szCs w:val="24"/>
              </w:rPr>
            </w:pPr>
          </w:p>
        </w:tc>
        <w:tc>
          <w:tcPr>
            <w:tcW w:w="900" w:type="dxa"/>
            <w:noWrap/>
          </w:tcPr>
          <w:p w14:paraId="4A039987"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183.7</w:t>
            </w:r>
          </w:p>
        </w:tc>
        <w:tc>
          <w:tcPr>
            <w:tcW w:w="810" w:type="dxa"/>
            <w:noWrap/>
          </w:tcPr>
          <w:p w14:paraId="07259A27"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186.2</w:t>
            </w:r>
          </w:p>
        </w:tc>
        <w:tc>
          <w:tcPr>
            <w:tcW w:w="1043" w:type="dxa"/>
            <w:noWrap/>
          </w:tcPr>
          <w:p w14:paraId="48976FEE"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2.5</w:t>
            </w:r>
          </w:p>
        </w:tc>
        <w:tc>
          <w:tcPr>
            <w:tcW w:w="1440" w:type="dxa"/>
            <w:noWrap/>
          </w:tcPr>
          <w:p w14:paraId="74ADEC47"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3.6</w:t>
            </w:r>
          </w:p>
        </w:tc>
      </w:tr>
      <w:tr w:rsidR="002F4BB3" w:rsidRPr="006A3C47" w14:paraId="0C6C2C3D" w14:textId="77777777" w:rsidTr="00871170">
        <w:trPr>
          <w:trHeight w:val="300"/>
        </w:trPr>
        <w:tc>
          <w:tcPr>
            <w:tcW w:w="1515" w:type="dxa"/>
            <w:noWrap/>
          </w:tcPr>
          <w:p w14:paraId="0ABD42DF"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Incl</w:t>
            </w:r>
          </w:p>
        </w:tc>
        <w:tc>
          <w:tcPr>
            <w:tcW w:w="1207" w:type="dxa"/>
          </w:tcPr>
          <w:p w14:paraId="19BB109F"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Footwall</w:t>
            </w:r>
          </w:p>
        </w:tc>
        <w:tc>
          <w:tcPr>
            <w:tcW w:w="1350" w:type="dxa"/>
            <w:noWrap/>
          </w:tcPr>
          <w:p w14:paraId="387972A9" w14:textId="77777777" w:rsidR="002F4BB3" w:rsidRPr="006A3C47" w:rsidRDefault="002F4BB3" w:rsidP="00693C81">
            <w:pPr>
              <w:jc w:val="both"/>
              <w:rPr>
                <w:rFonts w:ascii="Times New Roman" w:hAnsi="Times New Roman" w:cs="Times New Roman"/>
                <w:color w:val="000000"/>
                <w:sz w:val="24"/>
                <w:szCs w:val="24"/>
              </w:rPr>
            </w:pPr>
          </w:p>
        </w:tc>
        <w:tc>
          <w:tcPr>
            <w:tcW w:w="900" w:type="dxa"/>
            <w:noWrap/>
          </w:tcPr>
          <w:p w14:paraId="2630A180"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183.7</w:t>
            </w:r>
          </w:p>
        </w:tc>
        <w:tc>
          <w:tcPr>
            <w:tcW w:w="810" w:type="dxa"/>
            <w:noWrap/>
          </w:tcPr>
          <w:p w14:paraId="32B078C1"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184.2</w:t>
            </w:r>
          </w:p>
        </w:tc>
        <w:tc>
          <w:tcPr>
            <w:tcW w:w="1043" w:type="dxa"/>
            <w:noWrap/>
          </w:tcPr>
          <w:p w14:paraId="37154201"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0.5</w:t>
            </w:r>
          </w:p>
        </w:tc>
        <w:tc>
          <w:tcPr>
            <w:tcW w:w="1440" w:type="dxa"/>
            <w:noWrap/>
          </w:tcPr>
          <w:p w14:paraId="4591FB8D"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10.9</w:t>
            </w:r>
          </w:p>
        </w:tc>
      </w:tr>
      <w:tr w:rsidR="002F4BB3" w:rsidRPr="006A3C47" w14:paraId="53A4C09F" w14:textId="77777777" w:rsidTr="00871170">
        <w:trPr>
          <w:trHeight w:val="300"/>
        </w:trPr>
        <w:tc>
          <w:tcPr>
            <w:tcW w:w="1515" w:type="dxa"/>
            <w:noWrap/>
          </w:tcPr>
          <w:p w14:paraId="2CE9D5BC"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RL-CP-04</w:t>
            </w:r>
          </w:p>
        </w:tc>
        <w:tc>
          <w:tcPr>
            <w:tcW w:w="1207" w:type="dxa"/>
          </w:tcPr>
          <w:p w14:paraId="21B96245"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Vein #1</w:t>
            </w:r>
          </w:p>
        </w:tc>
        <w:tc>
          <w:tcPr>
            <w:tcW w:w="1350" w:type="dxa"/>
            <w:noWrap/>
          </w:tcPr>
          <w:p w14:paraId="5FFBA3CB"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180</w:t>
            </w:r>
            <w:r w:rsidRPr="006A3C47">
              <w:rPr>
                <w:rFonts w:ascii="Times New Roman" w:hAnsi="Times New Roman" w:cs="Times New Roman"/>
                <w:color w:val="000000"/>
                <w:sz w:val="24"/>
                <w:szCs w:val="24"/>
                <w:vertAlign w:val="superscript"/>
              </w:rPr>
              <w:t>o</w:t>
            </w:r>
            <w:r w:rsidRPr="006A3C47">
              <w:rPr>
                <w:rFonts w:ascii="Times New Roman" w:hAnsi="Times New Roman" w:cs="Times New Roman"/>
                <w:color w:val="000000"/>
                <w:sz w:val="24"/>
                <w:szCs w:val="24"/>
              </w:rPr>
              <w:t>/-56</w:t>
            </w:r>
            <w:r w:rsidRPr="006A3C47">
              <w:rPr>
                <w:rFonts w:ascii="Times New Roman" w:hAnsi="Times New Roman" w:cs="Times New Roman"/>
                <w:color w:val="000000"/>
                <w:sz w:val="24"/>
                <w:szCs w:val="24"/>
                <w:vertAlign w:val="superscript"/>
              </w:rPr>
              <w:t>o</w:t>
            </w:r>
          </w:p>
        </w:tc>
        <w:tc>
          <w:tcPr>
            <w:tcW w:w="900" w:type="dxa"/>
            <w:noWrap/>
          </w:tcPr>
          <w:p w14:paraId="53C77B76" w14:textId="77777777" w:rsidR="002F4BB3" w:rsidRPr="006A3C47" w:rsidRDefault="002F4BB3" w:rsidP="00693C81">
            <w:pPr>
              <w:pStyle w:val="NoSpacing"/>
              <w:jc w:val="both"/>
              <w:rPr>
                <w:rFonts w:ascii="Times New Roman" w:hAnsi="Times New Roman" w:cs="Times New Roman"/>
                <w:sz w:val="24"/>
                <w:szCs w:val="24"/>
              </w:rPr>
            </w:pPr>
            <w:r w:rsidRPr="006A3C47">
              <w:rPr>
                <w:rFonts w:ascii="Times New Roman" w:hAnsi="Times New Roman" w:cs="Times New Roman"/>
                <w:sz w:val="24"/>
                <w:szCs w:val="24"/>
              </w:rPr>
              <w:t>111.5</w:t>
            </w:r>
          </w:p>
        </w:tc>
        <w:tc>
          <w:tcPr>
            <w:tcW w:w="810" w:type="dxa"/>
            <w:noWrap/>
          </w:tcPr>
          <w:p w14:paraId="26D83A1B"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112.0</w:t>
            </w:r>
          </w:p>
        </w:tc>
        <w:tc>
          <w:tcPr>
            <w:tcW w:w="1043" w:type="dxa"/>
            <w:noWrap/>
          </w:tcPr>
          <w:p w14:paraId="5039E849"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0.5</w:t>
            </w:r>
          </w:p>
        </w:tc>
        <w:tc>
          <w:tcPr>
            <w:tcW w:w="1440" w:type="dxa"/>
            <w:noWrap/>
          </w:tcPr>
          <w:p w14:paraId="5891277D"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3.0</w:t>
            </w:r>
          </w:p>
        </w:tc>
      </w:tr>
      <w:tr w:rsidR="002F4BB3" w:rsidRPr="006A3C47" w14:paraId="0EEB3A93" w14:textId="77777777" w:rsidTr="00871170">
        <w:trPr>
          <w:trHeight w:val="300"/>
        </w:trPr>
        <w:tc>
          <w:tcPr>
            <w:tcW w:w="1515" w:type="dxa"/>
            <w:noWrap/>
          </w:tcPr>
          <w:p w14:paraId="727E8846"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RL-CP-05</w:t>
            </w:r>
          </w:p>
        </w:tc>
        <w:tc>
          <w:tcPr>
            <w:tcW w:w="1207" w:type="dxa"/>
          </w:tcPr>
          <w:p w14:paraId="7B3ED093"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Vein #1</w:t>
            </w:r>
          </w:p>
        </w:tc>
        <w:tc>
          <w:tcPr>
            <w:tcW w:w="1350" w:type="dxa"/>
            <w:noWrap/>
          </w:tcPr>
          <w:p w14:paraId="33D48E04"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180</w:t>
            </w:r>
            <w:r w:rsidRPr="006A3C47">
              <w:rPr>
                <w:rFonts w:ascii="Times New Roman" w:hAnsi="Times New Roman" w:cs="Times New Roman"/>
                <w:color w:val="000000"/>
                <w:sz w:val="24"/>
                <w:szCs w:val="24"/>
                <w:vertAlign w:val="superscript"/>
              </w:rPr>
              <w:t>o</w:t>
            </w:r>
            <w:r w:rsidRPr="006A3C47">
              <w:rPr>
                <w:rFonts w:ascii="Times New Roman" w:hAnsi="Times New Roman" w:cs="Times New Roman"/>
                <w:color w:val="000000"/>
                <w:sz w:val="24"/>
                <w:szCs w:val="24"/>
              </w:rPr>
              <w:t>/-58</w:t>
            </w:r>
            <w:r w:rsidRPr="006A3C47">
              <w:rPr>
                <w:rFonts w:ascii="Times New Roman" w:hAnsi="Times New Roman" w:cs="Times New Roman"/>
                <w:color w:val="000000"/>
                <w:sz w:val="24"/>
                <w:szCs w:val="24"/>
                <w:vertAlign w:val="superscript"/>
              </w:rPr>
              <w:t>o</w:t>
            </w:r>
          </w:p>
        </w:tc>
        <w:tc>
          <w:tcPr>
            <w:tcW w:w="900" w:type="dxa"/>
            <w:noWrap/>
          </w:tcPr>
          <w:p w14:paraId="7C58F79B"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79.0</w:t>
            </w:r>
          </w:p>
        </w:tc>
        <w:tc>
          <w:tcPr>
            <w:tcW w:w="810" w:type="dxa"/>
            <w:noWrap/>
          </w:tcPr>
          <w:p w14:paraId="7C1FF26F"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79.5</w:t>
            </w:r>
          </w:p>
        </w:tc>
        <w:tc>
          <w:tcPr>
            <w:tcW w:w="1043" w:type="dxa"/>
            <w:noWrap/>
          </w:tcPr>
          <w:p w14:paraId="70A499B6"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0.5</w:t>
            </w:r>
          </w:p>
        </w:tc>
        <w:tc>
          <w:tcPr>
            <w:tcW w:w="1440" w:type="dxa"/>
            <w:noWrap/>
          </w:tcPr>
          <w:p w14:paraId="75A9D207" w14:textId="77777777" w:rsidR="002F4BB3" w:rsidRPr="006A3C47" w:rsidRDefault="002F4BB3" w:rsidP="00693C81">
            <w:pPr>
              <w:jc w:val="both"/>
              <w:rPr>
                <w:rFonts w:ascii="Times New Roman" w:hAnsi="Times New Roman" w:cs="Times New Roman"/>
                <w:color w:val="000000"/>
                <w:sz w:val="24"/>
                <w:szCs w:val="24"/>
              </w:rPr>
            </w:pPr>
            <w:r w:rsidRPr="006A3C47">
              <w:rPr>
                <w:rFonts w:ascii="Times New Roman" w:hAnsi="Times New Roman" w:cs="Times New Roman"/>
                <w:color w:val="000000"/>
                <w:sz w:val="24"/>
                <w:szCs w:val="24"/>
              </w:rPr>
              <w:t>2.2</w:t>
            </w:r>
          </w:p>
        </w:tc>
      </w:tr>
      <w:tr w:rsidR="002F4BB3" w:rsidRPr="006A3C47" w14:paraId="47BF04D2" w14:textId="77777777" w:rsidTr="00871170">
        <w:trPr>
          <w:trHeight w:val="300"/>
        </w:trPr>
        <w:tc>
          <w:tcPr>
            <w:tcW w:w="8265" w:type="dxa"/>
            <w:gridSpan w:val="7"/>
            <w:noWrap/>
          </w:tcPr>
          <w:p w14:paraId="7132DFC2" w14:textId="77777777" w:rsidR="002F4BB3" w:rsidRPr="006A3C47" w:rsidRDefault="002F4BB3" w:rsidP="00693C81">
            <w:pPr>
              <w:jc w:val="both"/>
              <w:rPr>
                <w:rFonts w:ascii="Times New Roman" w:hAnsi="Times New Roman" w:cs="Times New Roman"/>
                <w:i/>
                <w:iCs/>
                <w:color w:val="000000"/>
                <w:sz w:val="24"/>
                <w:szCs w:val="24"/>
              </w:rPr>
            </w:pPr>
            <w:r w:rsidRPr="006A3C47">
              <w:rPr>
                <w:rFonts w:ascii="Times New Roman" w:hAnsi="Times New Roman" w:cs="Times New Roman"/>
                <w:i/>
                <w:iCs/>
                <w:color w:val="000000"/>
                <w:sz w:val="24"/>
                <w:szCs w:val="24"/>
              </w:rPr>
              <w:t>Hole RL-CP -03 did not intersect values &gt;2 g/t Au</w:t>
            </w:r>
          </w:p>
        </w:tc>
      </w:tr>
    </w:tbl>
    <w:p w14:paraId="0628C323" w14:textId="77777777" w:rsidR="002F4BB3" w:rsidRPr="006A3C47" w:rsidRDefault="002F4BB3" w:rsidP="00693C81">
      <w:pPr>
        <w:jc w:val="both"/>
        <w:rPr>
          <w:color w:val="000000"/>
          <w:sz w:val="24"/>
          <w:szCs w:val="24"/>
        </w:rPr>
      </w:pPr>
    </w:p>
    <w:p w14:paraId="64D2B6D5" w14:textId="77777777" w:rsidR="002F4BB3" w:rsidRPr="006A3C47" w:rsidRDefault="002F4BB3" w:rsidP="00693C81">
      <w:pPr>
        <w:autoSpaceDE w:val="0"/>
        <w:autoSpaceDN w:val="0"/>
        <w:adjustRightInd w:val="0"/>
        <w:jc w:val="both"/>
        <w:rPr>
          <w:sz w:val="24"/>
          <w:szCs w:val="24"/>
        </w:rPr>
      </w:pPr>
      <w:r w:rsidRPr="006A3C47">
        <w:rPr>
          <w:sz w:val="24"/>
          <w:szCs w:val="24"/>
        </w:rPr>
        <w:t>The current drilling program targeted the quartz veins and related structures that were developed underground by Cole Gold Mines Ltd. in the 1930s.  Drill targeting was based on historical plans of the underground workings that show the gold mineralized veins follow east-west striking shear structures that dip at approximately 65</w:t>
      </w:r>
      <w:r w:rsidRPr="006A3C47">
        <w:rPr>
          <w:sz w:val="24"/>
          <w:szCs w:val="24"/>
          <w:vertAlign w:val="superscript"/>
        </w:rPr>
        <w:t>o</w:t>
      </w:r>
      <w:r w:rsidRPr="006A3C47">
        <w:rPr>
          <w:sz w:val="24"/>
          <w:szCs w:val="24"/>
        </w:rPr>
        <w:t xml:space="preserve"> north.  The primary target was the Cole Property “discovery” vein that is identified as </w:t>
      </w:r>
      <w:proofErr w:type="gramStart"/>
      <w:r w:rsidRPr="006A3C47">
        <w:rPr>
          <w:sz w:val="24"/>
          <w:szCs w:val="24"/>
        </w:rPr>
        <w:t>Vein</w:t>
      </w:r>
      <w:proofErr w:type="gramEnd"/>
      <w:r w:rsidRPr="006A3C47">
        <w:rPr>
          <w:sz w:val="24"/>
          <w:szCs w:val="24"/>
        </w:rPr>
        <w:t xml:space="preserve"> #1 on government maps.  Surface exposure of Vein #1 is currently covered by waste rock from underground development.  </w:t>
      </w:r>
      <w:r w:rsidRPr="006A3C47">
        <w:rPr>
          <w:color w:val="000000"/>
          <w:sz w:val="24"/>
          <w:szCs w:val="24"/>
        </w:rPr>
        <w:t xml:space="preserve">Holes RL-CP-01 and -02 were drilled on a section approximately 75 m east of the Cole shaft.   Holes RL-CP-03, -04 and -05 were drilled approximately 50 m east of the shaft. </w:t>
      </w:r>
    </w:p>
    <w:p w14:paraId="02BCEE29" w14:textId="77777777" w:rsidR="002F4BB3" w:rsidRPr="006A3C47" w:rsidRDefault="002F4BB3" w:rsidP="00693C81">
      <w:pPr>
        <w:autoSpaceDE w:val="0"/>
        <w:autoSpaceDN w:val="0"/>
        <w:adjustRightInd w:val="0"/>
        <w:jc w:val="both"/>
        <w:rPr>
          <w:sz w:val="24"/>
          <w:szCs w:val="24"/>
        </w:rPr>
      </w:pPr>
    </w:p>
    <w:p w14:paraId="25095A23" w14:textId="77777777" w:rsidR="002F4BB3" w:rsidRPr="006A3C47" w:rsidRDefault="002F4BB3" w:rsidP="00693C81">
      <w:pPr>
        <w:autoSpaceDE w:val="0"/>
        <w:autoSpaceDN w:val="0"/>
        <w:adjustRightInd w:val="0"/>
        <w:jc w:val="both"/>
        <w:rPr>
          <w:sz w:val="24"/>
          <w:szCs w:val="24"/>
        </w:rPr>
      </w:pPr>
      <w:r w:rsidRPr="006A3C47">
        <w:rPr>
          <w:sz w:val="24"/>
          <w:szCs w:val="24"/>
        </w:rPr>
        <w:t xml:space="preserve">In </w:t>
      </w:r>
      <w:proofErr w:type="gramStart"/>
      <w:r w:rsidRPr="006A3C47">
        <w:rPr>
          <w:sz w:val="24"/>
          <w:szCs w:val="24"/>
        </w:rPr>
        <w:t>all of</w:t>
      </w:r>
      <w:proofErr w:type="gramEnd"/>
      <w:r w:rsidRPr="006A3C47">
        <w:rPr>
          <w:sz w:val="24"/>
          <w:szCs w:val="24"/>
        </w:rPr>
        <w:t xml:space="preserve"> the drilled holes, the Vein #1 target </w:t>
      </w:r>
      <w:r w:rsidRPr="006A3C47">
        <w:rPr>
          <w:rFonts w:eastAsiaTheme="minorEastAsia"/>
          <w:sz w:val="24"/>
          <w:szCs w:val="24"/>
        </w:rPr>
        <w:t xml:space="preserve">is associated with quartz veins and </w:t>
      </w:r>
      <w:proofErr w:type="spellStart"/>
      <w:r w:rsidRPr="006A3C47">
        <w:rPr>
          <w:rFonts w:eastAsiaTheme="minorEastAsia"/>
          <w:sz w:val="24"/>
          <w:szCs w:val="24"/>
        </w:rPr>
        <w:t>sulphide</w:t>
      </w:r>
      <w:proofErr w:type="spellEnd"/>
      <w:r w:rsidRPr="006A3C47">
        <w:rPr>
          <w:rFonts w:eastAsiaTheme="minorEastAsia"/>
          <w:sz w:val="24"/>
          <w:szCs w:val="24"/>
        </w:rPr>
        <w:t xml:space="preserve"> mineralization in a rhyolite host rock that displays strong biotite, garnet, and silica alteration.  Trace element analysis indicates the alteration is associated with strong </w:t>
      </w:r>
      <w:r>
        <w:rPr>
          <w:rFonts w:eastAsiaTheme="minorEastAsia"/>
          <w:sz w:val="24"/>
          <w:szCs w:val="24"/>
        </w:rPr>
        <w:t>Potassium (</w:t>
      </w:r>
      <w:r w:rsidRPr="006A3C47">
        <w:rPr>
          <w:rFonts w:eastAsiaTheme="minorEastAsia"/>
          <w:sz w:val="24"/>
          <w:szCs w:val="24"/>
        </w:rPr>
        <w:t>K</w:t>
      </w:r>
      <w:r>
        <w:rPr>
          <w:rFonts w:eastAsiaTheme="minorEastAsia"/>
          <w:sz w:val="24"/>
          <w:szCs w:val="24"/>
        </w:rPr>
        <w:t>)</w:t>
      </w:r>
      <w:r w:rsidRPr="006A3C47">
        <w:rPr>
          <w:rFonts w:eastAsiaTheme="minorEastAsia"/>
          <w:sz w:val="24"/>
          <w:szCs w:val="24"/>
        </w:rPr>
        <w:t xml:space="preserve"> and </w:t>
      </w:r>
      <w:r>
        <w:rPr>
          <w:rFonts w:eastAsiaTheme="minorEastAsia"/>
          <w:sz w:val="24"/>
          <w:szCs w:val="24"/>
        </w:rPr>
        <w:t>Barium (</w:t>
      </w:r>
      <w:r w:rsidRPr="006A3C47">
        <w:rPr>
          <w:rFonts w:eastAsiaTheme="minorEastAsia"/>
          <w:sz w:val="24"/>
          <w:szCs w:val="24"/>
        </w:rPr>
        <w:t>Ba</w:t>
      </w:r>
      <w:r>
        <w:rPr>
          <w:rFonts w:eastAsiaTheme="minorEastAsia"/>
          <w:sz w:val="24"/>
          <w:szCs w:val="24"/>
        </w:rPr>
        <w:t>)</w:t>
      </w:r>
      <w:r w:rsidRPr="006A3C47">
        <w:rPr>
          <w:rFonts w:eastAsiaTheme="minorEastAsia"/>
          <w:sz w:val="24"/>
          <w:szCs w:val="24"/>
        </w:rPr>
        <w:t xml:space="preserve"> enrichment.  The immediate </w:t>
      </w:r>
      <w:r w:rsidRPr="006A3C47">
        <w:rPr>
          <w:sz w:val="24"/>
          <w:szCs w:val="24"/>
        </w:rPr>
        <w:t xml:space="preserve">footwall of the Vein #1 target is well-defined by a </w:t>
      </w:r>
      <w:r w:rsidRPr="006A3C47">
        <w:rPr>
          <w:rFonts w:eastAsiaTheme="minorEastAsia"/>
          <w:sz w:val="24"/>
          <w:szCs w:val="24"/>
        </w:rPr>
        <w:t>shear</w:t>
      </w:r>
      <w:r w:rsidRPr="006A3C47">
        <w:rPr>
          <w:sz w:val="24"/>
          <w:szCs w:val="24"/>
        </w:rPr>
        <w:t xml:space="preserve"> zone</w:t>
      </w:r>
      <w:r w:rsidRPr="006A3C47">
        <w:rPr>
          <w:rFonts w:eastAsiaTheme="minorEastAsia"/>
          <w:sz w:val="24"/>
          <w:szCs w:val="24"/>
        </w:rPr>
        <w:t xml:space="preserve"> and </w:t>
      </w:r>
      <w:proofErr w:type="spellStart"/>
      <w:r w:rsidRPr="006A3C47">
        <w:rPr>
          <w:rFonts w:eastAsiaTheme="minorEastAsia"/>
          <w:sz w:val="24"/>
          <w:szCs w:val="24"/>
        </w:rPr>
        <w:t>serpentinized</w:t>
      </w:r>
      <w:proofErr w:type="spellEnd"/>
      <w:r w:rsidRPr="006A3C47">
        <w:rPr>
          <w:rFonts w:eastAsiaTheme="minorEastAsia"/>
          <w:sz w:val="24"/>
          <w:szCs w:val="24"/>
        </w:rPr>
        <w:t xml:space="preserve"> ultramafic rocks</w:t>
      </w:r>
      <w:r w:rsidRPr="006A3C47">
        <w:rPr>
          <w:sz w:val="24"/>
          <w:szCs w:val="24"/>
        </w:rPr>
        <w:t xml:space="preserve">.  The two initial holes reported here returned </w:t>
      </w:r>
      <w:r w:rsidRPr="006A3C47">
        <w:rPr>
          <w:rFonts w:eastAsiaTheme="minorEastAsia"/>
          <w:sz w:val="24"/>
          <w:szCs w:val="24"/>
        </w:rPr>
        <w:t xml:space="preserve">low to moderate grade </w:t>
      </w:r>
      <w:r w:rsidRPr="006A3C47">
        <w:rPr>
          <w:sz w:val="24"/>
          <w:szCs w:val="24"/>
        </w:rPr>
        <w:t xml:space="preserve">gold values from this target with the best </w:t>
      </w:r>
      <w:r w:rsidRPr="006A3C47">
        <w:rPr>
          <w:rFonts w:eastAsiaTheme="minorEastAsia"/>
          <w:sz w:val="24"/>
          <w:szCs w:val="24"/>
        </w:rPr>
        <w:t>intersection</w:t>
      </w:r>
      <w:r w:rsidRPr="006A3C47">
        <w:rPr>
          <w:sz w:val="24"/>
          <w:szCs w:val="24"/>
        </w:rPr>
        <w:t xml:space="preserve"> being </w:t>
      </w:r>
      <w:r w:rsidRPr="006A3C47">
        <w:rPr>
          <w:rFonts w:eastAsiaTheme="minorEastAsia"/>
          <w:b/>
          <w:bCs/>
          <w:sz w:val="24"/>
          <w:szCs w:val="24"/>
        </w:rPr>
        <w:t>4.9 g/t Au over 0.5 m</w:t>
      </w:r>
      <w:r w:rsidRPr="006A3C47">
        <w:rPr>
          <w:rFonts w:eastAsiaTheme="minorEastAsia"/>
          <w:sz w:val="24"/>
          <w:szCs w:val="24"/>
        </w:rPr>
        <w:t xml:space="preserve"> in RL-CP-02.   </w:t>
      </w:r>
    </w:p>
    <w:p w14:paraId="72D3AFE1" w14:textId="77777777" w:rsidR="002F4BB3" w:rsidRPr="006A3C47" w:rsidRDefault="002F4BB3" w:rsidP="00693C81">
      <w:pPr>
        <w:autoSpaceDE w:val="0"/>
        <w:autoSpaceDN w:val="0"/>
        <w:adjustRightInd w:val="0"/>
        <w:jc w:val="both"/>
        <w:rPr>
          <w:sz w:val="24"/>
          <w:szCs w:val="24"/>
        </w:rPr>
      </w:pPr>
    </w:p>
    <w:p w14:paraId="3E0F404D" w14:textId="77777777" w:rsidR="002F4BB3" w:rsidRPr="006A3C47" w:rsidRDefault="002F4BB3" w:rsidP="00693C81">
      <w:pPr>
        <w:jc w:val="both"/>
        <w:rPr>
          <w:rFonts w:eastAsiaTheme="minorEastAsia"/>
          <w:sz w:val="24"/>
          <w:szCs w:val="24"/>
        </w:rPr>
      </w:pPr>
      <w:proofErr w:type="gramStart"/>
      <w:r w:rsidRPr="006A3C47">
        <w:rPr>
          <w:rFonts w:eastAsiaTheme="minorEastAsia"/>
          <w:sz w:val="24"/>
          <w:szCs w:val="24"/>
        </w:rPr>
        <w:t>As a consequence of</w:t>
      </w:r>
      <w:proofErr w:type="gramEnd"/>
      <w:r w:rsidRPr="006A3C47">
        <w:rPr>
          <w:rFonts w:eastAsiaTheme="minorEastAsia"/>
          <w:sz w:val="24"/>
          <w:szCs w:val="24"/>
        </w:rPr>
        <w:t xml:space="preserve"> prospective geology in the footwall of the </w:t>
      </w:r>
      <w:r w:rsidRPr="006A3C47">
        <w:rPr>
          <w:sz w:val="24"/>
          <w:szCs w:val="24"/>
        </w:rPr>
        <w:t xml:space="preserve">Vein #1 target, the holes </w:t>
      </w:r>
      <w:r w:rsidRPr="006A3C47">
        <w:rPr>
          <w:rFonts w:eastAsiaTheme="minorEastAsia"/>
          <w:sz w:val="24"/>
          <w:szCs w:val="24"/>
        </w:rPr>
        <w:t xml:space="preserve">were continued for approximately 50 m deeper than originally planned.  Assay results from the lower portions of the first two holes have resulted in discovery of a new zone of </w:t>
      </w:r>
      <w:r w:rsidRPr="006A3C47">
        <w:rPr>
          <w:sz w:val="24"/>
          <w:szCs w:val="24"/>
        </w:rPr>
        <w:t xml:space="preserve">footwall </w:t>
      </w:r>
      <w:r w:rsidRPr="006A3C47">
        <w:rPr>
          <w:rFonts w:eastAsiaTheme="minorEastAsia"/>
          <w:sz w:val="24"/>
          <w:szCs w:val="24"/>
        </w:rPr>
        <w:t xml:space="preserve">gold mineralization.  The </w:t>
      </w:r>
      <w:r w:rsidRPr="006A3C47">
        <w:rPr>
          <w:sz w:val="24"/>
          <w:szCs w:val="24"/>
        </w:rPr>
        <w:t>f</w:t>
      </w:r>
      <w:r w:rsidRPr="006A3C47">
        <w:rPr>
          <w:rFonts w:eastAsiaTheme="minorEastAsia"/>
          <w:sz w:val="24"/>
          <w:szCs w:val="24"/>
        </w:rPr>
        <w:t xml:space="preserve">ootwall </w:t>
      </w:r>
      <w:r w:rsidRPr="006A3C47">
        <w:rPr>
          <w:sz w:val="24"/>
          <w:szCs w:val="24"/>
        </w:rPr>
        <w:t xml:space="preserve">mineralization </w:t>
      </w:r>
      <w:r w:rsidRPr="006A3C47">
        <w:rPr>
          <w:rFonts w:eastAsiaTheme="minorEastAsia"/>
          <w:sz w:val="24"/>
          <w:szCs w:val="24"/>
        </w:rPr>
        <w:t xml:space="preserve">is located 45 to 50 m below the </w:t>
      </w:r>
      <w:r w:rsidRPr="006A3C47">
        <w:rPr>
          <w:sz w:val="24"/>
          <w:szCs w:val="24"/>
        </w:rPr>
        <w:t xml:space="preserve">Vein #1 target.  This footwall zone </w:t>
      </w:r>
      <w:r w:rsidRPr="006A3C47">
        <w:rPr>
          <w:rFonts w:eastAsiaTheme="minorEastAsia"/>
          <w:sz w:val="24"/>
          <w:szCs w:val="24"/>
        </w:rPr>
        <w:t xml:space="preserve">provided the best intersection of the results reported here </w:t>
      </w:r>
      <w:r w:rsidRPr="006A3C47">
        <w:rPr>
          <w:rFonts w:eastAsiaTheme="minorEastAsia"/>
          <w:b/>
          <w:bCs/>
          <w:sz w:val="24"/>
          <w:szCs w:val="24"/>
        </w:rPr>
        <w:t xml:space="preserve">with 0.5 m at 10.9 g/t in hole CP-02 </w:t>
      </w:r>
      <w:r w:rsidRPr="006A3C47">
        <w:rPr>
          <w:rFonts w:eastAsiaTheme="minorEastAsia"/>
          <w:sz w:val="24"/>
          <w:szCs w:val="24"/>
        </w:rPr>
        <w:t>in a wider mineralized interval</w:t>
      </w:r>
      <w:r w:rsidRPr="006A3C47">
        <w:rPr>
          <w:rFonts w:eastAsiaTheme="minorEastAsia"/>
          <w:b/>
          <w:bCs/>
          <w:sz w:val="24"/>
          <w:szCs w:val="24"/>
        </w:rPr>
        <w:t>.</w:t>
      </w:r>
      <w:r w:rsidRPr="006A3C47">
        <w:rPr>
          <w:rFonts w:eastAsiaTheme="minorEastAsia"/>
          <w:sz w:val="24"/>
          <w:szCs w:val="24"/>
        </w:rPr>
        <w:t xml:space="preserve"> This mineralization is hosted by altered rhyolite immediately below the contact with a gabbro intrusion. </w:t>
      </w:r>
    </w:p>
    <w:p w14:paraId="6A22A3A9" w14:textId="77777777" w:rsidR="002F4BB3" w:rsidRPr="006A3C47" w:rsidRDefault="002F4BB3" w:rsidP="00693C81">
      <w:pPr>
        <w:jc w:val="both"/>
        <w:rPr>
          <w:rFonts w:eastAsiaTheme="minorEastAsia"/>
          <w:sz w:val="24"/>
          <w:szCs w:val="24"/>
        </w:rPr>
      </w:pPr>
    </w:p>
    <w:p w14:paraId="4DED747E" w14:textId="77777777" w:rsidR="002F4BB3" w:rsidRPr="00482600" w:rsidRDefault="002F4BB3" w:rsidP="00693C81">
      <w:pPr>
        <w:jc w:val="both"/>
        <w:rPr>
          <w:sz w:val="24"/>
          <w:szCs w:val="24"/>
        </w:rPr>
      </w:pPr>
      <w:r w:rsidRPr="006A3C47">
        <w:rPr>
          <w:color w:val="000000"/>
          <w:sz w:val="24"/>
          <w:szCs w:val="24"/>
        </w:rPr>
        <w:t>In addition to the drill results, the Company has received assays on 157 surface channel samples</w:t>
      </w:r>
      <w:r w:rsidRPr="006A3C47">
        <w:rPr>
          <w:sz w:val="24"/>
          <w:szCs w:val="24"/>
        </w:rPr>
        <w:t xml:space="preserve"> with a nominal length of 50 cm from 6 outcrops in the </w:t>
      </w:r>
      <w:proofErr w:type="spellStart"/>
      <w:r w:rsidRPr="006A3C47">
        <w:rPr>
          <w:sz w:val="24"/>
          <w:szCs w:val="24"/>
        </w:rPr>
        <w:t>hangingwall</w:t>
      </w:r>
      <w:proofErr w:type="spellEnd"/>
      <w:r w:rsidRPr="006A3C47">
        <w:rPr>
          <w:sz w:val="24"/>
          <w:szCs w:val="24"/>
        </w:rPr>
        <w:t xml:space="preserve"> of the #1 vein.  Channel sampling identified gold mineralized quartz veins in several locations associated with sericite-</w:t>
      </w:r>
      <w:proofErr w:type="spellStart"/>
      <w:r w:rsidRPr="006A3C47">
        <w:rPr>
          <w:sz w:val="24"/>
          <w:szCs w:val="24"/>
        </w:rPr>
        <w:t>sulphide</w:t>
      </w:r>
      <w:proofErr w:type="spellEnd"/>
      <w:r w:rsidRPr="006A3C47">
        <w:rPr>
          <w:sz w:val="24"/>
          <w:szCs w:val="24"/>
        </w:rPr>
        <w:t xml:space="preserve">-silica alteration in sheared rhyolite.  </w:t>
      </w:r>
      <w:r w:rsidRPr="006A3C47">
        <w:rPr>
          <w:b/>
          <w:bCs/>
          <w:sz w:val="24"/>
          <w:szCs w:val="24"/>
        </w:rPr>
        <w:t>The best result was 7.7 g/t Au over 0.5 m with 2 other samples returning over 5 g/t Au.</w:t>
      </w:r>
      <w:r>
        <w:rPr>
          <w:b/>
          <w:bCs/>
          <w:sz w:val="24"/>
          <w:szCs w:val="24"/>
        </w:rPr>
        <w:t xml:space="preserve">  </w:t>
      </w:r>
      <w:r w:rsidRPr="00482600">
        <w:rPr>
          <w:sz w:val="24"/>
          <w:szCs w:val="24"/>
        </w:rPr>
        <w:t xml:space="preserve">Additionally, the Company is pleased to report that surface grabs from quartz veins on the south shore of the small lake 1 km SW of Cole </w:t>
      </w:r>
      <w:r>
        <w:rPr>
          <w:sz w:val="24"/>
          <w:szCs w:val="24"/>
        </w:rPr>
        <w:t xml:space="preserve">assayed </w:t>
      </w:r>
      <w:r w:rsidRPr="00482600">
        <w:rPr>
          <w:sz w:val="24"/>
          <w:szCs w:val="24"/>
        </w:rPr>
        <w:t>up to 6</w:t>
      </w:r>
      <w:r>
        <w:rPr>
          <w:sz w:val="24"/>
          <w:szCs w:val="24"/>
        </w:rPr>
        <w:t>.0</w:t>
      </w:r>
      <w:r w:rsidRPr="00482600">
        <w:rPr>
          <w:sz w:val="24"/>
          <w:szCs w:val="24"/>
        </w:rPr>
        <w:t xml:space="preserve"> g/t Au</w:t>
      </w:r>
      <w:r>
        <w:rPr>
          <w:sz w:val="24"/>
          <w:szCs w:val="24"/>
        </w:rPr>
        <w:t xml:space="preserve">.  This is a </w:t>
      </w:r>
      <w:r w:rsidRPr="00482600">
        <w:rPr>
          <w:sz w:val="24"/>
          <w:szCs w:val="24"/>
        </w:rPr>
        <w:t>new gold showing</w:t>
      </w:r>
      <w:r>
        <w:rPr>
          <w:sz w:val="24"/>
          <w:szCs w:val="24"/>
        </w:rPr>
        <w:t xml:space="preserve"> that warrants further exploration</w:t>
      </w:r>
      <w:r w:rsidRPr="00482600">
        <w:rPr>
          <w:sz w:val="24"/>
          <w:szCs w:val="24"/>
        </w:rPr>
        <w:t>.</w:t>
      </w:r>
    </w:p>
    <w:p w14:paraId="299AE768" w14:textId="77777777" w:rsidR="002F4BB3" w:rsidRDefault="002F4BB3" w:rsidP="00693C81">
      <w:pPr>
        <w:jc w:val="both"/>
        <w:rPr>
          <w:rFonts w:eastAsiaTheme="minorEastAsia"/>
          <w:sz w:val="24"/>
          <w:szCs w:val="24"/>
        </w:rPr>
      </w:pPr>
    </w:p>
    <w:p w14:paraId="36AC4E42" w14:textId="77777777" w:rsidR="002F4BB3" w:rsidRDefault="002F4BB3" w:rsidP="00693C81">
      <w:pPr>
        <w:jc w:val="both"/>
        <w:rPr>
          <w:rFonts w:eastAsiaTheme="minorEastAsia"/>
          <w:sz w:val="24"/>
          <w:szCs w:val="24"/>
        </w:rPr>
      </w:pPr>
      <w:r>
        <w:rPr>
          <w:rFonts w:eastAsiaTheme="minorEastAsia"/>
          <w:sz w:val="24"/>
          <w:szCs w:val="24"/>
        </w:rPr>
        <w:t>Based on these results the Company is currently evaluating plans for a follow up program in the 2022 field season.  The Company is encouraged by the association of gold values with well-developed silica-sericite-</w:t>
      </w:r>
      <w:proofErr w:type="spellStart"/>
      <w:r>
        <w:rPr>
          <w:rFonts w:eastAsiaTheme="minorEastAsia"/>
          <w:sz w:val="24"/>
          <w:szCs w:val="24"/>
        </w:rPr>
        <w:t>sulphide</w:t>
      </w:r>
      <w:proofErr w:type="spellEnd"/>
      <w:r>
        <w:rPr>
          <w:rFonts w:eastAsiaTheme="minorEastAsia"/>
          <w:sz w:val="24"/>
          <w:szCs w:val="24"/>
        </w:rPr>
        <w:t>-garnet alteration and K, Ba enrichment.</w:t>
      </w:r>
    </w:p>
    <w:p w14:paraId="0B430CC7" w14:textId="77777777" w:rsidR="002F4BB3" w:rsidRPr="006A3C47" w:rsidRDefault="002F4BB3" w:rsidP="00693C81">
      <w:pPr>
        <w:jc w:val="both"/>
        <w:rPr>
          <w:rFonts w:eastAsiaTheme="minorEastAsia"/>
          <w:sz w:val="24"/>
          <w:szCs w:val="24"/>
        </w:rPr>
      </w:pPr>
    </w:p>
    <w:p w14:paraId="264DD6C2" w14:textId="77777777" w:rsidR="002F4BB3" w:rsidRPr="006A3C47" w:rsidRDefault="002F4BB3" w:rsidP="00693C81">
      <w:pPr>
        <w:jc w:val="both"/>
        <w:rPr>
          <w:color w:val="000000"/>
          <w:sz w:val="24"/>
          <w:szCs w:val="24"/>
        </w:rPr>
      </w:pPr>
      <w:proofErr w:type="spellStart"/>
      <w:r w:rsidRPr="00A86E22">
        <w:rPr>
          <w:b/>
          <w:bCs/>
          <w:color w:val="000000"/>
          <w:sz w:val="24"/>
          <w:szCs w:val="24"/>
        </w:rPr>
        <w:t>Stetham</w:t>
      </w:r>
      <w:proofErr w:type="spellEnd"/>
      <w:r w:rsidRPr="00A86E22">
        <w:rPr>
          <w:b/>
          <w:bCs/>
          <w:color w:val="000000"/>
          <w:sz w:val="24"/>
          <w:szCs w:val="24"/>
        </w:rPr>
        <w:t xml:space="preserve"> Uranium Project</w:t>
      </w:r>
      <w:r w:rsidRPr="006A3C47">
        <w:rPr>
          <w:color w:val="000000"/>
          <w:sz w:val="24"/>
          <w:szCs w:val="24"/>
        </w:rPr>
        <w:t xml:space="preserve"> – Five grab samples from the </w:t>
      </w:r>
      <w:proofErr w:type="spellStart"/>
      <w:r w:rsidRPr="006A3C47">
        <w:rPr>
          <w:color w:val="000000"/>
          <w:sz w:val="24"/>
          <w:szCs w:val="24"/>
        </w:rPr>
        <w:t>Stetham</w:t>
      </w:r>
      <w:proofErr w:type="spellEnd"/>
      <w:r w:rsidRPr="006A3C47">
        <w:rPr>
          <w:color w:val="000000"/>
          <w:sz w:val="24"/>
          <w:szCs w:val="24"/>
        </w:rPr>
        <w:t xml:space="preserve"> Uranium Project, near </w:t>
      </w:r>
      <w:proofErr w:type="spellStart"/>
      <w:r w:rsidRPr="006A3C47">
        <w:rPr>
          <w:color w:val="000000"/>
          <w:sz w:val="24"/>
          <w:szCs w:val="24"/>
        </w:rPr>
        <w:t>Gogama</w:t>
      </w:r>
      <w:proofErr w:type="spellEnd"/>
      <w:r w:rsidRPr="006A3C47">
        <w:rPr>
          <w:color w:val="000000"/>
          <w:sz w:val="24"/>
          <w:szCs w:val="24"/>
        </w:rPr>
        <w:t>, Ontario, have returned anomalous U</w:t>
      </w:r>
      <w:r>
        <w:rPr>
          <w:color w:val="000000"/>
          <w:sz w:val="24"/>
          <w:szCs w:val="24"/>
        </w:rPr>
        <w:t>ranium (U)</w:t>
      </w:r>
      <w:r w:rsidRPr="006A3C47">
        <w:rPr>
          <w:color w:val="000000"/>
          <w:sz w:val="24"/>
          <w:szCs w:val="24"/>
        </w:rPr>
        <w:t xml:space="preserve"> values with the best sample being </w:t>
      </w:r>
      <w:r w:rsidRPr="006A3C47">
        <w:rPr>
          <w:color w:val="000000"/>
          <w:sz w:val="24"/>
          <w:szCs w:val="24"/>
        </w:rPr>
        <w:lastRenderedPageBreak/>
        <w:t xml:space="preserve">a syenite pegmatite that assayed 622 ppm U and 623 ppm </w:t>
      </w:r>
      <w:r>
        <w:rPr>
          <w:color w:val="000000"/>
          <w:sz w:val="24"/>
          <w:szCs w:val="24"/>
        </w:rPr>
        <w:t>Molybdenum (</w:t>
      </w:r>
      <w:r w:rsidRPr="006A3C47">
        <w:rPr>
          <w:color w:val="000000"/>
          <w:sz w:val="24"/>
          <w:szCs w:val="24"/>
        </w:rPr>
        <w:t>Mo</w:t>
      </w:r>
      <w:r>
        <w:rPr>
          <w:color w:val="000000"/>
          <w:sz w:val="24"/>
          <w:szCs w:val="24"/>
        </w:rPr>
        <w:t>)</w:t>
      </w:r>
      <w:r w:rsidRPr="006A3C47">
        <w:rPr>
          <w:color w:val="000000"/>
          <w:sz w:val="24"/>
          <w:szCs w:val="24"/>
        </w:rPr>
        <w:t xml:space="preserve">.  These U results are consistent with historical drilling intercepts.  </w:t>
      </w:r>
      <w:r>
        <w:rPr>
          <w:color w:val="000000"/>
          <w:sz w:val="24"/>
          <w:szCs w:val="24"/>
        </w:rPr>
        <w:t xml:space="preserve">Grab samples were analyzed at </w:t>
      </w:r>
      <w:proofErr w:type="spellStart"/>
      <w:r>
        <w:rPr>
          <w:color w:val="000000"/>
          <w:sz w:val="24"/>
          <w:szCs w:val="24"/>
        </w:rPr>
        <w:t>ActLabs</w:t>
      </w:r>
      <w:proofErr w:type="spellEnd"/>
      <w:r>
        <w:rPr>
          <w:color w:val="000000"/>
          <w:sz w:val="24"/>
          <w:szCs w:val="24"/>
        </w:rPr>
        <w:t xml:space="preserve">, </w:t>
      </w:r>
      <w:proofErr w:type="spellStart"/>
      <w:r>
        <w:rPr>
          <w:color w:val="000000"/>
          <w:sz w:val="24"/>
          <w:szCs w:val="24"/>
        </w:rPr>
        <w:t>Ancaster</w:t>
      </w:r>
      <w:proofErr w:type="spellEnd"/>
      <w:r>
        <w:rPr>
          <w:color w:val="000000"/>
          <w:sz w:val="24"/>
          <w:szCs w:val="24"/>
        </w:rPr>
        <w:t xml:space="preserve">, Ontario using INAA for U.  </w:t>
      </w:r>
      <w:r w:rsidRPr="006A3C47">
        <w:rPr>
          <w:color w:val="000000"/>
          <w:sz w:val="24"/>
          <w:szCs w:val="24"/>
        </w:rPr>
        <w:t>The Company will conduct additional field work to follow up on this results in the coming field season.</w:t>
      </w:r>
    </w:p>
    <w:p w14:paraId="13348741" w14:textId="77777777" w:rsidR="002F4BB3" w:rsidRPr="006A3C47" w:rsidRDefault="002F4BB3" w:rsidP="00693C81">
      <w:pPr>
        <w:ind w:right="49"/>
        <w:jc w:val="both"/>
        <w:rPr>
          <w:rFonts w:eastAsia="Calibri"/>
          <w:bCs/>
          <w:spacing w:val="1"/>
          <w:sz w:val="24"/>
          <w:szCs w:val="24"/>
        </w:rPr>
      </w:pPr>
    </w:p>
    <w:p w14:paraId="6135739F" w14:textId="77777777" w:rsidR="002F4BB3" w:rsidRPr="006A3C47" w:rsidRDefault="002F4BB3" w:rsidP="00693C81">
      <w:pPr>
        <w:pStyle w:val="NormalWeb"/>
        <w:spacing w:before="0" w:beforeAutospacing="0" w:after="0" w:afterAutospacing="0"/>
        <w:jc w:val="both"/>
      </w:pPr>
      <w:r w:rsidRPr="006A3C47">
        <w:rPr>
          <w:b/>
          <w:bCs/>
        </w:rPr>
        <w:t xml:space="preserve">Drill Program QA/QC – </w:t>
      </w:r>
      <w:r w:rsidRPr="006A3C47">
        <w:t xml:space="preserve">This phase of the </w:t>
      </w:r>
      <w:r>
        <w:t xml:space="preserve">Cole </w:t>
      </w:r>
      <w:r w:rsidRPr="006A3C47">
        <w:t>drilling program was carried out under the supervision of Dr. Richard Sutcliffe, P. Geo., a Qualified Person as defined in NI43-101.  Reported intersections are drilled lengths and true widths are approximately 90% of drilled lengths for holes oriented at 180</w:t>
      </w:r>
      <w:r w:rsidRPr="006A3C47">
        <w:rPr>
          <w:vertAlign w:val="superscript"/>
        </w:rPr>
        <w:t>o</w:t>
      </w:r>
      <w:r w:rsidRPr="006A3C47">
        <w:t xml:space="preserve"> azimuth and 55 to 57</w:t>
      </w:r>
      <w:r w:rsidRPr="006A3C47">
        <w:rPr>
          <w:vertAlign w:val="superscript"/>
        </w:rPr>
        <w:t>o</w:t>
      </w:r>
      <w:r w:rsidRPr="006A3C47">
        <w:t xml:space="preserve"> inclinations.  Drill core is NQ diameter and samples were split by Company staff using a diamond blade rock saw, with half of the core retained in the core box and stored on the Cole Property.  The drill core samples were transported in sealed bags by courier to Activation Laboratories ("</w:t>
      </w:r>
      <w:proofErr w:type="spellStart"/>
      <w:r w:rsidRPr="006A3C47">
        <w:t>Actlabs</w:t>
      </w:r>
      <w:proofErr w:type="spellEnd"/>
      <w:r w:rsidRPr="006A3C47">
        <w:t xml:space="preserve">") in Ancaster, Ontario.  </w:t>
      </w:r>
      <w:proofErr w:type="spellStart"/>
      <w:r w:rsidRPr="006A3C47">
        <w:t>Actlabs</w:t>
      </w:r>
      <w:proofErr w:type="spellEnd"/>
      <w:r w:rsidRPr="006A3C47">
        <w:t xml:space="preserve"> is an independent ISO/IEC 17025 certified laboratory.  Au analysis was performed using a 50 grams fire assay with an initial AA-finish.  Results over 5 g/t Au were re-assayed with gravimetric finish and/or screen metallic Au analysis.  Certified standards, blanks and duplicates are placed in the sample stream at a rate of one QA/QC sample per 10 core samples. All QA/QC analyses associated with the results in this press release were determined to be acceptable for the purposes of the release.</w:t>
      </w:r>
    </w:p>
    <w:p w14:paraId="5AA17EA4" w14:textId="77777777" w:rsidR="002F4BB3" w:rsidRPr="006A3C47" w:rsidRDefault="002F4BB3" w:rsidP="00693C81">
      <w:pPr>
        <w:ind w:right="49"/>
        <w:jc w:val="both"/>
        <w:rPr>
          <w:rFonts w:eastAsia="Calibri"/>
          <w:bCs/>
          <w:spacing w:val="1"/>
          <w:sz w:val="24"/>
          <w:szCs w:val="24"/>
        </w:rPr>
      </w:pPr>
    </w:p>
    <w:p w14:paraId="0084384B" w14:textId="77777777" w:rsidR="002F4BB3" w:rsidRPr="006A3C47" w:rsidRDefault="002F4BB3" w:rsidP="00693C81">
      <w:pPr>
        <w:ind w:right="49"/>
        <w:jc w:val="both"/>
        <w:rPr>
          <w:rFonts w:eastAsia="Calibri"/>
          <w:bCs/>
          <w:spacing w:val="1"/>
          <w:sz w:val="24"/>
          <w:szCs w:val="24"/>
        </w:rPr>
      </w:pPr>
      <w:r w:rsidRPr="006A3C47">
        <w:rPr>
          <w:color w:val="000000"/>
          <w:sz w:val="24"/>
          <w:szCs w:val="24"/>
        </w:rPr>
        <w:t xml:space="preserve">Garry Clark, </w:t>
      </w:r>
      <w:proofErr w:type="spellStart"/>
      <w:proofErr w:type="gramStart"/>
      <w:r w:rsidRPr="006A3C47">
        <w:rPr>
          <w:color w:val="000000"/>
          <w:sz w:val="24"/>
          <w:szCs w:val="24"/>
        </w:rPr>
        <w:t>P.Geo</w:t>
      </w:r>
      <w:proofErr w:type="spellEnd"/>
      <w:proofErr w:type="gramEnd"/>
      <w:r w:rsidRPr="006A3C47">
        <w:rPr>
          <w:color w:val="000000"/>
          <w:sz w:val="24"/>
          <w:szCs w:val="24"/>
        </w:rPr>
        <w:t>, a qualified person under National Instrument 43-101, is the qualified person responsible for reviewing and approving the geological contents of this news release as they pertain to the Cole Gold Mines Property.</w:t>
      </w:r>
    </w:p>
    <w:p w14:paraId="73C0C9AB" w14:textId="1D68C04E" w:rsidR="00CA3F36" w:rsidRDefault="003C7657" w:rsidP="000E0557">
      <w:pPr>
        <w:ind w:left="720" w:hanging="720"/>
        <w:rPr>
          <w:rFonts w:ascii="Arial" w:hAnsi="Arial"/>
          <w:b/>
          <w:sz w:val="24"/>
        </w:rPr>
      </w:pPr>
      <w:r>
        <w:rPr>
          <w:rFonts w:ascii="Arial" w:hAnsi="Arial"/>
          <w:b/>
          <w:sz w:val="24"/>
        </w:rPr>
        <w:t xml:space="preserve"> </w:t>
      </w:r>
    </w:p>
    <w:p w14:paraId="47AB1DCB" w14:textId="43AEA3BC" w:rsidR="00F46ADB" w:rsidRPr="00F46ADB" w:rsidRDefault="00067803" w:rsidP="003C7657">
      <w:pPr>
        <w:pStyle w:val="NoSpacing"/>
        <w:jc w:val="center"/>
        <w:rPr>
          <w:rFonts w:eastAsia="Calibri"/>
          <w:bCs/>
          <w:spacing w:val="1"/>
          <w:sz w:val="24"/>
          <w:szCs w:val="24"/>
        </w:rPr>
      </w:pPr>
      <w:r>
        <w:rPr>
          <w:rFonts w:ascii="Arial" w:hAnsi="Arial"/>
          <w:b/>
          <w:sz w:val="24"/>
        </w:rPr>
        <w:tab/>
      </w:r>
      <w:r w:rsidR="003C7657">
        <w:rPr>
          <w:rFonts w:ascii="Times New Roman" w:hAnsi="Times New Roman" w:cs="Times New Roman"/>
          <w:b/>
          <w:bCs/>
          <w:sz w:val="24"/>
          <w:szCs w:val="24"/>
        </w:rPr>
        <w:t xml:space="preserve"> </w:t>
      </w:r>
    </w:p>
    <w:p w14:paraId="0E1DF913" w14:textId="77777777" w:rsidR="00BA0714" w:rsidRDefault="00BA0714" w:rsidP="00BA0714">
      <w:pPr>
        <w:pStyle w:val="ListParagraph"/>
        <w:tabs>
          <w:tab w:val="left" w:pos="284"/>
        </w:tabs>
        <w:spacing w:after="0" w:line="240" w:lineRule="auto"/>
        <w:ind w:left="284" w:right="51"/>
        <w:jc w:val="both"/>
        <w:rPr>
          <w:rFonts w:ascii="Times New Roman" w:eastAsia="Calibri" w:hAnsi="Times New Roman" w:cs="Times New Roman"/>
          <w:bCs/>
          <w:spacing w:val="1"/>
          <w:sz w:val="24"/>
          <w:szCs w:val="24"/>
        </w:rPr>
      </w:pPr>
    </w:p>
    <w:p w14:paraId="6C55516C" w14:textId="19DA7F0A" w:rsidR="0024116C" w:rsidRDefault="0024116C" w:rsidP="00D711EB">
      <w:pPr>
        <w:ind w:right="49"/>
        <w:jc w:val="both"/>
        <w:rPr>
          <w:rFonts w:ascii="Arial" w:hAnsi="Arial"/>
          <w:sz w:val="24"/>
        </w:rPr>
      </w:pPr>
    </w:p>
    <w:p w14:paraId="4039E5C3" w14:textId="0830336C" w:rsidR="0024116C" w:rsidRDefault="0024116C" w:rsidP="00067803">
      <w:pPr>
        <w:jc w:val="both"/>
        <w:rPr>
          <w:rFonts w:ascii="Arial" w:hAnsi="Arial"/>
          <w:sz w:val="24"/>
        </w:rPr>
      </w:pPr>
    </w:p>
    <w:p w14:paraId="3C3177F2" w14:textId="77777777" w:rsidR="0024116C" w:rsidRDefault="0024116C" w:rsidP="00067803">
      <w:pPr>
        <w:jc w:val="both"/>
        <w:rPr>
          <w:rFonts w:ascii="Arial" w:hAnsi="Arial"/>
          <w:sz w:val="24"/>
        </w:rPr>
      </w:pPr>
    </w:p>
    <w:p w14:paraId="3B40072C" w14:textId="77777777" w:rsidR="00CA3F36" w:rsidRDefault="00CA3F36" w:rsidP="006C7868">
      <w:pPr>
        <w:tabs>
          <w:tab w:val="left" w:pos="3240"/>
        </w:tabs>
        <w:jc w:val="both"/>
        <w:rPr>
          <w:rFonts w:ascii="Arial" w:hAnsi="Arial"/>
          <w:sz w:val="24"/>
        </w:rPr>
      </w:pPr>
      <w:r>
        <w:rPr>
          <w:rFonts w:ascii="Arial" w:hAnsi="Arial"/>
          <w:sz w:val="24"/>
        </w:rPr>
        <w:t>Yours very truly,</w:t>
      </w:r>
    </w:p>
    <w:tbl>
      <w:tblPr>
        <w:tblW w:w="2694" w:type="pct"/>
        <w:tblCellMar>
          <w:left w:w="0" w:type="dxa"/>
          <w:right w:w="0" w:type="dxa"/>
        </w:tblCellMar>
        <w:tblLook w:val="0000" w:firstRow="0" w:lastRow="0" w:firstColumn="0" w:lastColumn="0" w:noHBand="0" w:noVBand="0"/>
      </w:tblPr>
      <w:tblGrid>
        <w:gridCol w:w="4655"/>
      </w:tblGrid>
      <w:tr w:rsidR="006C7868" w:rsidRPr="00B547CA" w14:paraId="12E696FD" w14:textId="77777777" w:rsidTr="003D21CF">
        <w:trPr>
          <w:cantSplit/>
        </w:trPr>
        <w:tc>
          <w:tcPr>
            <w:tcW w:w="5000" w:type="pct"/>
            <w:tcBorders>
              <w:bottom w:val="single" w:sz="4" w:space="0" w:color="auto"/>
            </w:tcBorders>
          </w:tcPr>
          <w:p w14:paraId="225FEB5E" w14:textId="4C24EF85" w:rsidR="006C7868" w:rsidRPr="006C7868" w:rsidRDefault="006E0BAC" w:rsidP="00AD5A46">
            <w:pPr>
              <w:keepNext/>
              <w:rPr>
                <w:rFonts w:ascii="Arial" w:hAnsi="Arial" w:cs="Arial"/>
                <w:b/>
                <w:caps/>
                <w:sz w:val="24"/>
                <w:szCs w:val="24"/>
              </w:rPr>
            </w:pPr>
            <w:r>
              <w:rPr>
                <w:rFonts w:ascii="Arial" w:hAnsi="Arial"/>
                <w:b/>
                <w:sz w:val="24"/>
                <w:szCs w:val="24"/>
              </w:rPr>
              <w:t>ROCKLAND RESOURCES</w:t>
            </w:r>
            <w:r w:rsidR="001635F3" w:rsidRPr="001635F3">
              <w:rPr>
                <w:rFonts w:ascii="Arial" w:hAnsi="Arial"/>
                <w:b/>
                <w:sz w:val="24"/>
                <w:szCs w:val="24"/>
              </w:rPr>
              <w:t xml:space="preserve"> INC.</w:t>
            </w:r>
          </w:p>
          <w:p w14:paraId="54D53A75" w14:textId="77777777" w:rsidR="006C7868" w:rsidRDefault="006C7868" w:rsidP="00AD5A46">
            <w:pPr>
              <w:keepNext/>
              <w:rPr>
                <w:rFonts w:ascii="Arial" w:hAnsi="Arial" w:cs="Arial"/>
                <w:sz w:val="24"/>
                <w:szCs w:val="24"/>
              </w:rPr>
            </w:pPr>
            <w:r w:rsidRPr="006C7868">
              <w:rPr>
                <w:rFonts w:ascii="Arial" w:hAnsi="Arial" w:cs="Arial"/>
                <w:sz w:val="24"/>
                <w:szCs w:val="24"/>
              </w:rPr>
              <w:t>Per:</w:t>
            </w:r>
          </w:p>
          <w:p w14:paraId="13307505" w14:textId="77777777" w:rsidR="006C7868" w:rsidRPr="006C7868" w:rsidRDefault="006C7868" w:rsidP="00AD5A46">
            <w:pPr>
              <w:keepNext/>
              <w:rPr>
                <w:rFonts w:ascii="Arial" w:hAnsi="Arial" w:cs="Arial"/>
                <w:sz w:val="24"/>
                <w:szCs w:val="24"/>
              </w:rPr>
            </w:pPr>
          </w:p>
          <w:p w14:paraId="4506047A" w14:textId="77777777" w:rsidR="006C7868" w:rsidRPr="001D6907" w:rsidRDefault="00E4757C" w:rsidP="0022607B">
            <w:pPr>
              <w:keepNext/>
              <w:ind w:firstLine="720"/>
              <w:rPr>
                <w:rFonts w:ascii="Arial" w:hAnsi="Arial" w:cs="Arial"/>
                <w:i/>
                <w:sz w:val="24"/>
                <w:szCs w:val="24"/>
              </w:rPr>
            </w:pPr>
            <w:r>
              <w:rPr>
                <w:rFonts w:ascii="Arial" w:hAnsi="Arial" w:cs="Arial"/>
                <w:i/>
                <w:sz w:val="24"/>
                <w:szCs w:val="24"/>
              </w:rPr>
              <w:t>"</w:t>
            </w:r>
            <w:r w:rsidR="0022607B">
              <w:rPr>
                <w:rFonts w:ascii="Arial" w:hAnsi="Arial" w:cs="Arial"/>
                <w:i/>
                <w:sz w:val="24"/>
                <w:szCs w:val="24"/>
              </w:rPr>
              <w:t>Michael England</w:t>
            </w:r>
            <w:r>
              <w:rPr>
                <w:rFonts w:ascii="Arial" w:hAnsi="Arial" w:cs="Arial"/>
                <w:i/>
                <w:sz w:val="24"/>
                <w:szCs w:val="24"/>
              </w:rPr>
              <w:t>"</w:t>
            </w:r>
          </w:p>
        </w:tc>
      </w:tr>
      <w:tr w:rsidR="006C7868" w14:paraId="7C5A44DC" w14:textId="77777777" w:rsidTr="003D21CF">
        <w:trPr>
          <w:cantSplit/>
        </w:trPr>
        <w:tc>
          <w:tcPr>
            <w:tcW w:w="5000" w:type="pct"/>
            <w:tcBorders>
              <w:top w:val="single" w:sz="4" w:space="0" w:color="auto"/>
            </w:tcBorders>
          </w:tcPr>
          <w:p w14:paraId="333B1325" w14:textId="77777777" w:rsidR="006C7868" w:rsidRPr="006C7868" w:rsidRDefault="006C7868" w:rsidP="00AD5A46">
            <w:pPr>
              <w:keepNext/>
              <w:rPr>
                <w:rFonts w:ascii="Arial" w:hAnsi="Arial" w:cs="Arial"/>
                <w:sz w:val="24"/>
                <w:szCs w:val="24"/>
              </w:rPr>
            </w:pPr>
            <w:r w:rsidRPr="006C7868">
              <w:rPr>
                <w:rFonts w:ascii="Arial" w:hAnsi="Arial" w:cs="Arial"/>
                <w:sz w:val="24"/>
                <w:szCs w:val="24"/>
              </w:rPr>
              <w:t>Authorized Signatory</w:t>
            </w:r>
          </w:p>
        </w:tc>
      </w:tr>
    </w:tbl>
    <w:p w14:paraId="2E10A4A2" w14:textId="77777777" w:rsidR="006C7868" w:rsidRDefault="006C7868"/>
    <w:sectPr w:rsidR="006C7868" w:rsidSect="00E83259">
      <w:footerReference w:type="even" r:id="rId8"/>
      <w:footerReference w:type="default" r:id="rId9"/>
      <w:footerReference w:type="first" r:id="rId10"/>
      <w:pgSz w:w="12240" w:h="15840"/>
      <w:pgMar w:top="1296" w:right="1800" w:bottom="1008" w:left="180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1B7F" w14:textId="77777777" w:rsidR="00334580" w:rsidRDefault="00334580">
      <w:r>
        <w:separator/>
      </w:r>
    </w:p>
  </w:endnote>
  <w:endnote w:type="continuationSeparator" w:id="0">
    <w:p w14:paraId="50C47394" w14:textId="77777777" w:rsidR="00334580" w:rsidRDefault="0033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6C3" w14:textId="0A2BBA35"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C29" w14:textId="0FA9D2F3"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D181" w14:textId="21D45B99"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B0EA" w14:textId="77777777" w:rsidR="00334580" w:rsidRDefault="00334580">
      <w:r>
        <w:separator/>
      </w:r>
    </w:p>
  </w:footnote>
  <w:footnote w:type="continuationSeparator" w:id="0">
    <w:p w14:paraId="218AA34B" w14:textId="77777777" w:rsidR="00334580" w:rsidRDefault="0033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3CD2"/>
    <w:multiLevelType w:val="hybridMultilevel"/>
    <w:tmpl w:val="1AA21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4B1414"/>
    <w:multiLevelType w:val="singleLevel"/>
    <w:tmpl w:val="787A6F64"/>
    <w:lvl w:ilvl="0">
      <w:start w:val="1"/>
      <w:numFmt w:val="decimal"/>
      <w:lvlText w:val="(%1)"/>
      <w:lvlJc w:val="left"/>
      <w:pPr>
        <w:tabs>
          <w:tab w:val="num" w:pos="720"/>
        </w:tabs>
        <w:ind w:left="720" w:hanging="720"/>
      </w:pPr>
      <w:rPr>
        <w:rFonts w:ascii="Times New Roman" w:hAnsi="Times New Roman" w:hint="default"/>
        <w:b w:val="0"/>
        <w:i/>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E"/>
    <w:rsid w:val="00010A0D"/>
    <w:rsid w:val="000113CF"/>
    <w:rsid w:val="0001190A"/>
    <w:rsid w:val="00014290"/>
    <w:rsid w:val="00020858"/>
    <w:rsid w:val="00024984"/>
    <w:rsid w:val="000370B5"/>
    <w:rsid w:val="00055346"/>
    <w:rsid w:val="00067803"/>
    <w:rsid w:val="0007445B"/>
    <w:rsid w:val="000B1104"/>
    <w:rsid w:val="000C2E50"/>
    <w:rsid w:val="000D0072"/>
    <w:rsid w:val="000D24BE"/>
    <w:rsid w:val="000E0557"/>
    <w:rsid w:val="000E0F2E"/>
    <w:rsid w:val="000E23FF"/>
    <w:rsid w:val="000F30F5"/>
    <w:rsid w:val="001019B1"/>
    <w:rsid w:val="00112A3E"/>
    <w:rsid w:val="00114ADD"/>
    <w:rsid w:val="00122A6A"/>
    <w:rsid w:val="0012432A"/>
    <w:rsid w:val="001538E1"/>
    <w:rsid w:val="001635F3"/>
    <w:rsid w:val="00166906"/>
    <w:rsid w:val="001810D5"/>
    <w:rsid w:val="001B5FD7"/>
    <w:rsid w:val="001C7485"/>
    <w:rsid w:val="001D0CC4"/>
    <w:rsid w:val="001D6907"/>
    <w:rsid w:val="001E7A6B"/>
    <w:rsid w:val="001F68EC"/>
    <w:rsid w:val="00213D1B"/>
    <w:rsid w:val="00216D8F"/>
    <w:rsid w:val="00223EC2"/>
    <w:rsid w:val="0022404C"/>
    <w:rsid w:val="00225353"/>
    <w:rsid w:val="0022607B"/>
    <w:rsid w:val="002334B7"/>
    <w:rsid w:val="0024116C"/>
    <w:rsid w:val="0025051B"/>
    <w:rsid w:val="002814AC"/>
    <w:rsid w:val="00285A54"/>
    <w:rsid w:val="002A4745"/>
    <w:rsid w:val="002B707A"/>
    <w:rsid w:val="002C159E"/>
    <w:rsid w:val="002D081A"/>
    <w:rsid w:val="002D57B8"/>
    <w:rsid w:val="002F4BB3"/>
    <w:rsid w:val="00323FE5"/>
    <w:rsid w:val="00334580"/>
    <w:rsid w:val="0034240F"/>
    <w:rsid w:val="0037795F"/>
    <w:rsid w:val="003861A8"/>
    <w:rsid w:val="003B5749"/>
    <w:rsid w:val="003B5BF8"/>
    <w:rsid w:val="003C1B39"/>
    <w:rsid w:val="003C7657"/>
    <w:rsid w:val="003D21CF"/>
    <w:rsid w:val="003D4673"/>
    <w:rsid w:val="003E12C7"/>
    <w:rsid w:val="003F0D5A"/>
    <w:rsid w:val="003F1EE0"/>
    <w:rsid w:val="00403B22"/>
    <w:rsid w:val="00405AB0"/>
    <w:rsid w:val="00405D34"/>
    <w:rsid w:val="00410B42"/>
    <w:rsid w:val="00427E3D"/>
    <w:rsid w:val="00433A1E"/>
    <w:rsid w:val="00445ACF"/>
    <w:rsid w:val="00446CFE"/>
    <w:rsid w:val="00451F37"/>
    <w:rsid w:val="00465E82"/>
    <w:rsid w:val="004731F5"/>
    <w:rsid w:val="004A2ED0"/>
    <w:rsid w:val="004A7D51"/>
    <w:rsid w:val="004B18F6"/>
    <w:rsid w:val="004B4C8B"/>
    <w:rsid w:val="004D24EE"/>
    <w:rsid w:val="004E7915"/>
    <w:rsid w:val="004F22A4"/>
    <w:rsid w:val="004F500E"/>
    <w:rsid w:val="004F5F76"/>
    <w:rsid w:val="00512B36"/>
    <w:rsid w:val="00515EF8"/>
    <w:rsid w:val="00552AB9"/>
    <w:rsid w:val="00553AD2"/>
    <w:rsid w:val="00556CEC"/>
    <w:rsid w:val="00566EEE"/>
    <w:rsid w:val="00581E30"/>
    <w:rsid w:val="0059459A"/>
    <w:rsid w:val="005A295D"/>
    <w:rsid w:val="005C7C34"/>
    <w:rsid w:val="005D49F1"/>
    <w:rsid w:val="005E2B0C"/>
    <w:rsid w:val="00614755"/>
    <w:rsid w:val="00615D1E"/>
    <w:rsid w:val="00624F2F"/>
    <w:rsid w:val="00626075"/>
    <w:rsid w:val="006439CD"/>
    <w:rsid w:val="00644B42"/>
    <w:rsid w:val="00647E5F"/>
    <w:rsid w:val="00650184"/>
    <w:rsid w:val="00650C2D"/>
    <w:rsid w:val="0065236E"/>
    <w:rsid w:val="0068011C"/>
    <w:rsid w:val="00693C81"/>
    <w:rsid w:val="006A1004"/>
    <w:rsid w:val="006C7868"/>
    <w:rsid w:val="006E0BAC"/>
    <w:rsid w:val="006E2ECA"/>
    <w:rsid w:val="00721B84"/>
    <w:rsid w:val="0073398B"/>
    <w:rsid w:val="00742858"/>
    <w:rsid w:val="00746B85"/>
    <w:rsid w:val="007478A6"/>
    <w:rsid w:val="007504C3"/>
    <w:rsid w:val="00750777"/>
    <w:rsid w:val="007516E0"/>
    <w:rsid w:val="00760539"/>
    <w:rsid w:val="00764AFE"/>
    <w:rsid w:val="00766F81"/>
    <w:rsid w:val="00770FB2"/>
    <w:rsid w:val="0077493C"/>
    <w:rsid w:val="00782FC5"/>
    <w:rsid w:val="00786FE1"/>
    <w:rsid w:val="00793D3F"/>
    <w:rsid w:val="007B21CC"/>
    <w:rsid w:val="007B3149"/>
    <w:rsid w:val="007B533C"/>
    <w:rsid w:val="007C671A"/>
    <w:rsid w:val="007D1316"/>
    <w:rsid w:val="007D593A"/>
    <w:rsid w:val="007E22AD"/>
    <w:rsid w:val="007E61FD"/>
    <w:rsid w:val="00815A90"/>
    <w:rsid w:val="00830619"/>
    <w:rsid w:val="008409DF"/>
    <w:rsid w:val="00843858"/>
    <w:rsid w:val="0085217F"/>
    <w:rsid w:val="00874BE9"/>
    <w:rsid w:val="00887B87"/>
    <w:rsid w:val="008A5E3F"/>
    <w:rsid w:val="008B06A4"/>
    <w:rsid w:val="008C1FA3"/>
    <w:rsid w:val="008C74CE"/>
    <w:rsid w:val="008E79B6"/>
    <w:rsid w:val="008F1E98"/>
    <w:rsid w:val="0094793B"/>
    <w:rsid w:val="009732F2"/>
    <w:rsid w:val="00993B8A"/>
    <w:rsid w:val="009B725D"/>
    <w:rsid w:val="009D0E07"/>
    <w:rsid w:val="009F6DFC"/>
    <w:rsid w:val="00A10DF2"/>
    <w:rsid w:val="00A12E6C"/>
    <w:rsid w:val="00A23E76"/>
    <w:rsid w:val="00A26924"/>
    <w:rsid w:val="00A30A7C"/>
    <w:rsid w:val="00A71826"/>
    <w:rsid w:val="00A77AFB"/>
    <w:rsid w:val="00A839CE"/>
    <w:rsid w:val="00A9660C"/>
    <w:rsid w:val="00A97071"/>
    <w:rsid w:val="00AD0493"/>
    <w:rsid w:val="00AD5A46"/>
    <w:rsid w:val="00AF1721"/>
    <w:rsid w:val="00AF2965"/>
    <w:rsid w:val="00B121AB"/>
    <w:rsid w:val="00B37599"/>
    <w:rsid w:val="00B94817"/>
    <w:rsid w:val="00BA0714"/>
    <w:rsid w:val="00BB1487"/>
    <w:rsid w:val="00BB37E0"/>
    <w:rsid w:val="00BC079D"/>
    <w:rsid w:val="00BC2204"/>
    <w:rsid w:val="00BC2B0C"/>
    <w:rsid w:val="00BD2A0D"/>
    <w:rsid w:val="00BE6391"/>
    <w:rsid w:val="00BF44F9"/>
    <w:rsid w:val="00C03A0E"/>
    <w:rsid w:val="00C17576"/>
    <w:rsid w:val="00C205BB"/>
    <w:rsid w:val="00C26730"/>
    <w:rsid w:val="00C31AAB"/>
    <w:rsid w:val="00C335A0"/>
    <w:rsid w:val="00C344E7"/>
    <w:rsid w:val="00C42DE3"/>
    <w:rsid w:val="00C46007"/>
    <w:rsid w:val="00C51D07"/>
    <w:rsid w:val="00C5312F"/>
    <w:rsid w:val="00C60A4F"/>
    <w:rsid w:val="00C65A32"/>
    <w:rsid w:val="00CA3F36"/>
    <w:rsid w:val="00CB03F2"/>
    <w:rsid w:val="00CC550B"/>
    <w:rsid w:val="00CC6E50"/>
    <w:rsid w:val="00CD5EF9"/>
    <w:rsid w:val="00D12C5A"/>
    <w:rsid w:val="00D210B5"/>
    <w:rsid w:val="00D25241"/>
    <w:rsid w:val="00D367C5"/>
    <w:rsid w:val="00D4022E"/>
    <w:rsid w:val="00D5114A"/>
    <w:rsid w:val="00D555A6"/>
    <w:rsid w:val="00D711EB"/>
    <w:rsid w:val="00D71C24"/>
    <w:rsid w:val="00D77BC5"/>
    <w:rsid w:val="00D832AF"/>
    <w:rsid w:val="00D87EEE"/>
    <w:rsid w:val="00DC5441"/>
    <w:rsid w:val="00DE42A9"/>
    <w:rsid w:val="00DF4652"/>
    <w:rsid w:val="00DF745C"/>
    <w:rsid w:val="00E01D79"/>
    <w:rsid w:val="00E03653"/>
    <w:rsid w:val="00E03736"/>
    <w:rsid w:val="00E133A4"/>
    <w:rsid w:val="00E3275D"/>
    <w:rsid w:val="00E4757C"/>
    <w:rsid w:val="00E741FD"/>
    <w:rsid w:val="00E77B63"/>
    <w:rsid w:val="00E83259"/>
    <w:rsid w:val="00E8447B"/>
    <w:rsid w:val="00E85BBD"/>
    <w:rsid w:val="00EA3DF7"/>
    <w:rsid w:val="00EA5C70"/>
    <w:rsid w:val="00EB2FF4"/>
    <w:rsid w:val="00EC293D"/>
    <w:rsid w:val="00EC42ED"/>
    <w:rsid w:val="00EE43B9"/>
    <w:rsid w:val="00EE7E20"/>
    <w:rsid w:val="00EF3E2C"/>
    <w:rsid w:val="00EF3E42"/>
    <w:rsid w:val="00EF5A69"/>
    <w:rsid w:val="00F1101C"/>
    <w:rsid w:val="00F25913"/>
    <w:rsid w:val="00F41FEC"/>
    <w:rsid w:val="00F4512B"/>
    <w:rsid w:val="00F45234"/>
    <w:rsid w:val="00F46ADB"/>
    <w:rsid w:val="00F73662"/>
    <w:rsid w:val="00F73C12"/>
    <w:rsid w:val="00F94006"/>
    <w:rsid w:val="00FB4BFB"/>
    <w:rsid w:val="00FC54CA"/>
    <w:rsid w:val="00FC5E3E"/>
    <w:rsid w:val="00FD2CD4"/>
    <w:rsid w:val="00FD5B73"/>
    <w:rsid w:val="00FE2892"/>
    <w:rsid w:val="00FE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B6DAC"/>
  <w15:chartTrackingRefBased/>
  <w15:docId w15:val="{00A5FD32-D12C-423E-8845-88958E1F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504C3"/>
  </w:style>
  <w:style w:type="paragraph" w:customStyle="1" w:styleId="Headingext2">
    <w:name w:val="Heading ext 2"/>
    <w:basedOn w:val="Normal"/>
    <w:uiPriority w:val="80"/>
    <w:qFormat/>
    <w:rsid w:val="009D0E07"/>
    <w:pPr>
      <w:spacing w:before="220"/>
      <w:jc w:val="both"/>
    </w:pPr>
    <w:rPr>
      <w:rFonts w:ascii="Arial" w:hAnsi="Arial" w:cs="Arial"/>
      <w:color w:val="000000"/>
      <w:sz w:val="22"/>
      <w:szCs w:val="24"/>
      <w:lang w:val="en-CA"/>
    </w:rPr>
  </w:style>
  <w:style w:type="paragraph" w:styleId="NoSpacing">
    <w:name w:val="No Spacing"/>
    <w:uiPriority w:val="1"/>
    <w:qFormat/>
    <w:rsid w:val="00BC2B0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711EB"/>
    <w:pPr>
      <w:spacing w:after="160" w:line="259"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2F4BB3"/>
    <w:pPr>
      <w:spacing w:before="100" w:beforeAutospacing="1" w:after="100" w:afterAutospacing="1"/>
    </w:pPr>
    <w:rPr>
      <w:sz w:val="24"/>
      <w:szCs w:val="24"/>
      <w:lang w:val="en-CA" w:eastAsia="en-CA"/>
    </w:rPr>
  </w:style>
  <w:style w:type="table" w:styleId="TableGrid">
    <w:name w:val="Table Grid"/>
    <w:basedOn w:val="TableNormal"/>
    <w:uiPriority w:val="39"/>
    <w:rsid w:val="002F4B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8743">
      <w:bodyDiv w:val="1"/>
      <w:marLeft w:val="0"/>
      <w:marRight w:val="0"/>
      <w:marTop w:val="0"/>
      <w:marBottom w:val="0"/>
      <w:divBdr>
        <w:top w:val="none" w:sz="0" w:space="0" w:color="auto"/>
        <w:left w:val="none" w:sz="0" w:space="0" w:color="auto"/>
        <w:bottom w:val="none" w:sz="0" w:space="0" w:color="auto"/>
        <w:right w:val="none" w:sz="0" w:space="0" w:color="auto"/>
      </w:divBdr>
    </w:div>
    <w:div w:id="693192494">
      <w:bodyDiv w:val="1"/>
      <w:marLeft w:val="0"/>
      <w:marRight w:val="0"/>
      <w:marTop w:val="0"/>
      <w:marBottom w:val="0"/>
      <w:divBdr>
        <w:top w:val="none" w:sz="0" w:space="0" w:color="auto"/>
        <w:left w:val="none" w:sz="0" w:space="0" w:color="auto"/>
        <w:bottom w:val="none" w:sz="0" w:space="0" w:color="auto"/>
        <w:right w:val="none" w:sz="0" w:space="0" w:color="auto"/>
      </w:divBdr>
    </w:div>
    <w:div w:id="941493124">
      <w:bodyDiv w:val="1"/>
      <w:marLeft w:val="0"/>
      <w:marRight w:val="0"/>
      <w:marTop w:val="0"/>
      <w:marBottom w:val="0"/>
      <w:divBdr>
        <w:top w:val="none" w:sz="0" w:space="0" w:color="auto"/>
        <w:left w:val="none" w:sz="0" w:space="0" w:color="auto"/>
        <w:bottom w:val="none" w:sz="0" w:space="0" w:color="auto"/>
        <w:right w:val="none" w:sz="0" w:space="0" w:color="auto"/>
      </w:divBdr>
    </w:div>
    <w:div w:id="1442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9ED2-1D75-492E-B39B-BDC38EA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59</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1A</vt:lpstr>
    </vt:vector>
  </TitlesOfParts>
  <Company>CDNQ</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dc:title>
  <dc:subject/>
  <dc:creator>User1</dc:creator>
  <cp:keywords/>
  <cp:lastModifiedBy>Dave Bissoondatt</cp:lastModifiedBy>
  <cp:revision>84</cp:revision>
  <cp:lastPrinted>2021-05-19T14:20:00Z</cp:lastPrinted>
  <dcterms:created xsi:type="dcterms:W3CDTF">2020-09-24T17:45:00Z</dcterms:created>
  <dcterms:modified xsi:type="dcterms:W3CDTF">2022-03-30T21:32:00Z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SEW</vt:lpwstr>
  </property>
  <property fmtid="{D5CDD505-2E9C-101B-9397-08002B2CF9AE}" pid="4" name="DMSClient">
    <vt:lpwstr>50309</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GLM - Letter to CSE confirming payment of consideration re Conglin Creek Copper Property (Sept 2020)</vt:lpwstr>
  </property>
  <property fmtid="{D5CDD505-2E9C-101B-9397-08002B2CF9AE}" pid="8" name="DMSDocID">
    <vt:lpwstr>9386311.1</vt:lpwstr>
  </property>
  <property fmtid="{D5CDD505-2E9C-101B-9397-08002B2CF9AE}" pid="9" name="DMSDocNumber">
    <vt:lpwstr>9386311</vt:lpwstr>
  </property>
  <property fmtid="{D5CDD505-2E9C-101B-9397-08002B2CF9AE}" pid="10" name="DMSDocType">
    <vt:lpwstr>DOC</vt:lpwstr>
  </property>
  <property fmtid="{D5CDD505-2E9C-101B-9397-08002B2CF9AE}" pid="11" name="DMSFileNum">
    <vt:lpwstr>50309-0001</vt:lpwstr>
  </property>
  <property fmtid="{D5CDD505-2E9C-101B-9397-08002B2CF9AE}" pid="12" name="DMSMatter">
    <vt:lpwstr>0001</vt:lpwstr>
  </property>
  <property fmtid="{D5CDD505-2E9C-101B-9397-08002B2CF9AE}" pid="13" name="DMSTypist">
    <vt:lpwstr>DXT</vt:lpwstr>
  </property>
  <property fmtid="{D5CDD505-2E9C-101B-9397-08002B2CF9AE}" pid="14" name="DMSCategory">
    <vt:lpwstr> </vt:lpwstr>
  </property>
  <property fmtid="{D5CDD505-2E9C-101B-9397-08002B2CF9AE}" pid="15" name="DMSCurrVersion">
    <vt:lpwstr>1</vt:lpwstr>
  </property>
  <property fmtid="{D5CDD505-2E9C-101B-9397-08002B2CF9AE}" pid="16" name="DMSFooterStatus22">
    <vt:lpwstr>SET</vt:lpwstr>
  </property>
  <property fmtid="{D5CDD505-2E9C-101B-9397-08002B2CF9AE}" pid="17" name="WSOrigTemplate">
    <vt:lpwstr>normal</vt:lpwstr>
  </property>
</Properties>
</file>