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4114" w14:textId="77777777" w:rsidR="00501475" w:rsidRDefault="00501475" w:rsidP="008C48D8">
      <w:r>
        <w:rPr>
          <w:noProof/>
        </w:rPr>
        <w:drawing>
          <wp:inline distT="0" distB="0" distL="0" distR="0" wp14:anchorId="40D7933B" wp14:editId="29380FBC">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5">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6C7E895C" w14:textId="018B424E" w:rsidR="00501475" w:rsidRPr="008F1A70" w:rsidRDefault="00501475" w:rsidP="009E6319">
      <w:pPr>
        <w:shd w:val="clear" w:color="auto" w:fill="FFFFFF"/>
        <w:spacing w:after="0" w:line="540" w:lineRule="atLeast"/>
        <w:jc w:val="center"/>
        <w:outlineLvl w:val="0"/>
        <w:rPr>
          <w:rFonts w:eastAsia="Times New Roman" w:cstheme="minorHAnsi"/>
          <w:color w:val="2F5496" w:themeColor="accent1" w:themeShade="BF"/>
          <w:kern w:val="36"/>
          <w:sz w:val="36"/>
          <w:szCs w:val="36"/>
          <w:lang w:val="en-GB" w:eastAsia="en-GB"/>
        </w:rPr>
      </w:pPr>
      <w:proofErr w:type="spellStart"/>
      <w:r w:rsidRPr="008F1A70">
        <w:rPr>
          <w:rFonts w:eastAsia="Times New Roman" w:cstheme="minorHAnsi"/>
          <w:color w:val="2F5496" w:themeColor="accent1" w:themeShade="BF"/>
          <w:kern w:val="36"/>
          <w:sz w:val="36"/>
          <w:szCs w:val="36"/>
          <w:lang w:val="en-GB" w:eastAsia="en-GB"/>
        </w:rPr>
        <w:t>BetterLife</w:t>
      </w:r>
      <w:proofErr w:type="spellEnd"/>
      <w:r w:rsidRPr="008F1A70">
        <w:rPr>
          <w:rFonts w:eastAsia="Times New Roman" w:cstheme="minorHAnsi"/>
          <w:color w:val="2F5496" w:themeColor="accent1" w:themeShade="BF"/>
          <w:kern w:val="36"/>
          <w:sz w:val="36"/>
          <w:szCs w:val="36"/>
          <w:lang w:val="en-GB" w:eastAsia="en-GB"/>
        </w:rPr>
        <w:t xml:space="preserve"> </w:t>
      </w:r>
      <w:r w:rsidR="009628B7">
        <w:rPr>
          <w:rFonts w:eastAsia="Times New Roman" w:cstheme="minorHAnsi"/>
          <w:color w:val="2F5496" w:themeColor="accent1" w:themeShade="BF"/>
          <w:kern w:val="36"/>
          <w:sz w:val="36"/>
          <w:szCs w:val="36"/>
          <w:lang w:val="en-GB" w:eastAsia="en-GB"/>
        </w:rPr>
        <w:t xml:space="preserve">Obtains </w:t>
      </w:r>
      <w:r w:rsidR="00DA436D">
        <w:rPr>
          <w:rFonts w:eastAsia="Times New Roman" w:cstheme="minorHAnsi"/>
          <w:color w:val="2F5496" w:themeColor="accent1" w:themeShade="BF"/>
          <w:kern w:val="36"/>
          <w:sz w:val="36"/>
          <w:szCs w:val="36"/>
          <w:lang w:val="en-GB" w:eastAsia="en-GB"/>
        </w:rPr>
        <w:t xml:space="preserve">In Vivo </w:t>
      </w:r>
      <w:r w:rsidR="009628B7">
        <w:rPr>
          <w:rFonts w:eastAsia="Times New Roman" w:cstheme="minorHAnsi"/>
          <w:color w:val="2F5496" w:themeColor="accent1" w:themeShade="BF"/>
          <w:kern w:val="36"/>
          <w:sz w:val="36"/>
          <w:szCs w:val="36"/>
          <w:lang w:val="en-GB" w:eastAsia="en-GB"/>
        </w:rPr>
        <w:t>PK</w:t>
      </w:r>
      <w:r w:rsidR="00EB1785">
        <w:rPr>
          <w:rFonts w:eastAsia="Times New Roman" w:cstheme="minorHAnsi"/>
          <w:color w:val="2F5496" w:themeColor="accent1" w:themeShade="BF"/>
          <w:kern w:val="36"/>
          <w:sz w:val="36"/>
          <w:szCs w:val="36"/>
          <w:lang w:val="en-GB" w:eastAsia="en-GB"/>
        </w:rPr>
        <w:t xml:space="preserve"> </w:t>
      </w:r>
      <w:r w:rsidR="009628B7">
        <w:rPr>
          <w:rFonts w:eastAsia="Times New Roman" w:cstheme="minorHAnsi"/>
          <w:color w:val="2F5496" w:themeColor="accent1" w:themeShade="BF"/>
          <w:kern w:val="36"/>
          <w:sz w:val="36"/>
          <w:szCs w:val="36"/>
          <w:lang w:val="en-GB" w:eastAsia="en-GB"/>
        </w:rPr>
        <w:t xml:space="preserve">Data </w:t>
      </w:r>
      <w:r w:rsidR="00EB1785">
        <w:rPr>
          <w:rFonts w:eastAsia="Times New Roman" w:cstheme="minorHAnsi"/>
          <w:color w:val="2F5496" w:themeColor="accent1" w:themeShade="BF"/>
          <w:kern w:val="36"/>
          <w:sz w:val="36"/>
          <w:szCs w:val="36"/>
          <w:lang w:val="en-GB" w:eastAsia="en-GB"/>
        </w:rPr>
        <w:t xml:space="preserve">for </w:t>
      </w:r>
      <w:r w:rsidR="00315C3D">
        <w:rPr>
          <w:rFonts w:eastAsia="Times New Roman" w:cstheme="minorHAnsi"/>
          <w:color w:val="2F5496" w:themeColor="accent1" w:themeShade="BF"/>
          <w:kern w:val="36"/>
          <w:sz w:val="36"/>
          <w:szCs w:val="36"/>
          <w:lang w:val="en-GB" w:eastAsia="en-GB"/>
        </w:rPr>
        <w:t xml:space="preserve">BETR-001 </w:t>
      </w:r>
      <w:r w:rsidR="009628B7">
        <w:rPr>
          <w:rFonts w:eastAsia="Times New Roman" w:cstheme="minorHAnsi"/>
          <w:color w:val="2F5496" w:themeColor="accent1" w:themeShade="BF"/>
          <w:kern w:val="36"/>
          <w:sz w:val="36"/>
          <w:szCs w:val="36"/>
          <w:lang w:val="en-GB" w:eastAsia="en-GB"/>
        </w:rPr>
        <w:t>Confirming its Bioavailability in Brain</w:t>
      </w:r>
      <w:r w:rsidR="00EB1785">
        <w:rPr>
          <w:rFonts w:eastAsia="Times New Roman" w:cstheme="minorHAnsi"/>
          <w:color w:val="2F5496" w:themeColor="accent1" w:themeShade="BF"/>
          <w:kern w:val="36"/>
          <w:sz w:val="36"/>
          <w:szCs w:val="36"/>
          <w:lang w:val="en-GB" w:eastAsia="en-GB"/>
        </w:rPr>
        <w:t xml:space="preserve"> </w:t>
      </w:r>
      <w:r w:rsidR="00884707">
        <w:rPr>
          <w:rFonts w:eastAsia="Times New Roman" w:cstheme="minorHAnsi"/>
          <w:color w:val="2F5496" w:themeColor="accent1" w:themeShade="BF"/>
          <w:kern w:val="36"/>
          <w:sz w:val="36"/>
          <w:szCs w:val="36"/>
          <w:lang w:val="en-GB" w:eastAsia="en-GB"/>
        </w:rPr>
        <w:t xml:space="preserve"> </w:t>
      </w:r>
    </w:p>
    <w:p w14:paraId="529C26A5" w14:textId="77777777" w:rsidR="009E6319" w:rsidRDefault="009E6319" w:rsidP="009E6319">
      <w:pPr>
        <w:spacing w:after="0"/>
        <w:jc w:val="both"/>
        <w:rPr>
          <w:rFonts w:eastAsia="Times New Roman" w:cstheme="minorHAnsi"/>
          <w:lang w:eastAsia="en-GB"/>
        </w:rPr>
      </w:pPr>
    </w:p>
    <w:p w14:paraId="301B8116" w14:textId="4B836BAC" w:rsidR="00DA436D" w:rsidRDefault="002D37B3" w:rsidP="009E6319">
      <w:pPr>
        <w:spacing w:after="0"/>
        <w:jc w:val="both"/>
        <w:rPr>
          <w:rFonts w:cstheme="minorHAnsi"/>
        </w:rPr>
      </w:pPr>
      <w:r w:rsidRPr="009E6319">
        <w:rPr>
          <w:rFonts w:eastAsia="Times New Roman" w:cstheme="minorHAnsi"/>
          <w:lang w:eastAsia="en-GB"/>
        </w:rPr>
        <w:t xml:space="preserve">VANCOUVER, British Columbia, </w:t>
      </w:r>
      <w:r w:rsidR="00C92557" w:rsidRPr="009E6319">
        <w:rPr>
          <w:rFonts w:eastAsia="Times New Roman" w:cstheme="minorHAnsi"/>
          <w:lang w:eastAsia="en-GB"/>
        </w:rPr>
        <w:t xml:space="preserve">March 16, </w:t>
      </w:r>
      <w:r w:rsidRPr="009E6319">
        <w:rPr>
          <w:rFonts w:eastAsia="Times New Roman" w:cstheme="minorHAnsi"/>
          <w:lang w:eastAsia="en-GB"/>
        </w:rPr>
        <w:t xml:space="preserve"> 202</w:t>
      </w:r>
      <w:r w:rsidR="00EB1785" w:rsidRPr="009E6319">
        <w:rPr>
          <w:rFonts w:eastAsia="Times New Roman" w:cstheme="minorHAnsi"/>
          <w:lang w:eastAsia="en-GB"/>
        </w:rPr>
        <w:t>2</w:t>
      </w:r>
      <w:r w:rsidRPr="009E6319">
        <w:rPr>
          <w:rFonts w:eastAsia="Times New Roman" w:cstheme="minorHAnsi"/>
          <w:lang w:eastAsia="en-GB"/>
        </w:rPr>
        <w:t xml:space="preserve"> - </w:t>
      </w:r>
      <w:proofErr w:type="spellStart"/>
      <w:r w:rsidRPr="009E6319">
        <w:rPr>
          <w:rFonts w:eastAsia="Times New Roman" w:cstheme="minorHAnsi"/>
          <w:lang w:eastAsia="en-GB"/>
        </w:rPr>
        <w:t>BetterLife</w:t>
      </w:r>
      <w:proofErr w:type="spellEnd"/>
      <w:r w:rsidRPr="009E6319">
        <w:rPr>
          <w:rFonts w:eastAsia="Times New Roman" w:cstheme="minorHAnsi"/>
          <w:lang w:eastAsia="en-GB"/>
        </w:rPr>
        <w:t xml:space="preserve"> Pharma Inc. </w:t>
      </w:r>
      <w:r w:rsidRPr="009E6319">
        <w:rPr>
          <w:rFonts w:eastAsia="Times New Roman" w:cstheme="minorHAnsi"/>
          <w:lang w:val="en-GB" w:eastAsia="en-GB"/>
        </w:rPr>
        <w:t>(“</w:t>
      </w:r>
      <w:proofErr w:type="spellStart"/>
      <w:r w:rsidRPr="009E6319">
        <w:rPr>
          <w:rFonts w:eastAsia="Times New Roman" w:cstheme="minorHAnsi"/>
          <w:lang w:val="en-GB" w:eastAsia="en-GB"/>
        </w:rPr>
        <w:t>BetterLife</w:t>
      </w:r>
      <w:proofErr w:type="spellEnd"/>
      <w:r w:rsidRPr="009E6319">
        <w:rPr>
          <w:rFonts w:eastAsia="Times New Roman" w:cstheme="minorHAnsi"/>
          <w:lang w:val="en-GB" w:eastAsia="en-GB"/>
        </w:rPr>
        <w:t xml:space="preserve">” or the “Company”) </w:t>
      </w:r>
      <w:r w:rsidRPr="009E6319">
        <w:rPr>
          <w:rFonts w:cstheme="minorHAnsi"/>
        </w:rPr>
        <w:t xml:space="preserve">(CSE: </w:t>
      </w:r>
      <w:hyperlink r:id="rId6" w:history="1">
        <w:r w:rsidRPr="009E6319">
          <w:rPr>
            <w:rStyle w:val="Hyperlink"/>
            <w:rFonts w:cstheme="minorHAnsi"/>
          </w:rPr>
          <w:t>BETR</w:t>
        </w:r>
      </w:hyperlink>
      <w:r w:rsidRPr="009E6319">
        <w:rPr>
          <w:rFonts w:cstheme="minorHAnsi"/>
        </w:rPr>
        <w:t xml:space="preserve"> / OTCQB: </w:t>
      </w:r>
      <w:hyperlink r:id="rId7" w:history="1">
        <w:r w:rsidRPr="009E6319">
          <w:rPr>
            <w:rStyle w:val="Hyperlink"/>
            <w:rFonts w:cstheme="minorHAnsi"/>
          </w:rPr>
          <w:t>BETRF</w:t>
        </w:r>
      </w:hyperlink>
      <w:r w:rsidRPr="009E6319">
        <w:rPr>
          <w:rFonts w:cstheme="minorHAnsi"/>
        </w:rPr>
        <w:t xml:space="preserve"> / FRA: </w:t>
      </w:r>
      <w:hyperlink r:id="rId8" w:history="1">
        <w:r w:rsidRPr="009E6319">
          <w:rPr>
            <w:rStyle w:val="Hyperlink"/>
            <w:rFonts w:cstheme="minorHAnsi"/>
          </w:rPr>
          <w:t>NPAU</w:t>
        </w:r>
      </w:hyperlink>
      <w:r w:rsidRPr="009E6319">
        <w:rPr>
          <w:rFonts w:cstheme="minorHAnsi"/>
        </w:rPr>
        <w:t>)</w:t>
      </w:r>
      <w:r w:rsidRPr="009E6319">
        <w:rPr>
          <w:rFonts w:eastAsia="Times New Roman" w:cstheme="minorHAnsi"/>
          <w:lang w:val="en-GB" w:eastAsia="en-GB"/>
        </w:rPr>
        <w:t xml:space="preserve">, </w:t>
      </w:r>
      <w:r w:rsidRPr="009E6319">
        <w:rPr>
          <w:rFonts w:cstheme="minorHAnsi"/>
        </w:rPr>
        <w:t xml:space="preserve">an emerging biotech company focused on the development and commercialization of </w:t>
      </w:r>
      <w:r w:rsidR="00DA436D" w:rsidRPr="009E6319">
        <w:rPr>
          <w:rFonts w:cstheme="minorHAnsi"/>
        </w:rPr>
        <w:t xml:space="preserve">second generation non-hallucinogenic psychedelic </w:t>
      </w:r>
      <w:r w:rsidR="00A70499" w:rsidRPr="009E6319">
        <w:rPr>
          <w:rFonts w:cstheme="minorHAnsi"/>
        </w:rPr>
        <w:t>analogs</w:t>
      </w:r>
      <w:r w:rsidR="00DA436D" w:rsidRPr="009E6319">
        <w:rPr>
          <w:rFonts w:cstheme="minorHAnsi"/>
        </w:rPr>
        <w:t xml:space="preserve"> for the treatment of</w:t>
      </w:r>
      <w:r w:rsidRPr="009E6319">
        <w:rPr>
          <w:rFonts w:cstheme="minorHAnsi"/>
        </w:rPr>
        <w:t xml:space="preserve"> </w:t>
      </w:r>
      <w:r w:rsidR="00DA436D" w:rsidRPr="009E6319">
        <w:rPr>
          <w:rFonts w:cstheme="minorHAnsi"/>
        </w:rPr>
        <w:t xml:space="preserve">neuropsychological </w:t>
      </w:r>
      <w:r w:rsidRPr="009E6319">
        <w:rPr>
          <w:rFonts w:cstheme="minorHAnsi"/>
        </w:rPr>
        <w:t>disorders,</w:t>
      </w:r>
      <w:r w:rsidRPr="009E6319">
        <w:rPr>
          <w:rFonts w:eastAsia="Times New Roman" w:cstheme="minorHAnsi"/>
          <w:lang w:val="en-GB" w:eastAsia="en-GB"/>
        </w:rPr>
        <w:t xml:space="preserve"> is pleased to announce it </w:t>
      </w:r>
      <w:r w:rsidR="008C48D8" w:rsidRPr="009E6319">
        <w:rPr>
          <w:rFonts w:cstheme="minorHAnsi"/>
        </w:rPr>
        <w:t xml:space="preserve">has </w:t>
      </w:r>
      <w:r w:rsidR="000C3EC9" w:rsidRPr="009E6319">
        <w:rPr>
          <w:rFonts w:cstheme="minorHAnsi"/>
        </w:rPr>
        <w:t xml:space="preserve">obtained </w:t>
      </w:r>
      <w:r w:rsidR="00F8396C" w:rsidRPr="009E6319">
        <w:rPr>
          <w:rFonts w:cstheme="minorHAnsi"/>
        </w:rPr>
        <w:t xml:space="preserve">the </w:t>
      </w:r>
      <w:r w:rsidR="00FA235C" w:rsidRPr="009E6319">
        <w:rPr>
          <w:rFonts w:cstheme="minorHAnsi"/>
        </w:rPr>
        <w:t xml:space="preserve">first set of </w:t>
      </w:r>
      <w:r w:rsidR="007E01A8" w:rsidRPr="009E6319">
        <w:rPr>
          <w:rFonts w:cstheme="minorHAnsi"/>
        </w:rPr>
        <w:t xml:space="preserve">positive </w:t>
      </w:r>
      <w:r w:rsidR="00DA436D" w:rsidRPr="009E6319">
        <w:rPr>
          <w:rFonts w:cstheme="minorHAnsi"/>
        </w:rPr>
        <w:t xml:space="preserve">in vivo pharmacokinetic </w:t>
      </w:r>
      <w:r w:rsidR="00D44521" w:rsidRPr="009E6319">
        <w:rPr>
          <w:rFonts w:cstheme="minorHAnsi"/>
        </w:rPr>
        <w:t xml:space="preserve">(PK) </w:t>
      </w:r>
      <w:r w:rsidR="007E01A8" w:rsidRPr="009E6319">
        <w:rPr>
          <w:rFonts w:cstheme="minorHAnsi"/>
        </w:rPr>
        <w:t xml:space="preserve">data </w:t>
      </w:r>
      <w:r w:rsidR="00A70499" w:rsidRPr="009E6319">
        <w:rPr>
          <w:rFonts w:cstheme="minorHAnsi"/>
        </w:rPr>
        <w:t>confirming</w:t>
      </w:r>
      <w:r w:rsidR="000B4C9B" w:rsidRPr="009E6319">
        <w:rPr>
          <w:rFonts w:cstheme="minorHAnsi"/>
        </w:rPr>
        <w:t xml:space="preserve"> </w:t>
      </w:r>
      <w:r w:rsidR="00A70499" w:rsidRPr="009E6319">
        <w:rPr>
          <w:rFonts w:cstheme="minorHAnsi"/>
        </w:rPr>
        <w:t>the bioavailability of its lead compound BETR-001 (2-bromo-LSD</w:t>
      </w:r>
      <w:r w:rsidR="00315C3D" w:rsidRPr="009E6319">
        <w:rPr>
          <w:rFonts w:cstheme="minorHAnsi"/>
        </w:rPr>
        <w:t>, formerly TD-0148A</w:t>
      </w:r>
      <w:r w:rsidR="00A70499" w:rsidRPr="009E6319">
        <w:rPr>
          <w:rFonts w:cstheme="minorHAnsi"/>
        </w:rPr>
        <w:t xml:space="preserve">) in </w:t>
      </w:r>
      <w:r w:rsidR="009A3BC4" w:rsidRPr="009E6319">
        <w:rPr>
          <w:rFonts w:cstheme="minorHAnsi"/>
        </w:rPr>
        <w:t xml:space="preserve">the </w:t>
      </w:r>
      <w:r w:rsidR="00D44521" w:rsidRPr="009E6319">
        <w:rPr>
          <w:rFonts w:cstheme="minorHAnsi"/>
        </w:rPr>
        <w:t xml:space="preserve">brain (target </w:t>
      </w:r>
      <w:r w:rsidR="009A3BC4" w:rsidRPr="009E6319">
        <w:rPr>
          <w:rFonts w:cstheme="minorHAnsi"/>
        </w:rPr>
        <w:t>tissue</w:t>
      </w:r>
      <w:r w:rsidR="00D44521" w:rsidRPr="009E6319">
        <w:rPr>
          <w:rFonts w:cstheme="minorHAnsi"/>
        </w:rPr>
        <w:t xml:space="preserve">) and plasma of treated mice. </w:t>
      </w:r>
      <w:r w:rsidR="00DF548C" w:rsidRPr="009E6319">
        <w:rPr>
          <w:rFonts w:cstheme="minorHAnsi"/>
        </w:rPr>
        <w:t xml:space="preserve">BETR-001 is a non-hallucinogenic derivative of </w:t>
      </w:r>
      <w:r w:rsidR="00B11474" w:rsidRPr="009E6319">
        <w:rPr>
          <w:rFonts w:cstheme="minorHAnsi"/>
        </w:rPr>
        <w:t>lysergic acid diethylamide (</w:t>
      </w:r>
      <w:r w:rsidR="00DF548C" w:rsidRPr="009E6319">
        <w:rPr>
          <w:rFonts w:cstheme="minorHAnsi"/>
        </w:rPr>
        <w:t>LSD</w:t>
      </w:r>
      <w:r w:rsidR="00B11474" w:rsidRPr="009E6319">
        <w:rPr>
          <w:rFonts w:cstheme="minorHAnsi"/>
        </w:rPr>
        <w:t>)</w:t>
      </w:r>
      <w:r w:rsidR="00DF548C" w:rsidRPr="009E6319">
        <w:rPr>
          <w:rFonts w:cstheme="minorHAnsi"/>
        </w:rPr>
        <w:t xml:space="preserve">. </w:t>
      </w:r>
      <w:r w:rsidR="00375705" w:rsidRPr="009E6319">
        <w:rPr>
          <w:rFonts w:cstheme="minorHAnsi"/>
        </w:rPr>
        <w:t xml:space="preserve">We </w:t>
      </w:r>
      <w:r w:rsidR="00544447" w:rsidRPr="009E6319">
        <w:rPr>
          <w:rFonts w:cstheme="minorHAnsi"/>
        </w:rPr>
        <w:t>had</w:t>
      </w:r>
      <w:r w:rsidR="00375705" w:rsidRPr="009E6319">
        <w:rPr>
          <w:rFonts w:cstheme="minorHAnsi"/>
        </w:rPr>
        <w:t xml:space="preserve"> previously confirmed the non-hallucinogenic property of BETR-001 in </w:t>
      </w:r>
      <w:r w:rsidR="00544447" w:rsidRPr="009E6319">
        <w:rPr>
          <w:rFonts w:cstheme="minorHAnsi"/>
        </w:rPr>
        <w:t>the</w:t>
      </w:r>
      <w:r w:rsidR="00375705" w:rsidRPr="009E6319">
        <w:rPr>
          <w:rFonts w:cstheme="minorHAnsi"/>
        </w:rPr>
        <w:t xml:space="preserve"> head-twitch-response (HTR) assay in mice</w:t>
      </w:r>
      <w:r w:rsidR="00544447" w:rsidRPr="009E6319">
        <w:rPr>
          <w:rFonts w:cstheme="minorHAnsi"/>
        </w:rPr>
        <w:t>, a model commonly used as a behavioral proxy in rodents for human hallucinogenic effects.  A key objective of the current study</w:t>
      </w:r>
      <w:r w:rsidR="00DF548C" w:rsidRPr="009E6319">
        <w:rPr>
          <w:rFonts w:cstheme="minorHAnsi"/>
        </w:rPr>
        <w:t xml:space="preserve"> was to confirm that </w:t>
      </w:r>
      <w:r w:rsidR="00CD5197" w:rsidRPr="009E6319">
        <w:rPr>
          <w:rFonts w:cstheme="minorHAnsi"/>
        </w:rPr>
        <w:t xml:space="preserve">lack of </w:t>
      </w:r>
      <w:r w:rsidR="00DF548C" w:rsidRPr="009E6319">
        <w:rPr>
          <w:rFonts w:cstheme="minorHAnsi"/>
        </w:rPr>
        <w:t xml:space="preserve">hallucinogenic property of BETR-001 is not due to its poor bioavailability especially in </w:t>
      </w:r>
      <w:r w:rsidR="00544447" w:rsidRPr="009E6319">
        <w:rPr>
          <w:rFonts w:cstheme="minorHAnsi"/>
        </w:rPr>
        <w:t xml:space="preserve">the </w:t>
      </w:r>
      <w:r w:rsidR="00DF548C" w:rsidRPr="009E6319">
        <w:rPr>
          <w:rFonts w:cstheme="minorHAnsi"/>
        </w:rPr>
        <w:t xml:space="preserve">target brain tissue. </w:t>
      </w:r>
    </w:p>
    <w:p w14:paraId="0BC67643" w14:textId="77777777" w:rsidR="009E6319" w:rsidRPr="009E6319" w:rsidRDefault="009E6319" w:rsidP="009E6319">
      <w:pPr>
        <w:spacing w:after="0"/>
        <w:jc w:val="both"/>
        <w:rPr>
          <w:rFonts w:cstheme="minorHAnsi"/>
        </w:rPr>
      </w:pPr>
    </w:p>
    <w:p w14:paraId="262A1067" w14:textId="57B39479" w:rsidR="00DA436D" w:rsidRDefault="00C241EC" w:rsidP="009E6319">
      <w:pPr>
        <w:spacing w:after="0"/>
        <w:jc w:val="both"/>
        <w:rPr>
          <w:rFonts w:cstheme="minorHAnsi"/>
        </w:rPr>
      </w:pPr>
      <w:r w:rsidRPr="009E6319">
        <w:rPr>
          <w:rFonts w:cstheme="minorHAnsi"/>
        </w:rPr>
        <w:t>The key PK data points from th</w:t>
      </w:r>
      <w:r w:rsidR="00DF548C" w:rsidRPr="009E6319">
        <w:rPr>
          <w:rFonts w:cstheme="minorHAnsi"/>
        </w:rPr>
        <w:t xml:space="preserve">is mouse </w:t>
      </w:r>
      <w:r w:rsidRPr="009E6319">
        <w:rPr>
          <w:rFonts w:cstheme="minorHAnsi"/>
        </w:rPr>
        <w:t xml:space="preserve">study conducted at </w:t>
      </w:r>
      <w:proofErr w:type="spellStart"/>
      <w:r w:rsidRPr="009E6319">
        <w:rPr>
          <w:rFonts w:cstheme="minorHAnsi"/>
        </w:rPr>
        <w:t>Nucro</w:t>
      </w:r>
      <w:proofErr w:type="spellEnd"/>
      <w:r w:rsidRPr="009E6319">
        <w:rPr>
          <w:rFonts w:cstheme="minorHAnsi"/>
        </w:rPr>
        <w:t xml:space="preserve">-Technics (Scarborough, ON, Canada) </w:t>
      </w:r>
      <w:r w:rsidR="00E872CD" w:rsidRPr="009E6319">
        <w:rPr>
          <w:rFonts w:cstheme="minorHAnsi"/>
        </w:rPr>
        <w:t>include</w:t>
      </w:r>
      <w:r w:rsidRPr="009E6319">
        <w:rPr>
          <w:rFonts w:cstheme="minorHAnsi"/>
        </w:rPr>
        <w:t>:</w:t>
      </w:r>
    </w:p>
    <w:p w14:paraId="1F53BF46" w14:textId="77777777" w:rsidR="009E6319" w:rsidRPr="009E6319" w:rsidRDefault="009E6319" w:rsidP="009E6319">
      <w:pPr>
        <w:spacing w:after="0"/>
        <w:jc w:val="both"/>
        <w:rPr>
          <w:rFonts w:cstheme="minorHAnsi"/>
        </w:rPr>
      </w:pPr>
    </w:p>
    <w:p w14:paraId="5137881E" w14:textId="70762B6D" w:rsidR="00AD55F7" w:rsidRDefault="00AD55F7" w:rsidP="009E6319">
      <w:pPr>
        <w:pStyle w:val="ListParagraph"/>
        <w:numPr>
          <w:ilvl w:val="0"/>
          <w:numId w:val="1"/>
        </w:numPr>
        <w:spacing w:after="0"/>
        <w:jc w:val="both"/>
        <w:rPr>
          <w:rFonts w:cstheme="minorHAnsi"/>
        </w:rPr>
      </w:pPr>
      <w:r>
        <w:rPr>
          <w:rFonts w:cstheme="minorHAnsi"/>
        </w:rPr>
        <w:t xml:space="preserve">A bioanalytical method was established to measure 2-bromo-LSD in </w:t>
      </w:r>
      <w:r w:rsidR="00F31C06">
        <w:rPr>
          <w:rFonts w:cstheme="minorHAnsi"/>
        </w:rPr>
        <w:t xml:space="preserve">mouse </w:t>
      </w:r>
      <w:r>
        <w:rPr>
          <w:rFonts w:cstheme="minorHAnsi"/>
        </w:rPr>
        <w:t xml:space="preserve">plasma and brain tissues. </w:t>
      </w:r>
    </w:p>
    <w:p w14:paraId="0DE37359" w14:textId="7530B3BF" w:rsidR="00C241EC" w:rsidRDefault="00A85A10" w:rsidP="009E6319">
      <w:pPr>
        <w:pStyle w:val="ListParagraph"/>
        <w:numPr>
          <w:ilvl w:val="0"/>
          <w:numId w:val="1"/>
        </w:numPr>
        <w:spacing w:after="0"/>
        <w:jc w:val="both"/>
        <w:rPr>
          <w:rFonts w:cstheme="minorHAnsi"/>
        </w:rPr>
      </w:pPr>
      <w:r>
        <w:rPr>
          <w:rFonts w:cstheme="minorHAnsi"/>
        </w:rPr>
        <w:t>BETR-001 appeared quickly (10</w:t>
      </w:r>
      <w:r w:rsidR="009E6319">
        <w:rPr>
          <w:rFonts w:cstheme="minorHAnsi"/>
        </w:rPr>
        <w:t xml:space="preserve"> </w:t>
      </w:r>
      <w:r>
        <w:rPr>
          <w:rFonts w:cstheme="minorHAnsi"/>
        </w:rPr>
        <w:t>min</w:t>
      </w:r>
      <w:r w:rsidR="009E6319">
        <w:rPr>
          <w:rFonts w:cstheme="minorHAnsi"/>
        </w:rPr>
        <w:t>utes</w:t>
      </w:r>
      <w:r>
        <w:rPr>
          <w:rFonts w:cstheme="minorHAnsi"/>
        </w:rPr>
        <w:t xml:space="preserve"> post dose) in </w:t>
      </w:r>
      <w:r w:rsidR="00E872CD">
        <w:rPr>
          <w:rFonts w:cstheme="minorHAnsi"/>
        </w:rPr>
        <w:t xml:space="preserve">the </w:t>
      </w:r>
      <w:r>
        <w:rPr>
          <w:rFonts w:cstheme="minorHAnsi"/>
        </w:rPr>
        <w:t>plasma and brain of mice following a single dose</w:t>
      </w:r>
      <w:r w:rsidR="005C6681">
        <w:rPr>
          <w:rFonts w:cstheme="minorHAnsi"/>
        </w:rPr>
        <w:t xml:space="preserve"> and remained detectable up to 8 hours post dose. </w:t>
      </w:r>
    </w:p>
    <w:p w14:paraId="0A31F40C" w14:textId="1A937ED8" w:rsidR="00A85A10" w:rsidRDefault="00A85A10" w:rsidP="009E6319">
      <w:pPr>
        <w:pStyle w:val="ListParagraph"/>
        <w:numPr>
          <w:ilvl w:val="0"/>
          <w:numId w:val="1"/>
        </w:numPr>
        <w:spacing w:after="0"/>
        <w:jc w:val="both"/>
        <w:rPr>
          <w:rFonts w:cstheme="minorHAnsi"/>
        </w:rPr>
      </w:pPr>
      <w:r>
        <w:rPr>
          <w:rFonts w:cstheme="minorHAnsi"/>
        </w:rPr>
        <w:t xml:space="preserve">Plasma </w:t>
      </w:r>
      <w:r w:rsidR="00CD3495">
        <w:rPr>
          <w:rFonts w:cstheme="minorHAnsi"/>
        </w:rPr>
        <w:t xml:space="preserve">and brain </w:t>
      </w:r>
      <w:r w:rsidR="005C6681">
        <w:rPr>
          <w:rFonts w:cstheme="minorHAnsi"/>
        </w:rPr>
        <w:t xml:space="preserve">exposure of </w:t>
      </w:r>
      <w:r>
        <w:rPr>
          <w:rFonts w:cstheme="minorHAnsi"/>
        </w:rPr>
        <w:t xml:space="preserve">BETR-001 increased in a time- and dose-dependent manner. </w:t>
      </w:r>
    </w:p>
    <w:p w14:paraId="5A2AF2C5" w14:textId="174A0B26" w:rsidR="00EB34DB" w:rsidRPr="00CB3343" w:rsidRDefault="005C6681" w:rsidP="009E6319">
      <w:pPr>
        <w:pStyle w:val="ListParagraph"/>
        <w:numPr>
          <w:ilvl w:val="0"/>
          <w:numId w:val="1"/>
        </w:numPr>
        <w:spacing w:after="0"/>
        <w:jc w:val="both"/>
        <w:rPr>
          <w:rFonts w:cstheme="minorHAnsi"/>
        </w:rPr>
      </w:pPr>
      <w:r>
        <w:rPr>
          <w:rFonts w:cstheme="minorHAnsi"/>
        </w:rPr>
        <w:t xml:space="preserve">The mean terminal half-life of BETR-001 in plasma </w:t>
      </w:r>
      <w:r w:rsidR="00752655">
        <w:rPr>
          <w:rFonts w:cstheme="minorHAnsi"/>
        </w:rPr>
        <w:t xml:space="preserve">(~ 1.5 hours) </w:t>
      </w:r>
      <w:r>
        <w:rPr>
          <w:rFonts w:cstheme="minorHAnsi"/>
        </w:rPr>
        <w:t xml:space="preserve">was not </w:t>
      </w:r>
      <w:r w:rsidR="00AD55F7">
        <w:rPr>
          <w:rFonts w:cstheme="minorHAnsi"/>
        </w:rPr>
        <w:t xml:space="preserve">significantly </w:t>
      </w:r>
      <w:r>
        <w:rPr>
          <w:rFonts w:cstheme="minorHAnsi"/>
        </w:rPr>
        <w:t xml:space="preserve">different among all dosing groups or </w:t>
      </w:r>
      <w:r w:rsidR="00752655">
        <w:rPr>
          <w:rFonts w:cstheme="minorHAnsi"/>
        </w:rPr>
        <w:t xml:space="preserve">between different sexes. </w:t>
      </w:r>
    </w:p>
    <w:p w14:paraId="5476DACF" w14:textId="77777777" w:rsidR="009E6319" w:rsidRDefault="009E6319" w:rsidP="009E6319">
      <w:pPr>
        <w:spacing w:after="0"/>
        <w:jc w:val="both"/>
      </w:pPr>
    </w:p>
    <w:p w14:paraId="62F85975" w14:textId="6ADDA7AF" w:rsidR="00B22388" w:rsidRPr="00544447" w:rsidRDefault="00CB3343" w:rsidP="009E6319">
      <w:pPr>
        <w:spacing w:after="0"/>
        <w:jc w:val="both"/>
      </w:pPr>
      <w:proofErr w:type="spellStart"/>
      <w:r>
        <w:t>BetterLife</w:t>
      </w:r>
      <w:r w:rsidRPr="008C48D8">
        <w:t>'s</w:t>
      </w:r>
      <w:proofErr w:type="spellEnd"/>
      <w:r w:rsidRPr="008C48D8">
        <w:t xml:space="preserve"> Chief Executive Officer, </w:t>
      </w:r>
      <w:r>
        <w:t>Dr. Ahmad Doroudian</w:t>
      </w:r>
      <w:r w:rsidR="009E6319">
        <w:t>,</w:t>
      </w:r>
      <w:r>
        <w:t xml:space="preserve"> stated that “we are very pleased </w:t>
      </w:r>
      <w:r w:rsidR="00046DEF">
        <w:t>with the results</w:t>
      </w:r>
      <w:r>
        <w:t xml:space="preserve"> </w:t>
      </w:r>
      <w:r w:rsidR="00046DEF">
        <w:t>from our preclinical animal stud</w:t>
      </w:r>
      <w:r w:rsidR="00E872CD">
        <w:t>y</w:t>
      </w:r>
      <w:r w:rsidR="00046DEF">
        <w:t xml:space="preserve"> </w:t>
      </w:r>
      <w:r>
        <w:t>demonstrating a favorable PK profile of BETR-001 in support of our IND and future clinical programs</w:t>
      </w:r>
      <w:r w:rsidR="00046DEF">
        <w:t xml:space="preserve"> in treatment of major depressive disorder and cluster headache patients. </w:t>
      </w:r>
      <w:r w:rsidR="009E6319">
        <w:t xml:space="preserve"> </w:t>
      </w:r>
      <w:r w:rsidR="00046116">
        <w:t xml:space="preserve">Although 2-bromo-LSD has been tested in rodents and human studies in the past, this is the first study to characterize </w:t>
      </w:r>
      <w:r w:rsidR="00CD3495">
        <w:t>the</w:t>
      </w:r>
      <w:r w:rsidR="00046116">
        <w:t xml:space="preserve"> </w:t>
      </w:r>
      <w:r w:rsidR="00CD3495">
        <w:t xml:space="preserve">brain </w:t>
      </w:r>
      <w:r w:rsidR="00544447">
        <w:t xml:space="preserve">and plasma </w:t>
      </w:r>
      <w:r w:rsidR="00046116">
        <w:t xml:space="preserve">PK profile. </w:t>
      </w:r>
      <w:r w:rsidR="00DF4D84">
        <w:t>T</w:t>
      </w:r>
      <w:r w:rsidR="00046116">
        <w:t xml:space="preserve">hese results </w:t>
      </w:r>
      <w:r w:rsidR="00DF4D84">
        <w:t xml:space="preserve">provide strong evidence that BETR-001, manufactured by our patented synthesis and formulation process can reach the target organ (brain) </w:t>
      </w:r>
      <w:r w:rsidR="003B1BA1">
        <w:t>and achieve the desired therapeutic range.</w:t>
      </w:r>
      <w:r w:rsidR="00375705">
        <w:t xml:space="preserve"> </w:t>
      </w:r>
      <w:r w:rsidR="00375705" w:rsidRPr="00544447">
        <w:rPr>
          <w:rFonts w:cstheme="minorHAnsi"/>
        </w:rPr>
        <w:t>These results will be part of BETR-001’s IND enabling non-clinical package that is currently under preparation.</w:t>
      </w:r>
      <w:r w:rsidR="003B1BA1">
        <w:t xml:space="preserve">” </w:t>
      </w:r>
    </w:p>
    <w:p w14:paraId="7A3B7004" w14:textId="77777777" w:rsidR="009E6319" w:rsidRDefault="009E6319" w:rsidP="009E6319">
      <w:pPr>
        <w:spacing w:after="0"/>
        <w:rPr>
          <w:b/>
          <w:bCs/>
        </w:rPr>
      </w:pPr>
      <w:r>
        <w:rPr>
          <w:b/>
          <w:bCs/>
        </w:rPr>
        <w:br w:type="page"/>
      </w:r>
    </w:p>
    <w:p w14:paraId="6D859EBC" w14:textId="1E889EA9" w:rsidR="002D37B3" w:rsidRDefault="002D37B3" w:rsidP="009E6319">
      <w:pPr>
        <w:spacing w:after="0"/>
        <w:jc w:val="both"/>
        <w:rPr>
          <w:b/>
          <w:bCs/>
        </w:rPr>
      </w:pPr>
      <w:r w:rsidRPr="008C48D8">
        <w:rPr>
          <w:b/>
          <w:bCs/>
        </w:rPr>
        <w:lastRenderedPageBreak/>
        <w:t xml:space="preserve">About </w:t>
      </w:r>
      <w:proofErr w:type="spellStart"/>
      <w:r>
        <w:rPr>
          <w:b/>
          <w:bCs/>
        </w:rPr>
        <w:t>BetterLife</w:t>
      </w:r>
      <w:proofErr w:type="spellEnd"/>
      <w:r>
        <w:rPr>
          <w:b/>
          <w:bCs/>
        </w:rPr>
        <w:t xml:space="preserve"> Pharma </w:t>
      </w:r>
    </w:p>
    <w:p w14:paraId="24DFA23C" w14:textId="77777777" w:rsidR="009E6319" w:rsidRDefault="009E6319" w:rsidP="009E6319">
      <w:pPr>
        <w:shd w:val="clear" w:color="auto" w:fill="FFFFFF"/>
        <w:spacing w:after="0" w:line="240" w:lineRule="auto"/>
        <w:jc w:val="both"/>
        <w:rPr>
          <w:rFonts w:eastAsia="Times New Roman" w:cstheme="minorHAnsi"/>
          <w:color w:val="1D2228"/>
          <w:lang w:eastAsia="en-GB"/>
        </w:rPr>
      </w:pPr>
      <w:bookmarkStart w:id="0" w:name="_Hlk61966932"/>
    </w:p>
    <w:p w14:paraId="351AF9D1" w14:textId="69275473" w:rsidR="0078624B" w:rsidRDefault="0078624B" w:rsidP="009E6319">
      <w:pPr>
        <w:shd w:val="clear" w:color="auto" w:fill="FFFFFF"/>
        <w:spacing w:after="0" w:line="240" w:lineRule="auto"/>
        <w:jc w:val="both"/>
        <w:rPr>
          <w:rFonts w:eastAsia="Times New Roman" w:cstheme="minorHAnsi"/>
          <w:color w:val="1D2228"/>
          <w:lang w:eastAsia="en-GB"/>
        </w:rPr>
      </w:pPr>
      <w:proofErr w:type="spellStart"/>
      <w:r w:rsidRPr="0078624B">
        <w:rPr>
          <w:rFonts w:eastAsia="Times New Roman" w:cstheme="minorHAnsi"/>
          <w:color w:val="1D2228"/>
          <w:lang w:eastAsia="en-GB"/>
        </w:rPr>
        <w:t>BetterLife</w:t>
      </w:r>
      <w:proofErr w:type="spellEnd"/>
      <w:r w:rsidRPr="0078624B">
        <w:rPr>
          <w:rFonts w:eastAsia="Times New Roman" w:cstheme="minorHAnsi"/>
          <w:color w:val="1D2228"/>
          <w:lang w:eastAsia="en-GB"/>
        </w:rPr>
        <w:t xml:space="preserve"> Pharma Inc. is an emerging biotechnology company primarily focused on developing and commercializing two compounds, </w:t>
      </w:r>
      <w:r>
        <w:rPr>
          <w:rFonts w:eastAsia="Times New Roman" w:cstheme="minorHAnsi"/>
          <w:color w:val="1D2228"/>
          <w:lang w:eastAsia="en-GB"/>
        </w:rPr>
        <w:t>BETR-001</w:t>
      </w:r>
      <w:r w:rsidRPr="0078624B">
        <w:rPr>
          <w:rFonts w:eastAsia="Times New Roman" w:cstheme="minorHAnsi"/>
          <w:color w:val="1D2228"/>
          <w:lang w:eastAsia="en-GB"/>
        </w:rPr>
        <w:t xml:space="preserve"> and </w:t>
      </w:r>
      <w:r>
        <w:rPr>
          <w:rFonts w:eastAsia="Times New Roman" w:cstheme="minorHAnsi"/>
          <w:color w:val="1D2228"/>
          <w:lang w:eastAsia="en-GB"/>
        </w:rPr>
        <w:t>BETR-002</w:t>
      </w:r>
      <w:r w:rsidRPr="0078624B">
        <w:rPr>
          <w:rFonts w:eastAsia="Times New Roman" w:cstheme="minorHAnsi"/>
          <w:color w:val="1D2228"/>
          <w:lang w:eastAsia="en-GB"/>
        </w:rPr>
        <w:t>, to treat neuro-psychiatric and neurological disorders.</w:t>
      </w:r>
    </w:p>
    <w:p w14:paraId="36FED467" w14:textId="77777777" w:rsidR="009E6319" w:rsidRPr="0078624B" w:rsidRDefault="009E6319" w:rsidP="009E6319">
      <w:pPr>
        <w:shd w:val="clear" w:color="auto" w:fill="FFFFFF"/>
        <w:spacing w:after="0" w:line="240" w:lineRule="auto"/>
        <w:jc w:val="both"/>
        <w:rPr>
          <w:rFonts w:eastAsia="Times New Roman" w:cstheme="minorHAnsi"/>
          <w:color w:val="1D2228"/>
          <w:lang w:eastAsia="en-GB"/>
        </w:rPr>
      </w:pPr>
    </w:p>
    <w:p w14:paraId="66EEA45C" w14:textId="325FA533" w:rsidR="0078624B" w:rsidRDefault="0078624B" w:rsidP="009E6319">
      <w:pPr>
        <w:shd w:val="clear" w:color="auto" w:fill="FFFFFF"/>
        <w:spacing w:after="0" w:line="240" w:lineRule="auto"/>
        <w:jc w:val="both"/>
        <w:rPr>
          <w:rFonts w:eastAsia="Times New Roman" w:cstheme="minorHAnsi"/>
          <w:color w:val="1D2228"/>
          <w:lang w:eastAsia="en-GB"/>
        </w:rPr>
      </w:pPr>
      <w:r>
        <w:rPr>
          <w:rFonts w:eastAsia="Times New Roman" w:cstheme="minorHAnsi"/>
          <w:color w:val="1D2228"/>
          <w:lang w:eastAsia="en-GB"/>
        </w:rPr>
        <w:t>BETR-001</w:t>
      </w:r>
      <w:r w:rsidR="00B22388">
        <w:rPr>
          <w:rFonts w:eastAsia="Times New Roman" w:cstheme="minorHAnsi"/>
          <w:color w:val="1D2228"/>
          <w:lang w:eastAsia="en-GB"/>
        </w:rPr>
        <w:t xml:space="preserve"> (formerly TD-0148A)</w:t>
      </w:r>
      <w:r w:rsidRPr="0078624B">
        <w:rPr>
          <w:rFonts w:eastAsia="Times New Roman" w:cstheme="minorHAnsi"/>
          <w:color w:val="1D2228"/>
          <w:lang w:eastAsia="en-GB"/>
        </w:rPr>
        <w:t xml:space="preserve">, which is in preclinical and IND-enabling studies, is a non-hallucinogenic and non-controlled LSD derivative in development and it is unique in that it is unregulated and therefore can be self-administered. </w:t>
      </w:r>
      <w:r w:rsidR="009E6319">
        <w:rPr>
          <w:rFonts w:eastAsia="Times New Roman" w:cstheme="minorHAnsi"/>
          <w:color w:val="1D2228"/>
          <w:lang w:eastAsia="en-GB"/>
        </w:rPr>
        <w:t xml:space="preserve"> </w:t>
      </w:r>
      <w:proofErr w:type="spellStart"/>
      <w:r w:rsidRPr="0078624B">
        <w:rPr>
          <w:rFonts w:eastAsia="Times New Roman" w:cstheme="minorHAnsi"/>
          <w:color w:val="1D2228"/>
          <w:lang w:eastAsia="en-GB"/>
        </w:rPr>
        <w:t>BetterLife’s</w:t>
      </w:r>
      <w:proofErr w:type="spellEnd"/>
      <w:r w:rsidRPr="0078624B">
        <w:rPr>
          <w:rFonts w:eastAsia="Times New Roman" w:cstheme="minorHAnsi"/>
          <w:color w:val="1D2228"/>
          <w:lang w:eastAsia="en-GB"/>
        </w:rPr>
        <w:t xml:space="preserve"> synthesis patent for </w:t>
      </w:r>
      <w:r>
        <w:rPr>
          <w:rFonts w:eastAsia="Times New Roman" w:cstheme="minorHAnsi"/>
          <w:color w:val="1D2228"/>
          <w:lang w:eastAsia="en-GB"/>
        </w:rPr>
        <w:t xml:space="preserve">BETR-001 </w:t>
      </w:r>
      <w:r w:rsidRPr="0078624B">
        <w:rPr>
          <w:rFonts w:eastAsia="Times New Roman" w:cstheme="minorHAnsi"/>
          <w:color w:val="1D2228"/>
          <w:lang w:eastAsia="en-GB"/>
        </w:rPr>
        <w:t xml:space="preserve">eliminates regulatory hurdles and its pending patent for composition and method of use covers treatment of depression, cluster headaches, post-traumatic stress disorder and other neuro-psychiatric and neurological disorders. The global depression drugs market reached US$12.41 billion in 2019 and </w:t>
      </w:r>
      <w:r w:rsidR="009E6319">
        <w:rPr>
          <w:rFonts w:eastAsia="Times New Roman" w:cstheme="minorHAnsi"/>
          <w:color w:val="1D2228"/>
          <w:lang w:eastAsia="en-GB"/>
        </w:rPr>
        <w:t xml:space="preserve">is </w:t>
      </w:r>
      <w:r w:rsidRPr="0078624B">
        <w:rPr>
          <w:rFonts w:eastAsia="Times New Roman" w:cstheme="minorHAnsi"/>
          <w:color w:val="1D2228"/>
          <w:lang w:eastAsia="en-GB"/>
        </w:rPr>
        <w:t>projected to reach near US$25 billion by 2030. According to the WHO, depression is one of the leading causes of disability, impacting approximately 265 million people in the world.</w:t>
      </w:r>
    </w:p>
    <w:p w14:paraId="1A51615B" w14:textId="77777777" w:rsidR="009E6319" w:rsidRPr="0078624B" w:rsidRDefault="009E6319" w:rsidP="009E6319">
      <w:pPr>
        <w:shd w:val="clear" w:color="auto" w:fill="FFFFFF"/>
        <w:spacing w:after="0" w:line="240" w:lineRule="auto"/>
        <w:jc w:val="both"/>
        <w:rPr>
          <w:rFonts w:eastAsia="Times New Roman" w:cstheme="minorHAnsi"/>
          <w:color w:val="1D2228"/>
          <w:lang w:eastAsia="en-GB"/>
        </w:rPr>
      </w:pPr>
    </w:p>
    <w:p w14:paraId="6C244AAA" w14:textId="3F10B301" w:rsidR="0078624B" w:rsidRDefault="0078624B" w:rsidP="009E6319">
      <w:pPr>
        <w:shd w:val="clear" w:color="auto" w:fill="FFFFFF"/>
        <w:spacing w:after="0" w:line="240" w:lineRule="auto"/>
        <w:jc w:val="both"/>
        <w:rPr>
          <w:rFonts w:eastAsia="Times New Roman" w:cstheme="minorHAnsi"/>
          <w:color w:val="1D2228"/>
          <w:lang w:eastAsia="en-GB"/>
        </w:rPr>
      </w:pPr>
      <w:r>
        <w:rPr>
          <w:rFonts w:eastAsia="Times New Roman" w:cstheme="minorHAnsi"/>
          <w:color w:val="1D2228"/>
          <w:lang w:eastAsia="en-GB"/>
        </w:rPr>
        <w:t>BETR-002</w:t>
      </w:r>
      <w:r w:rsidR="00B22388">
        <w:rPr>
          <w:rFonts w:eastAsia="Times New Roman" w:cstheme="minorHAnsi"/>
          <w:color w:val="1D2228"/>
          <w:lang w:eastAsia="en-GB"/>
        </w:rPr>
        <w:t xml:space="preserve"> (formerly TD-010)</w:t>
      </w:r>
      <w:r w:rsidRPr="0078624B">
        <w:rPr>
          <w:rFonts w:eastAsia="Times New Roman" w:cstheme="minorHAnsi"/>
          <w:color w:val="1D2228"/>
          <w:lang w:eastAsia="en-GB"/>
        </w:rPr>
        <w:t>, which is in preclinical and IND-enabling studies, is based on honokiol, the active anxiolytic ingredient of magnolia bark.</w:t>
      </w:r>
      <w:r w:rsidR="009E6319">
        <w:rPr>
          <w:rFonts w:eastAsia="Times New Roman" w:cstheme="minorHAnsi"/>
          <w:color w:val="1D2228"/>
          <w:lang w:eastAsia="en-GB"/>
        </w:rPr>
        <w:t xml:space="preserve"> </w:t>
      </w:r>
      <w:r w:rsidRPr="0078624B">
        <w:rPr>
          <w:rFonts w:eastAsia="Times New Roman" w:cstheme="minorHAnsi"/>
          <w:color w:val="1D2228"/>
          <w:lang w:eastAsia="en-GB"/>
        </w:rPr>
        <w:t xml:space="preserve"> </w:t>
      </w:r>
      <w:proofErr w:type="spellStart"/>
      <w:r w:rsidRPr="0078624B">
        <w:rPr>
          <w:rFonts w:eastAsia="Times New Roman" w:cstheme="minorHAnsi"/>
          <w:color w:val="1D2228"/>
          <w:lang w:eastAsia="en-GB"/>
        </w:rPr>
        <w:t>BetterLife’s</w:t>
      </w:r>
      <w:proofErr w:type="spellEnd"/>
      <w:r w:rsidRPr="0078624B">
        <w:rPr>
          <w:rFonts w:eastAsia="Times New Roman" w:cstheme="minorHAnsi"/>
          <w:color w:val="1D2228"/>
          <w:lang w:eastAsia="en-GB"/>
        </w:rPr>
        <w:t xml:space="preserve"> pending method of use and formulations patent covers treatment of anxiety related disorders including benzodiazepine dependency. The global benzodiazepines market is expected to grow to US$4.15 billion in 2017 (from US$3.48 billion in 2019) at a CAGR of 2.25%.</w:t>
      </w:r>
    </w:p>
    <w:p w14:paraId="7EB00A1F" w14:textId="77777777" w:rsidR="009E6319" w:rsidRPr="0078624B" w:rsidRDefault="009E6319" w:rsidP="009E6319">
      <w:pPr>
        <w:shd w:val="clear" w:color="auto" w:fill="FFFFFF"/>
        <w:spacing w:after="0" w:line="240" w:lineRule="auto"/>
        <w:jc w:val="both"/>
        <w:rPr>
          <w:rFonts w:eastAsia="Times New Roman" w:cstheme="minorHAnsi"/>
          <w:color w:val="1D2228"/>
          <w:lang w:eastAsia="en-GB"/>
        </w:rPr>
      </w:pPr>
    </w:p>
    <w:p w14:paraId="47515584" w14:textId="42814285" w:rsidR="0078624B" w:rsidRDefault="0078624B" w:rsidP="009E6319">
      <w:pPr>
        <w:shd w:val="clear" w:color="auto" w:fill="FFFFFF"/>
        <w:spacing w:after="0" w:line="240" w:lineRule="auto"/>
        <w:jc w:val="both"/>
        <w:rPr>
          <w:rFonts w:eastAsia="Times New Roman" w:cstheme="minorHAnsi"/>
          <w:color w:val="1D2228"/>
          <w:lang w:eastAsia="en-GB"/>
        </w:rPr>
      </w:pPr>
      <w:proofErr w:type="spellStart"/>
      <w:r w:rsidRPr="0078624B">
        <w:rPr>
          <w:rFonts w:eastAsia="Times New Roman" w:cstheme="minorHAnsi"/>
          <w:color w:val="1D2228"/>
          <w:lang w:eastAsia="en-GB"/>
        </w:rPr>
        <w:t>BetterLife</w:t>
      </w:r>
      <w:proofErr w:type="spellEnd"/>
      <w:r w:rsidRPr="0078624B">
        <w:rPr>
          <w:rFonts w:eastAsia="Times New Roman" w:cstheme="minorHAnsi"/>
          <w:color w:val="1D2228"/>
          <w:lang w:eastAsia="en-GB"/>
        </w:rPr>
        <w:t xml:space="preserve"> also owns a drug candidate for the treatment of viral infections</w:t>
      </w:r>
      <w:r w:rsidR="009E6319">
        <w:rPr>
          <w:rFonts w:eastAsia="Times New Roman" w:cstheme="minorHAnsi"/>
          <w:color w:val="1D2228"/>
          <w:lang w:eastAsia="en-GB"/>
        </w:rPr>
        <w:t>,</w:t>
      </w:r>
      <w:r w:rsidRPr="0078624B">
        <w:rPr>
          <w:rFonts w:eastAsia="Times New Roman" w:cstheme="minorHAnsi"/>
          <w:color w:val="1D2228"/>
          <w:lang w:eastAsia="en-GB"/>
        </w:rPr>
        <w:t xml:space="preserve"> such as COVID-19</w:t>
      </w:r>
      <w:r w:rsidR="009E6319">
        <w:rPr>
          <w:rFonts w:eastAsia="Times New Roman" w:cstheme="minorHAnsi"/>
          <w:color w:val="1D2228"/>
          <w:lang w:eastAsia="en-GB"/>
        </w:rPr>
        <w:t>,</w:t>
      </w:r>
      <w:r w:rsidRPr="0078624B">
        <w:rPr>
          <w:rFonts w:eastAsia="Times New Roman" w:cstheme="minorHAnsi"/>
          <w:color w:val="1D2228"/>
          <w:lang w:eastAsia="en-GB"/>
        </w:rPr>
        <w:t xml:space="preserve"> and is in the process of seeking strategic alternatives for further development.</w:t>
      </w:r>
    </w:p>
    <w:p w14:paraId="73E1BA83" w14:textId="77777777" w:rsidR="009E6319" w:rsidRPr="0078624B" w:rsidRDefault="009E6319" w:rsidP="009E6319">
      <w:pPr>
        <w:shd w:val="clear" w:color="auto" w:fill="FFFFFF"/>
        <w:spacing w:after="0" w:line="240" w:lineRule="auto"/>
        <w:jc w:val="both"/>
        <w:rPr>
          <w:rFonts w:eastAsia="Times New Roman" w:cstheme="minorHAnsi"/>
          <w:color w:val="1D2228"/>
          <w:lang w:eastAsia="en-GB"/>
        </w:rPr>
      </w:pPr>
    </w:p>
    <w:p w14:paraId="164A893D" w14:textId="15B3B305" w:rsidR="0078624B" w:rsidRPr="0078624B" w:rsidRDefault="0078624B" w:rsidP="009E6319">
      <w:pPr>
        <w:shd w:val="clear" w:color="auto" w:fill="FFFFFF"/>
        <w:spacing w:after="0" w:line="240" w:lineRule="auto"/>
        <w:jc w:val="both"/>
        <w:rPr>
          <w:rFonts w:eastAsia="Times New Roman" w:cstheme="minorHAnsi"/>
          <w:color w:val="1D2228"/>
          <w:lang w:eastAsia="en-GB"/>
        </w:rPr>
      </w:pPr>
      <w:r w:rsidRPr="0078624B">
        <w:rPr>
          <w:rFonts w:eastAsia="Times New Roman" w:cstheme="minorHAnsi"/>
          <w:color w:val="1D2228"/>
          <w:lang w:eastAsia="en-GB"/>
        </w:rPr>
        <w:t>For further information, please visit </w:t>
      </w:r>
      <w:proofErr w:type="spellStart"/>
      <w:r w:rsidR="003A00DA">
        <w:fldChar w:fldCharType="begin"/>
      </w:r>
      <w:r w:rsidR="003A00DA">
        <w:instrText xml:space="preserve"> HYPERLINK "https://www.globenewswire.com/Tracker?data=aU25jKqlDtamK6fS95JrlZnvnDahU-0FIrIgpdkXhxSzq-YVTXjKjYqyhrU3NKGjLQBYb9b5cS1eRQoTGOWIih5wfldnHfGml0zwzO0SvLk=" \t "_blank" </w:instrText>
      </w:r>
      <w:r w:rsidR="003A00DA">
        <w:fldChar w:fldCharType="separate"/>
      </w:r>
      <w:r w:rsidRPr="0078624B">
        <w:rPr>
          <w:rStyle w:val="Hyperlink"/>
          <w:rFonts w:eastAsia="Times New Roman" w:cstheme="minorHAnsi"/>
          <w:lang w:eastAsia="en-GB"/>
        </w:rPr>
        <w:t>BetterLifePharma</w:t>
      </w:r>
      <w:proofErr w:type="spellEnd"/>
      <w:r w:rsidRPr="0078624B">
        <w:rPr>
          <w:rStyle w:val="Hyperlink"/>
          <w:rFonts w:eastAsia="Times New Roman" w:cstheme="minorHAnsi"/>
          <w:lang w:eastAsia="en-GB"/>
        </w:rPr>
        <w:t> </w:t>
      </w:r>
      <w:r w:rsidR="003A00DA">
        <w:rPr>
          <w:rStyle w:val="Hyperlink"/>
          <w:rFonts w:eastAsia="Times New Roman" w:cstheme="minorHAnsi"/>
          <w:lang w:eastAsia="en-GB"/>
        </w:rPr>
        <w:fldChar w:fldCharType="end"/>
      </w:r>
      <w:r w:rsidRPr="0078624B">
        <w:rPr>
          <w:rFonts w:eastAsia="Times New Roman" w:cstheme="minorHAnsi"/>
          <w:color w:val="1D2228"/>
          <w:lang w:eastAsia="en-GB"/>
        </w:rPr>
        <w:t>.</w:t>
      </w:r>
    </w:p>
    <w:bookmarkEnd w:id="0"/>
    <w:p w14:paraId="47E3B4A5" w14:textId="35BD1765" w:rsidR="00D20F2E" w:rsidRDefault="00D20F2E" w:rsidP="009E6319">
      <w:pPr>
        <w:spacing w:after="0"/>
        <w:jc w:val="both"/>
        <w:rPr>
          <w:color w:val="333333"/>
        </w:rPr>
      </w:pPr>
    </w:p>
    <w:p w14:paraId="3237556F" w14:textId="77777777" w:rsidR="009E6319" w:rsidRPr="0063497C" w:rsidRDefault="009E6319" w:rsidP="009E6319">
      <w:pPr>
        <w:spacing w:after="0"/>
        <w:jc w:val="both"/>
        <w:rPr>
          <w:color w:val="333333"/>
        </w:rPr>
      </w:pPr>
    </w:p>
    <w:p w14:paraId="04DF89AC" w14:textId="1FB9219B" w:rsidR="002D37B3" w:rsidRPr="00296542" w:rsidRDefault="002D37B3" w:rsidP="009E6319">
      <w:pPr>
        <w:spacing w:after="0" w:line="240" w:lineRule="auto"/>
        <w:jc w:val="both"/>
        <w:rPr>
          <w:rFonts w:eastAsia="Times New Roman" w:cstheme="minorHAnsi"/>
          <w:lang w:val="en-CA"/>
        </w:rPr>
      </w:pPr>
      <w:r w:rsidRPr="00296542">
        <w:rPr>
          <w:rFonts w:eastAsia="Times New Roman" w:cstheme="minorHAnsi"/>
          <w:b/>
          <w:bCs/>
          <w:lang w:val="en-CA"/>
        </w:rPr>
        <w:t>Contact</w:t>
      </w:r>
      <w:r w:rsidR="009E6319">
        <w:rPr>
          <w:rFonts w:eastAsia="Times New Roman" w:cstheme="minorHAnsi"/>
          <w:b/>
          <w:bCs/>
          <w:lang w:val="en-CA"/>
        </w:rPr>
        <w:t xml:space="preserve"> Information</w:t>
      </w:r>
    </w:p>
    <w:p w14:paraId="46F53E75" w14:textId="77777777" w:rsidR="009E6319" w:rsidRDefault="009E6319" w:rsidP="009E6319">
      <w:pPr>
        <w:shd w:val="clear" w:color="auto" w:fill="FFFFFF"/>
        <w:spacing w:after="0" w:line="240" w:lineRule="auto"/>
        <w:jc w:val="both"/>
        <w:rPr>
          <w:rFonts w:ascii="Source Sans Pro" w:eastAsia="Times New Roman" w:hAnsi="Source Sans Pro" w:cstheme="minorHAnsi"/>
          <w:sz w:val="24"/>
          <w:szCs w:val="24"/>
          <w:lang w:val="en-CA" w:eastAsia="en-AU"/>
        </w:rPr>
      </w:pPr>
    </w:p>
    <w:p w14:paraId="221D1CF7" w14:textId="77777777" w:rsidR="009E6319" w:rsidRPr="00AD6E31" w:rsidRDefault="009E6319" w:rsidP="009E6319">
      <w:pPr>
        <w:shd w:val="clear" w:color="auto" w:fill="FFFFFF"/>
        <w:spacing w:after="0" w:line="240" w:lineRule="auto"/>
        <w:rPr>
          <w:rFonts w:eastAsia="Times New Roman" w:cstheme="minorHAnsi"/>
          <w:lang w:val="en-AU" w:eastAsia="en-AU"/>
        </w:rPr>
      </w:pPr>
      <w:r w:rsidRPr="00AD6E31">
        <w:rPr>
          <w:rFonts w:eastAsia="Times New Roman" w:cstheme="minorHAnsi"/>
          <w:lang w:val="en-AU" w:eastAsia="en-AU"/>
        </w:rPr>
        <w:t>David Melles, Investor Relations Manager</w:t>
      </w:r>
    </w:p>
    <w:p w14:paraId="51ECE767" w14:textId="77777777" w:rsidR="009E6319" w:rsidRPr="00AD6E31" w:rsidRDefault="009E6319" w:rsidP="009E6319">
      <w:pPr>
        <w:shd w:val="clear" w:color="auto" w:fill="FFFFFF"/>
        <w:spacing w:after="0" w:line="240" w:lineRule="auto"/>
        <w:rPr>
          <w:rFonts w:eastAsia="Times New Roman" w:cstheme="minorHAnsi"/>
          <w:lang w:val="en-AU" w:eastAsia="en-AU"/>
        </w:rPr>
      </w:pPr>
      <w:r w:rsidRPr="00AD6E31">
        <w:rPr>
          <w:rFonts w:eastAsia="Times New Roman" w:cstheme="minorHAnsi"/>
          <w:lang w:val="en-AU" w:eastAsia="en-AU"/>
        </w:rPr>
        <w:t xml:space="preserve">Email: </w:t>
      </w:r>
      <w:hyperlink r:id="rId9" w:history="1">
        <w:r w:rsidRPr="00AD6E31">
          <w:rPr>
            <w:rStyle w:val="Hyperlink"/>
            <w:rFonts w:eastAsia="Times New Roman" w:cstheme="minorHAnsi"/>
            <w:lang w:val="en-AU" w:eastAsia="en-AU"/>
          </w:rPr>
          <w:t>David.Melles@blifepharma.com</w:t>
        </w:r>
      </w:hyperlink>
    </w:p>
    <w:p w14:paraId="0179EE8F" w14:textId="77777777" w:rsidR="009E6319" w:rsidRDefault="009E6319" w:rsidP="009E6319">
      <w:pPr>
        <w:shd w:val="clear" w:color="auto" w:fill="FFFFFF"/>
        <w:spacing w:after="0" w:line="240" w:lineRule="auto"/>
        <w:rPr>
          <w:rFonts w:eastAsia="Times New Roman" w:cstheme="minorHAnsi"/>
          <w:b/>
          <w:bCs/>
          <w:lang w:val="en-AU" w:eastAsia="en-AU"/>
        </w:rPr>
      </w:pPr>
      <w:r w:rsidRPr="00AD6E31">
        <w:rPr>
          <w:rFonts w:eastAsia="Times New Roman" w:cstheme="minorHAnsi"/>
          <w:lang w:val="en-AU" w:eastAsia="en-AU"/>
        </w:rPr>
        <w:t>Phone: 1-778-887-1928</w:t>
      </w:r>
      <w:r w:rsidR="002D37B3" w:rsidRPr="00D20F2E">
        <w:rPr>
          <w:rFonts w:ascii="Source Sans Pro" w:eastAsia="Times New Roman" w:hAnsi="Source Sans Pro" w:cstheme="minorHAnsi"/>
          <w:sz w:val="24"/>
          <w:szCs w:val="24"/>
          <w:lang w:val="en-CA" w:eastAsia="en-AU"/>
        </w:rPr>
        <w:br/>
      </w:r>
    </w:p>
    <w:p w14:paraId="24E92097" w14:textId="77777777" w:rsidR="00D20F2E" w:rsidRPr="00296542" w:rsidRDefault="00D20F2E" w:rsidP="009E6319">
      <w:pPr>
        <w:spacing w:after="0" w:line="240" w:lineRule="auto"/>
        <w:jc w:val="both"/>
        <w:rPr>
          <w:rFonts w:eastAsia="Times New Roman" w:cstheme="minorHAnsi"/>
          <w:b/>
          <w:bCs/>
        </w:rPr>
      </w:pPr>
    </w:p>
    <w:p w14:paraId="1E940185" w14:textId="77777777" w:rsidR="00D20F2E" w:rsidRPr="00296542" w:rsidRDefault="00D20F2E" w:rsidP="009E6319">
      <w:pPr>
        <w:spacing w:after="0" w:line="240" w:lineRule="auto"/>
        <w:jc w:val="both"/>
        <w:rPr>
          <w:rFonts w:eastAsia="Times New Roman" w:cstheme="minorHAnsi"/>
          <w:b/>
          <w:bCs/>
        </w:rPr>
      </w:pPr>
      <w:r w:rsidRPr="00296542">
        <w:rPr>
          <w:rFonts w:eastAsia="Times New Roman" w:cstheme="minorHAnsi"/>
          <w:b/>
          <w:bCs/>
        </w:rPr>
        <w:t>Cautionary Note Regarding Forward-Looking Statements</w:t>
      </w:r>
    </w:p>
    <w:p w14:paraId="2F0B1BCA" w14:textId="77777777" w:rsidR="00D20F2E" w:rsidRPr="00296542" w:rsidRDefault="00D20F2E" w:rsidP="009E6319">
      <w:pPr>
        <w:spacing w:after="0" w:line="240" w:lineRule="auto"/>
        <w:jc w:val="both"/>
        <w:rPr>
          <w:rFonts w:eastAsia="Times New Roman" w:cstheme="minorHAnsi"/>
        </w:rPr>
      </w:pPr>
    </w:p>
    <w:p w14:paraId="5835F15E" w14:textId="77777777" w:rsidR="008F1A70" w:rsidRPr="00147EC5" w:rsidRDefault="008F1A70" w:rsidP="009E6319">
      <w:pPr>
        <w:spacing w:after="0" w:line="240" w:lineRule="auto"/>
        <w:ind w:right="26"/>
        <w:jc w:val="both"/>
        <w:rPr>
          <w:rFonts w:eastAsia="Arial" w:cstheme="minorHAnsi"/>
        </w:rPr>
      </w:pPr>
      <w:r w:rsidRPr="00147EC5">
        <w:rPr>
          <w:rFonts w:eastAsia="Arial" w:cstheme="minorHAnsi"/>
        </w:rPr>
        <w:t xml:space="preserve">No </w:t>
      </w:r>
      <w:r>
        <w:rPr>
          <w:rFonts w:eastAsia="Arial" w:cstheme="minorHAnsi"/>
        </w:rPr>
        <w:t>s</w:t>
      </w:r>
      <w:r w:rsidRPr="00147EC5">
        <w:rPr>
          <w:rFonts w:eastAsia="Arial" w:cstheme="minorHAnsi"/>
        </w:rPr>
        <w:t xml:space="preserve">ecurities </w:t>
      </w:r>
      <w:r>
        <w:rPr>
          <w:rFonts w:eastAsia="Arial" w:cstheme="minorHAnsi"/>
        </w:rPr>
        <w:t>e</w:t>
      </w:r>
      <w:r w:rsidRPr="00147EC5">
        <w:rPr>
          <w:rFonts w:eastAsia="Arial" w:cstheme="minorHAnsi"/>
        </w:rPr>
        <w:t xml:space="preserv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w:t>
      </w:r>
      <w:r w:rsidRPr="00147EC5">
        <w:rPr>
          <w:rFonts w:eastAsia="Arial" w:cstheme="minorHAnsi"/>
        </w:rPr>
        <w:lastRenderedPageBreak/>
        <w:t>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28798CF3" w14:textId="77777777" w:rsidR="008F1A70" w:rsidRPr="00147EC5" w:rsidRDefault="008F1A70" w:rsidP="008F1A70">
      <w:pPr>
        <w:jc w:val="both"/>
        <w:rPr>
          <w:rFonts w:cstheme="minorHAnsi"/>
          <w:color w:val="1D2228"/>
          <w:shd w:val="clear" w:color="auto" w:fill="FFFFFF"/>
        </w:rPr>
      </w:pPr>
    </w:p>
    <w:p w14:paraId="5A210C09" w14:textId="77777777" w:rsidR="00E12444" w:rsidRPr="00C075A9" w:rsidRDefault="008C48D8" w:rsidP="00E12444">
      <w:pPr>
        <w:rPr>
          <w:rFonts w:cstheme="minorHAnsi"/>
        </w:rPr>
      </w:pPr>
      <w:r w:rsidRPr="00C075A9">
        <w:rPr>
          <w:rFonts w:cstheme="minorHAnsi"/>
        </w:rPr>
        <w:t xml:space="preserve"> </w:t>
      </w:r>
    </w:p>
    <w:sectPr w:rsidR="00E12444" w:rsidRPr="00C0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C732D"/>
    <w:multiLevelType w:val="hybridMultilevel"/>
    <w:tmpl w:val="933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LS0MDEzMzQyMTdT0lEKTi0uzszPAykwrAUA28hbUywAAAA="/>
  </w:docVars>
  <w:rsids>
    <w:rsidRoot w:val="0012684A"/>
    <w:rsid w:val="000019E6"/>
    <w:rsid w:val="00046116"/>
    <w:rsid w:val="00046DEF"/>
    <w:rsid w:val="0005092B"/>
    <w:rsid w:val="000A2A85"/>
    <w:rsid w:val="000B4C9B"/>
    <w:rsid w:val="000C3EC9"/>
    <w:rsid w:val="00101FC8"/>
    <w:rsid w:val="001079E0"/>
    <w:rsid w:val="0012684A"/>
    <w:rsid w:val="00150053"/>
    <w:rsid w:val="0016369E"/>
    <w:rsid w:val="00194ACB"/>
    <w:rsid w:val="002100C8"/>
    <w:rsid w:val="002252A0"/>
    <w:rsid w:val="00231A31"/>
    <w:rsid w:val="00244E7B"/>
    <w:rsid w:val="002566BE"/>
    <w:rsid w:val="00273F89"/>
    <w:rsid w:val="00296542"/>
    <w:rsid w:val="002D37B3"/>
    <w:rsid w:val="002F5617"/>
    <w:rsid w:val="00315C3D"/>
    <w:rsid w:val="00320EDE"/>
    <w:rsid w:val="00375705"/>
    <w:rsid w:val="003A00DA"/>
    <w:rsid w:val="003B1BA1"/>
    <w:rsid w:val="00455C1F"/>
    <w:rsid w:val="00456CAC"/>
    <w:rsid w:val="004B5C72"/>
    <w:rsid w:val="004E0743"/>
    <w:rsid w:val="004E0752"/>
    <w:rsid w:val="00501475"/>
    <w:rsid w:val="00532DAB"/>
    <w:rsid w:val="00544447"/>
    <w:rsid w:val="00596CDE"/>
    <w:rsid w:val="005C6681"/>
    <w:rsid w:val="006240C1"/>
    <w:rsid w:val="0063497C"/>
    <w:rsid w:val="00670861"/>
    <w:rsid w:val="00692829"/>
    <w:rsid w:val="006A7F8D"/>
    <w:rsid w:val="00714774"/>
    <w:rsid w:val="00736A40"/>
    <w:rsid w:val="00752655"/>
    <w:rsid w:val="007667FA"/>
    <w:rsid w:val="007700C3"/>
    <w:rsid w:val="0078624B"/>
    <w:rsid w:val="007A11E0"/>
    <w:rsid w:val="007C5DAE"/>
    <w:rsid w:val="007E01A8"/>
    <w:rsid w:val="008018C6"/>
    <w:rsid w:val="00805B97"/>
    <w:rsid w:val="00815BE2"/>
    <w:rsid w:val="0082253B"/>
    <w:rsid w:val="008351B4"/>
    <w:rsid w:val="00884707"/>
    <w:rsid w:val="008A2FE0"/>
    <w:rsid w:val="008C48D8"/>
    <w:rsid w:val="008C49F6"/>
    <w:rsid w:val="008D1EB5"/>
    <w:rsid w:val="008D3A18"/>
    <w:rsid w:val="008F09AB"/>
    <w:rsid w:val="008F1A70"/>
    <w:rsid w:val="00912588"/>
    <w:rsid w:val="00927872"/>
    <w:rsid w:val="00961A30"/>
    <w:rsid w:val="009628B7"/>
    <w:rsid w:val="00975625"/>
    <w:rsid w:val="009900BB"/>
    <w:rsid w:val="009A3BC4"/>
    <w:rsid w:val="009B1E44"/>
    <w:rsid w:val="009E6319"/>
    <w:rsid w:val="00A079A0"/>
    <w:rsid w:val="00A108F1"/>
    <w:rsid w:val="00A70499"/>
    <w:rsid w:val="00A85A10"/>
    <w:rsid w:val="00AD55F7"/>
    <w:rsid w:val="00AE0DC0"/>
    <w:rsid w:val="00AF3F40"/>
    <w:rsid w:val="00B11474"/>
    <w:rsid w:val="00B22388"/>
    <w:rsid w:val="00B46F02"/>
    <w:rsid w:val="00B6178B"/>
    <w:rsid w:val="00B85E81"/>
    <w:rsid w:val="00BA1CD9"/>
    <w:rsid w:val="00BB40A6"/>
    <w:rsid w:val="00BC53DC"/>
    <w:rsid w:val="00C075A9"/>
    <w:rsid w:val="00C241EC"/>
    <w:rsid w:val="00C41769"/>
    <w:rsid w:val="00C41C99"/>
    <w:rsid w:val="00C41CF9"/>
    <w:rsid w:val="00C76B89"/>
    <w:rsid w:val="00C92557"/>
    <w:rsid w:val="00CB3343"/>
    <w:rsid w:val="00CB6BA0"/>
    <w:rsid w:val="00CD26C6"/>
    <w:rsid w:val="00CD3495"/>
    <w:rsid w:val="00CD5197"/>
    <w:rsid w:val="00CE3417"/>
    <w:rsid w:val="00CF2363"/>
    <w:rsid w:val="00D20F2E"/>
    <w:rsid w:val="00D332F3"/>
    <w:rsid w:val="00D44521"/>
    <w:rsid w:val="00D55C76"/>
    <w:rsid w:val="00D713FC"/>
    <w:rsid w:val="00D9154D"/>
    <w:rsid w:val="00D93DA2"/>
    <w:rsid w:val="00D9732C"/>
    <w:rsid w:val="00DA36FF"/>
    <w:rsid w:val="00DA436D"/>
    <w:rsid w:val="00DA5FCD"/>
    <w:rsid w:val="00DB03FF"/>
    <w:rsid w:val="00DB789F"/>
    <w:rsid w:val="00DF4D84"/>
    <w:rsid w:val="00DF548C"/>
    <w:rsid w:val="00E12444"/>
    <w:rsid w:val="00E223D7"/>
    <w:rsid w:val="00E26567"/>
    <w:rsid w:val="00E75D7C"/>
    <w:rsid w:val="00E872CD"/>
    <w:rsid w:val="00EA4116"/>
    <w:rsid w:val="00EB1785"/>
    <w:rsid w:val="00EB34DB"/>
    <w:rsid w:val="00EF460C"/>
    <w:rsid w:val="00EF70B2"/>
    <w:rsid w:val="00F17B2B"/>
    <w:rsid w:val="00F31C06"/>
    <w:rsid w:val="00F40627"/>
    <w:rsid w:val="00F8396C"/>
    <w:rsid w:val="00F875AA"/>
    <w:rsid w:val="00F93B44"/>
    <w:rsid w:val="00FA235C"/>
    <w:rsid w:val="00FD1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24C"/>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D37B3"/>
    <w:rPr>
      <w:color w:val="605E5C"/>
      <w:shd w:val="clear" w:color="auto" w:fill="E1DFDD"/>
    </w:rPr>
  </w:style>
  <w:style w:type="character" w:styleId="CommentReference">
    <w:name w:val="annotation reference"/>
    <w:basedOn w:val="DefaultParagraphFont"/>
    <w:uiPriority w:val="99"/>
    <w:semiHidden/>
    <w:unhideWhenUsed/>
    <w:rsid w:val="006240C1"/>
    <w:rPr>
      <w:sz w:val="16"/>
      <w:szCs w:val="16"/>
    </w:rPr>
  </w:style>
  <w:style w:type="paragraph" w:styleId="CommentText">
    <w:name w:val="annotation text"/>
    <w:basedOn w:val="Normal"/>
    <w:link w:val="CommentTextChar"/>
    <w:uiPriority w:val="99"/>
    <w:semiHidden/>
    <w:unhideWhenUsed/>
    <w:rsid w:val="006240C1"/>
    <w:pPr>
      <w:spacing w:line="240" w:lineRule="auto"/>
    </w:pPr>
    <w:rPr>
      <w:sz w:val="20"/>
      <w:szCs w:val="20"/>
    </w:rPr>
  </w:style>
  <w:style w:type="character" w:customStyle="1" w:styleId="CommentTextChar">
    <w:name w:val="Comment Text Char"/>
    <w:basedOn w:val="DefaultParagraphFont"/>
    <w:link w:val="CommentText"/>
    <w:uiPriority w:val="99"/>
    <w:semiHidden/>
    <w:rsid w:val="006240C1"/>
    <w:rPr>
      <w:sz w:val="20"/>
      <w:szCs w:val="20"/>
    </w:rPr>
  </w:style>
  <w:style w:type="paragraph" w:styleId="CommentSubject">
    <w:name w:val="annotation subject"/>
    <w:basedOn w:val="CommentText"/>
    <w:next w:val="CommentText"/>
    <w:link w:val="CommentSubjectChar"/>
    <w:uiPriority w:val="99"/>
    <w:semiHidden/>
    <w:unhideWhenUsed/>
    <w:rsid w:val="006240C1"/>
    <w:rPr>
      <w:b/>
      <w:bCs/>
    </w:rPr>
  </w:style>
  <w:style w:type="character" w:customStyle="1" w:styleId="CommentSubjectChar">
    <w:name w:val="Comment Subject Char"/>
    <w:basedOn w:val="CommentTextChar"/>
    <w:link w:val="CommentSubject"/>
    <w:uiPriority w:val="99"/>
    <w:semiHidden/>
    <w:rsid w:val="006240C1"/>
    <w:rPr>
      <w:b/>
      <w:bCs/>
      <w:sz w:val="20"/>
      <w:szCs w:val="20"/>
    </w:rPr>
  </w:style>
  <w:style w:type="character" w:styleId="UnresolvedMention">
    <w:name w:val="Unresolved Mention"/>
    <w:basedOn w:val="DefaultParagraphFont"/>
    <w:uiPriority w:val="99"/>
    <w:semiHidden/>
    <w:unhideWhenUsed/>
    <w:rsid w:val="0063497C"/>
    <w:rPr>
      <w:color w:val="605E5C"/>
      <w:shd w:val="clear" w:color="auto" w:fill="E1DFDD"/>
    </w:rPr>
  </w:style>
  <w:style w:type="paragraph" w:styleId="Revision">
    <w:name w:val="Revision"/>
    <w:hidden/>
    <w:uiPriority w:val="99"/>
    <w:semiHidden/>
    <w:rsid w:val="00455C1F"/>
    <w:pPr>
      <w:spacing w:after="0" w:line="240" w:lineRule="auto"/>
    </w:pPr>
  </w:style>
  <w:style w:type="paragraph" w:styleId="ListParagraph">
    <w:name w:val="List Paragraph"/>
    <w:basedOn w:val="Normal"/>
    <w:uiPriority w:val="34"/>
    <w:qFormat/>
    <w:rsid w:val="00C2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egate.de/orderbuch.php?lang=en&amp;isin=CA08772P2026" TargetMode="External"/><Relationship Id="rId3" Type="http://schemas.openxmlformats.org/officeDocument/2006/relationships/settings" Target="settings.xml"/><Relationship Id="rId7" Type="http://schemas.openxmlformats.org/officeDocument/2006/relationships/hyperlink" Target="https://www.otcmarkets.com/stock/BETRF/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se.com/en/listings/life-sciences/betterlife-pharma-in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id.Melles@blifepha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Moira Ong</cp:lastModifiedBy>
  <cp:revision>3</cp:revision>
  <dcterms:created xsi:type="dcterms:W3CDTF">2022-03-15T15:16:00Z</dcterms:created>
  <dcterms:modified xsi:type="dcterms:W3CDTF">2022-03-15T16:30:00Z</dcterms:modified>
</cp:coreProperties>
</file>