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2EA5" w14:textId="5D4DBECB" w:rsidR="000E0557" w:rsidRPr="000E0557" w:rsidRDefault="00C60A4F" w:rsidP="001635F3">
      <w:pPr>
        <w:jc w:val="center"/>
        <w:rPr>
          <w:rFonts w:ascii="Arial" w:hAnsi="Arial"/>
          <w:b/>
        </w:rPr>
      </w:pPr>
      <w:r>
        <w:rPr>
          <w:rFonts w:ascii="Arial" w:hAnsi="Arial"/>
          <w:b/>
        </w:rPr>
        <w:t>Rockland Resources</w:t>
      </w:r>
      <w:r w:rsidR="000E0557">
        <w:rPr>
          <w:rFonts w:ascii="Arial" w:hAnsi="Arial"/>
          <w:b/>
        </w:rPr>
        <w:t xml:space="preserve"> Inc.</w:t>
      </w:r>
    </w:p>
    <w:p w14:paraId="23ED3B8C" w14:textId="77777777" w:rsidR="001635F3" w:rsidRPr="001635F3" w:rsidRDefault="000E0557" w:rsidP="001635F3">
      <w:pPr>
        <w:jc w:val="center"/>
        <w:rPr>
          <w:rFonts w:ascii="Arial" w:hAnsi="Arial"/>
        </w:rPr>
      </w:pPr>
      <w:r>
        <w:rPr>
          <w:rFonts w:ascii="Arial" w:hAnsi="Arial"/>
        </w:rPr>
        <w:t>Suite 1240 - 789 West Pender Street</w:t>
      </w:r>
    </w:p>
    <w:p w14:paraId="5F1227E6" w14:textId="77777777" w:rsidR="006C7868" w:rsidRPr="001635F3" w:rsidRDefault="001635F3" w:rsidP="001635F3">
      <w:pPr>
        <w:jc w:val="center"/>
        <w:rPr>
          <w:rFonts w:ascii="Arial" w:hAnsi="Arial"/>
        </w:rPr>
      </w:pPr>
      <w:r w:rsidRPr="001635F3">
        <w:rPr>
          <w:rFonts w:ascii="Arial" w:hAnsi="Arial"/>
        </w:rPr>
        <w:t>Vancouver</w:t>
      </w:r>
      <w:r w:rsidR="00A12E6C" w:rsidRPr="001635F3">
        <w:rPr>
          <w:rFonts w:ascii="Arial" w:hAnsi="Arial"/>
        </w:rPr>
        <w:t xml:space="preserve">, </w:t>
      </w:r>
      <w:r w:rsidR="006C7868" w:rsidRPr="001635F3">
        <w:rPr>
          <w:rFonts w:ascii="Arial" w:hAnsi="Arial"/>
        </w:rPr>
        <w:t xml:space="preserve">British Columbia, Canada </w:t>
      </w:r>
      <w:r w:rsidR="000E0557">
        <w:rPr>
          <w:rFonts w:ascii="Arial" w:hAnsi="Arial"/>
        </w:rPr>
        <w:t>V6C 1H2</w:t>
      </w:r>
    </w:p>
    <w:p w14:paraId="56918BAE" w14:textId="77777777" w:rsidR="006C7868" w:rsidRPr="001635F3" w:rsidRDefault="006C7868" w:rsidP="001635F3">
      <w:pPr>
        <w:jc w:val="center"/>
        <w:rPr>
          <w:rFonts w:ascii="Arial" w:hAnsi="Arial"/>
        </w:rPr>
      </w:pPr>
      <w:r w:rsidRPr="001635F3">
        <w:rPr>
          <w:rFonts w:ascii="Arial" w:hAnsi="Arial"/>
        </w:rPr>
        <w:t>Telephone (</w:t>
      </w:r>
      <w:r w:rsidR="004F5F76">
        <w:rPr>
          <w:rFonts w:ascii="Arial" w:hAnsi="Arial"/>
        </w:rPr>
        <w:t>604</w:t>
      </w:r>
      <w:r w:rsidR="00746B85">
        <w:rPr>
          <w:rFonts w:ascii="Arial" w:hAnsi="Arial"/>
        </w:rPr>
        <w:t>)</w:t>
      </w:r>
      <w:r w:rsidR="00746B85" w:rsidRPr="00746B85">
        <w:rPr>
          <w:rFonts w:ascii="Arial" w:hAnsi="Arial"/>
        </w:rPr>
        <w:t xml:space="preserve"> </w:t>
      </w:r>
      <w:r w:rsidR="004F5F76">
        <w:rPr>
          <w:rFonts w:ascii="Arial" w:hAnsi="Arial"/>
        </w:rPr>
        <w:t>683-3995</w:t>
      </w:r>
    </w:p>
    <w:p w14:paraId="28A865FC" w14:textId="77777777" w:rsidR="00CA3F36" w:rsidRDefault="00CA3F36">
      <w:pPr>
        <w:rPr>
          <w:rFonts w:ascii="Arial" w:hAnsi="Arial"/>
          <w:sz w:val="24"/>
        </w:rPr>
      </w:pPr>
    </w:p>
    <w:p w14:paraId="5F5D2ADE" w14:textId="77777777" w:rsidR="006C7868" w:rsidRPr="006C7868" w:rsidRDefault="006C7868">
      <w:pPr>
        <w:pStyle w:val="Heading2"/>
        <w:rPr>
          <w:rFonts w:ascii="Arial" w:hAnsi="Arial"/>
          <w:sz w:val="22"/>
          <w:szCs w:val="22"/>
        </w:rPr>
      </w:pPr>
    </w:p>
    <w:p w14:paraId="14427AF1" w14:textId="21C9CE86" w:rsidR="006C7868" w:rsidRPr="006C7868" w:rsidRDefault="008C1FA3" w:rsidP="006C7868">
      <w:pPr>
        <w:rPr>
          <w:rFonts w:ascii="Arial" w:hAnsi="Arial" w:cs="Arial"/>
          <w:sz w:val="24"/>
          <w:szCs w:val="24"/>
        </w:rPr>
      </w:pPr>
      <w:r>
        <w:rPr>
          <w:rFonts w:ascii="Arial" w:hAnsi="Arial" w:cs="Arial"/>
          <w:sz w:val="24"/>
          <w:szCs w:val="24"/>
        </w:rPr>
        <w:t>March 10</w:t>
      </w:r>
      <w:r w:rsidR="00626075" w:rsidRPr="00D12C5A">
        <w:rPr>
          <w:rFonts w:ascii="Arial" w:hAnsi="Arial" w:cs="Arial"/>
          <w:sz w:val="24"/>
          <w:szCs w:val="24"/>
        </w:rPr>
        <w:t>, 202</w:t>
      </w:r>
      <w:r w:rsidR="00B37599">
        <w:rPr>
          <w:rFonts w:ascii="Arial" w:hAnsi="Arial" w:cs="Arial"/>
          <w:sz w:val="24"/>
          <w:szCs w:val="24"/>
        </w:rPr>
        <w:t>2</w:t>
      </w:r>
    </w:p>
    <w:p w14:paraId="55731F6E" w14:textId="77777777" w:rsidR="006C7868" w:rsidRDefault="006C7868">
      <w:pPr>
        <w:pStyle w:val="Heading2"/>
        <w:rPr>
          <w:rFonts w:ascii="Arial" w:hAnsi="Arial"/>
        </w:rPr>
      </w:pPr>
    </w:p>
    <w:p w14:paraId="3C899B6C" w14:textId="77777777" w:rsidR="00CA3F36" w:rsidRDefault="006C7868">
      <w:pPr>
        <w:pStyle w:val="Heading2"/>
        <w:rPr>
          <w:rFonts w:ascii="Arial" w:hAnsi="Arial"/>
        </w:rPr>
      </w:pPr>
      <w:r>
        <w:rPr>
          <w:rFonts w:ascii="Arial" w:hAnsi="Arial"/>
        </w:rPr>
        <w:t xml:space="preserve">Canadian Securities </w:t>
      </w:r>
      <w:r w:rsidR="00D71C24">
        <w:rPr>
          <w:rFonts w:ascii="Arial" w:hAnsi="Arial"/>
        </w:rPr>
        <w:t>Exchange</w:t>
      </w:r>
    </w:p>
    <w:p w14:paraId="061C5D9F" w14:textId="77777777" w:rsidR="001538E1" w:rsidRDefault="006C7868">
      <w:pPr>
        <w:rPr>
          <w:rFonts w:ascii="Arial" w:hAnsi="Arial"/>
          <w:sz w:val="24"/>
        </w:rPr>
      </w:pPr>
      <w:r>
        <w:rPr>
          <w:rFonts w:ascii="Arial" w:hAnsi="Arial"/>
          <w:sz w:val="24"/>
        </w:rPr>
        <w:t xml:space="preserve">220 Bay Street, </w:t>
      </w:r>
      <w:r w:rsidR="001538E1">
        <w:rPr>
          <w:rFonts w:ascii="Arial" w:hAnsi="Arial"/>
          <w:sz w:val="24"/>
        </w:rPr>
        <w:t>9</w:t>
      </w:r>
      <w:r w:rsidR="001538E1" w:rsidRPr="001538E1">
        <w:rPr>
          <w:rFonts w:ascii="Arial" w:hAnsi="Arial"/>
          <w:sz w:val="24"/>
          <w:vertAlign w:val="superscript"/>
        </w:rPr>
        <w:t>th</w:t>
      </w:r>
      <w:r w:rsidR="001538E1">
        <w:rPr>
          <w:rFonts w:ascii="Arial" w:hAnsi="Arial"/>
          <w:sz w:val="24"/>
        </w:rPr>
        <w:t xml:space="preserve"> Floor</w:t>
      </w:r>
    </w:p>
    <w:p w14:paraId="09405902" w14:textId="77777777" w:rsidR="001538E1" w:rsidRDefault="001538E1">
      <w:pPr>
        <w:rPr>
          <w:rFonts w:ascii="Arial" w:hAnsi="Arial"/>
          <w:sz w:val="24"/>
        </w:rPr>
      </w:pPr>
      <w:r>
        <w:rPr>
          <w:rFonts w:ascii="Arial" w:hAnsi="Arial"/>
          <w:sz w:val="24"/>
        </w:rPr>
        <w:t xml:space="preserve">Toronto, </w:t>
      </w:r>
      <w:proofErr w:type="gramStart"/>
      <w:r>
        <w:rPr>
          <w:rFonts w:ascii="Arial" w:hAnsi="Arial"/>
          <w:sz w:val="24"/>
        </w:rPr>
        <w:t>Ontario</w:t>
      </w:r>
      <w:r w:rsidR="001635F3">
        <w:rPr>
          <w:rFonts w:ascii="Arial" w:hAnsi="Arial"/>
          <w:sz w:val="24"/>
        </w:rPr>
        <w:t xml:space="preserve">  </w:t>
      </w:r>
      <w:r>
        <w:rPr>
          <w:rFonts w:ascii="Arial" w:hAnsi="Arial"/>
          <w:sz w:val="24"/>
        </w:rPr>
        <w:t>M</w:t>
      </w:r>
      <w:proofErr w:type="gramEnd"/>
      <w:r>
        <w:rPr>
          <w:rFonts w:ascii="Arial" w:hAnsi="Arial"/>
          <w:sz w:val="24"/>
        </w:rPr>
        <w:t>5J 2W4</w:t>
      </w:r>
    </w:p>
    <w:p w14:paraId="04A356B4" w14:textId="77777777" w:rsidR="00CA3F36" w:rsidRDefault="00CA3F36">
      <w:pPr>
        <w:rPr>
          <w:rFonts w:ascii="Arial" w:hAnsi="Arial"/>
          <w:sz w:val="24"/>
        </w:rPr>
      </w:pPr>
    </w:p>
    <w:p w14:paraId="0941FAFB" w14:textId="77777777" w:rsidR="00CA3F36" w:rsidRDefault="00CA3F36">
      <w:pPr>
        <w:rPr>
          <w:rFonts w:ascii="Arial" w:hAnsi="Arial"/>
          <w:sz w:val="24"/>
        </w:rPr>
      </w:pPr>
      <w:r>
        <w:rPr>
          <w:rFonts w:ascii="Arial" w:hAnsi="Arial"/>
          <w:sz w:val="24"/>
        </w:rPr>
        <w:t>Dear Sirs/Mesdames:</w:t>
      </w:r>
    </w:p>
    <w:p w14:paraId="43461C84" w14:textId="77777777" w:rsidR="00CA3F36" w:rsidRDefault="00CA3F36">
      <w:pPr>
        <w:rPr>
          <w:rFonts w:ascii="Arial" w:hAnsi="Arial"/>
          <w:sz w:val="24"/>
        </w:rPr>
      </w:pPr>
    </w:p>
    <w:p w14:paraId="73C0C9AB" w14:textId="2CBDC954" w:rsidR="00CA3F36" w:rsidRDefault="00CA3F36" w:rsidP="000E0557">
      <w:pPr>
        <w:ind w:left="720" w:hanging="720"/>
        <w:rPr>
          <w:rFonts w:ascii="Arial" w:hAnsi="Arial"/>
          <w:b/>
          <w:sz w:val="24"/>
        </w:rPr>
      </w:pPr>
      <w:r w:rsidRPr="00067803">
        <w:rPr>
          <w:rFonts w:ascii="Arial" w:hAnsi="Arial"/>
          <w:b/>
          <w:sz w:val="24"/>
        </w:rPr>
        <w:t xml:space="preserve">Re:  </w:t>
      </w:r>
      <w:r w:rsidR="00067803">
        <w:rPr>
          <w:rFonts w:ascii="Arial" w:hAnsi="Arial"/>
          <w:b/>
          <w:sz w:val="24"/>
        </w:rPr>
        <w:tab/>
      </w:r>
      <w:r w:rsidR="00C60A4F">
        <w:rPr>
          <w:rFonts w:ascii="Arial" w:hAnsi="Arial"/>
          <w:b/>
          <w:sz w:val="24"/>
        </w:rPr>
        <w:t>Rockland Resources</w:t>
      </w:r>
      <w:r w:rsidR="000E0557">
        <w:rPr>
          <w:rFonts w:ascii="Arial" w:hAnsi="Arial"/>
          <w:b/>
          <w:sz w:val="24"/>
        </w:rPr>
        <w:t xml:space="preserve"> Inc</w:t>
      </w:r>
      <w:r w:rsidR="001635F3">
        <w:rPr>
          <w:rFonts w:ascii="Arial" w:hAnsi="Arial"/>
          <w:b/>
          <w:sz w:val="24"/>
        </w:rPr>
        <w:t xml:space="preserve">. </w:t>
      </w:r>
      <w:r w:rsidRPr="00067803">
        <w:rPr>
          <w:rFonts w:ascii="Arial" w:hAnsi="Arial"/>
          <w:b/>
          <w:sz w:val="24"/>
        </w:rPr>
        <w:t>(the “Issuer”)</w:t>
      </w:r>
    </w:p>
    <w:p w14:paraId="4F9E9020" w14:textId="105A952B" w:rsidR="00E85BBD" w:rsidRDefault="00067803" w:rsidP="006A1004">
      <w:pPr>
        <w:pStyle w:val="NoSpacing"/>
        <w:jc w:val="center"/>
        <w:rPr>
          <w:rFonts w:ascii="Times New Roman" w:hAnsi="Times New Roman" w:cs="Times New Roman"/>
          <w:b/>
          <w:bCs/>
          <w:sz w:val="24"/>
          <w:szCs w:val="24"/>
        </w:rPr>
      </w:pPr>
      <w:r>
        <w:rPr>
          <w:rFonts w:ascii="Arial" w:hAnsi="Arial"/>
          <w:b/>
          <w:sz w:val="24"/>
        </w:rPr>
        <w:tab/>
      </w:r>
      <w:r w:rsidR="008C1FA3">
        <w:rPr>
          <w:rFonts w:ascii="Times New Roman" w:hAnsi="Times New Roman" w:cs="Times New Roman"/>
          <w:b/>
          <w:bCs/>
          <w:sz w:val="24"/>
          <w:szCs w:val="24"/>
        </w:rPr>
        <w:t>ROCKLAND RESOURCES STRENGTHENS ITS MEXICAN TEAM AND COMMENCES FIELD WORK AT ELEKTRA LITHIUM PROJECT</w:t>
      </w:r>
    </w:p>
    <w:p w14:paraId="110C05A7" w14:textId="77777777" w:rsidR="00E85BBD" w:rsidRDefault="00E85BBD" w:rsidP="00E85BBD">
      <w:pPr>
        <w:jc w:val="center"/>
        <w:rPr>
          <w:b/>
          <w:caps/>
          <w:sz w:val="24"/>
          <w:szCs w:val="24"/>
        </w:rPr>
      </w:pPr>
    </w:p>
    <w:p w14:paraId="15418BF9" w14:textId="77777777" w:rsidR="00E85BBD" w:rsidRDefault="00E85BBD" w:rsidP="00E85BBD">
      <w:pPr>
        <w:ind w:right="49"/>
        <w:jc w:val="both"/>
        <w:rPr>
          <w:rFonts w:eastAsia="Calibri"/>
          <w:bCs/>
          <w:spacing w:val="1"/>
          <w:sz w:val="24"/>
          <w:szCs w:val="24"/>
        </w:rPr>
      </w:pPr>
      <w:r>
        <w:rPr>
          <w:b/>
          <w:sz w:val="24"/>
          <w:szCs w:val="24"/>
        </w:rPr>
        <w:t>Vancouver, British Columbia, March 10</w:t>
      </w:r>
      <w:r>
        <w:rPr>
          <w:b/>
          <w:sz w:val="24"/>
          <w:szCs w:val="24"/>
          <w:vertAlign w:val="superscript"/>
        </w:rPr>
        <w:t>th</w:t>
      </w:r>
      <w:r>
        <w:rPr>
          <w:b/>
          <w:sz w:val="24"/>
          <w:szCs w:val="24"/>
        </w:rPr>
        <w:t>, 2022:</w:t>
      </w:r>
      <w:r>
        <w:rPr>
          <w:sz w:val="24"/>
          <w:szCs w:val="24"/>
        </w:rPr>
        <w:t xml:space="preserve">  Rockland Resources Ltd. (the "Company" or "Rockland") (</w:t>
      </w:r>
      <w:r>
        <w:rPr>
          <w:b/>
          <w:bCs/>
          <w:sz w:val="24"/>
          <w:szCs w:val="24"/>
        </w:rPr>
        <w:t>CSE: RKL</w:t>
      </w:r>
      <w:r>
        <w:rPr>
          <w:sz w:val="24"/>
          <w:szCs w:val="24"/>
        </w:rPr>
        <w:t>) is pleased to announce the addition of a prominent new team member to its Mexican group and the commencement of a reconnaissance field program on its Elektra</w:t>
      </w:r>
      <w:r>
        <w:rPr>
          <w:b/>
          <w:bCs/>
          <w:sz w:val="24"/>
          <w:szCs w:val="24"/>
        </w:rPr>
        <w:t xml:space="preserve"> </w:t>
      </w:r>
      <w:r>
        <w:rPr>
          <w:sz w:val="24"/>
          <w:szCs w:val="24"/>
        </w:rPr>
        <w:t>claystone lithium project located in northern Sonora</w:t>
      </w:r>
      <w:r>
        <w:rPr>
          <w:rFonts w:eastAsia="Calibri"/>
          <w:bCs/>
          <w:spacing w:val="1"/>
          <w:sz w:val="24"/>
          <w:szCs w:val="24"/>
        </w:rPr>
        <w:t xml:space="preserve">, Mexico. </w:t>
      </w:r>
    </w:p>
    <w:p w14:paraId="0EA37AB2" w14:textId="77777777" w:rsidR="00E85BBD" w:rsidRDefault="00E85BBD" w:rsidP="00E85BBD">
      <w:pPr>
        <w:ind w:right="49"/>
        <w:jc w:val="both"/>
        <w:rPr>
          <w:rFonts w:eastAsia="Calibri"/>
          <w:bCs/>
          <w:spacing w:val="1"/>
          <w:sz w:val="24"/>
          <w:szCs w:val="24"/>
        </w:rPr>
      </w:pPr>
    </w:p>
    <w:p w14:paraId="30A6AAB9" w14:textId="77777777" w:rsidR="00E85BBD" w:rsidRDefault="00E85BBD" w:rsidP="00E85BBD">
      <w:pPr>
        <w:ind w:right="49"/>
        <w:jc w:val="both"/>
        <w:rPr>
          <w:rFonts w:eastAsia="Calibri"/>
          <w:bCs/>
          <w:spacing w:val="1"/>
          <w:sz w:val="24"/>
          <w:szCs w:val="24"/>
        </w:rPr>
      </w:pPr>
      <w:r>
        <w:rPr>
          <w:rFonts w:eastAsia="Calibri"/>
          <w:bCs/>
          <w:spacing w:val="1"/>
          <w:sz w:val="24"/>
          <w:szCs w:val="24"/>
        </w:rPr>
        <w:t xml:space="preserve">Senor Miguel Angel Romero Gonzalez joins our Mexican group to advise the Company on tenure and legal issues. </w:t>
      </w:r>
      <w:proofErr w:type="spellStart"/>
      <w:r>
        <w:rPr>
          <w:rFonts w:eastAsia="Calibri"/>
          <w:bCs/>
          <w:spacing w:val="1"/>
          <w:sz w:val="24"/>
          <w:szCs w:val="24"/>
        </w:rPr>
        <w:t>Señor</w:t>
      </w:r>
      <w:proofErr w:type="spellEnd"/>
      <w:r>
        <w:rPr>
          <w:rFonts w:eastAsia="Calibri"/>
          <w:bCs/>
          <w:spacing w:val="1"/>
          <w:sz w:val="24"/>
          <w:szCs w:val="24"/>
        </w:rPr>
        <w:t xml:space="preserve"> Romero is a prominent lawyer with the mining industry in Mexico, a former General Director of Mines in the Ministry of Economy from 2010 to March 2013, within that period he coordinated the efforts to update the Regulations of the Mining Law and collaborated to make public the mining cartography of the country. </w:t>
      </w:r>
      <w:proofErr w:type="spellStart"/>
      <w:r>
        <w:rPr>
          <w:rFonts w:eastAsia="Calibri"/>
          <w:bCs/>
          <w:spacing w:val="1"/>
          <w:sz w:val="24"/>
          <w:szCs w:val="24"/>
        </w:rPr>
        <w:t>Señor</w:t>
      </w:r>
      <w:proofErr w:type="spellEnd"/>
      <w:r>
        <w:rPr>
          <w:rFonts w:eastAsia="Calibri"/>
          <w:bCs/>
          <w:spacing w:val="1"/>
          <w:sz w:val="24"/>
          <w:szCs w:val="24"/>
        </w:rPr>
        <w:t xml:space="preserve"> Romero is also an Honorary Member of the Business Mining Council of Mexico (CONMIMEX).</w:t>
      </w:r>
    </w:p>
    <w:p w14:paraId="04F04D8F" w14:textId="77777777" w:rsidR="00E85BBD" w:rsidRDefault="00E85BBD" w:rsidP="00E85BBD">
      <w:pPr>
        <w:ind w:right="49"/>
        <w:jc w:val="both"/>
        <w:rPr>
          <w:rFonts w:eastAsia="Calibri"/>
          <w:bCs/>
          <w:spacing w:val="1"/>
          <w:sz w:val="24"/>
          <w:szCs w:val="24"/>
        </w:rPr>
      </w:pPr>
    </w:p>
    <w:p w14:paraId="11DC0BF8" w14:textId="77777777" w:rsidR="00E85BBD" w:rsidRDefault="00E85BBD" w:rsidP="00E85BBD">
      <w:pPr>
        <w:ind w:right="49"/>
        <w:jc w:val="both"/>
        <w:rPr>
          <w:rFonts w:eastAsia="Calibri"/>
          <w:bCs/>
          <w:spacing w:val="1"/>
          <w:sz w:val="24"/>
          <w:szCs w:val="24"/>
        </w:rPr>
      </w:pPr>
      <w:r>
        <w:rPr>
          <w:rFonts w:eastAsia="Calibri"/>
          <w:bCs/>
          <w:spacing w:val="1"/>
          <w:sz w:val="24"/>
          <w:szCs w:val="24"/>
        </w:rPr>
        <w:t xml:space="preserve">The target on the Elektra project is lithium mineralization hosted in shallow claystone units in volcaniclastic sediment successions, </w:t>
      </w:r>
      <w:proofErr w:type="gramStart"/>
      <w:r>
        <w:rPr>
          <w:rFonts w:eastAsia="Calibri"/>
          <w:bCs/>
          <w:spacing w:val="1"/>
          <w:sz w:val="24"/>
          <w:szCs w:val="24"/>
        </w:rPr>
        <w:t>similar to</w:t>
      </w:r>
      <w:proofErr w:type="gramEnd"/>
      <w:r>
        <w:rPr>
          <w:rFonts w:eastAsia="Calibri"/>
          <w:bCs/>
          <w:spacing w:val="1"/>
          <w:sz w:val="24"/>
          <w:szCs w:val="24"/>
        </w:rPr>
        <w:t xml:space="preserve"> the adjacent feasibility-stage “Sonora Lithium” project, owned by </w:t>
      </w:r>
      <w:proofErr w:type="spellStart"/>
      <w:r>
        <w:rPr>
          <w:rFonts w:eastAsia="Calibri"/>
          <w:bCs/>
          <w:spacing w:val="1"/>
          <w:sz w:val="24"/>
          <w:szCs w:val="24"/>
        </w:rPr>
        <w:t>Ganfeng</w:t>
      </w:r>
      <w:proofErr w:type="spellEnd"/>
      <w:r>
        <w:rPr>
          <w:rFonts w:eastAsia="Calibri"/>
          <w:bCs/>
          <w:spacing w:val="1"/>
          <w:sz w:val="24"/>
          <w:szCs w:val="24"/>
        </w:rPr>
        <w:t xml:space="preserve"> (“</w:t>
      </w:r>
      <w:proofErr w:type="spellStart"/>
      <w:r>
        <w:rPr>
          <w:rFonts w:eastAsia="Calibri"/>
          <w:bCs/>
          <w:spacing w:val="1"/>
          <w:sz w:val="24"/>
          <w:szCs w:val="24"/>
        </w:rPr>
        <w:t>Ganfeng</w:t>
      </w:r>
      <w:proofErr w:type="spellEnd"/>
      <w:r>
        <w:rPr>
          <w:rFonts w:eastAsia="Calibri"/>
          <w:bCs/>
          <w:spacing w:val="1"/>
          <w:sz w:val="24"/>
          <w:szCs w:val="24"/>
        </w:rPr>
        <w:t xml:space="preserve">”) Lithium (following the acquisition of </w:t>
      </w:r>
      <w:proofErr w:type="spellStart"/>
      <w:r>
        <w:rPr>
          <w:rFonts w:eastAsia="Calibri"/>
          <w:bCs/>
          <w:spacing w:val="1"/>
          <w:sz w:val="24"/>
          <w:szCs w:val="24"/>
        </w:rPr>
        <w:t>Bacanora</w:t>
      </w:r>
      <w:proofErr w:type="spellEnd"/>
      <w:r>
        <w:rPr>
          <w:rFonts w:eastAsia="Calibri"/>
          <w:bCs/>
          <w:spacing w:val="1"/>
          <w:sz w:val="24"/>
          <w:szCs w:val="24"/>
        </w:rPr>
        <w:t xml:space="preserve"> Lithium plc). </w:t>
      </w:r>
      <w:proofErr w:type="spellStart"/>
      <w:r>
        <w:rPr>
          <w:rFonts w:eastAsia="Calibri"/>
          <w:bCs/>
          <w:spacing w:val="1"/>
          <w:sz w:val="24"/>
          <w:szCs w:val="24"/>
        </w:rPr>
        <w:t>Gangeng</w:t>
      </w:r>
      <w:proofErr w:type="spellEnd"/>
      <w:r>
        <w:rPr>
          <w:rFonts w:eastAsia="Calibri"/>
          <w:bCs/>
          <w:spacing w:val="1"/>
          <w:sz w:val="24"/>
          <w:szCs w:val="24"/>
        </w:rPr>
        <w:t xml:space="preserve"> (website) is the world's largest lithium producer and supplier to the American electric car maker Tesla.</w:t>
      </w:r>
    </w:p>
    <w:p w14:paraId="41C3D23B" w14:textId="77777777" w:rsidR="00E85BBD" w:rsidRDefault="00E85BBD" w:rsidP="00E85BBD">
      <w:pPr>
        <w:ind w:right="49"/>
        <w:jc w:val="both"/>
        <w:rPr>
          <w:rFonts w:eastAsia="Calibri"/>
          <w:bCs/>
          <w:spacing w:val="1"/>
          <w:sz w:val="24"/>
          <w:szCs w:val="24"/>
        </w:rPr>
      </w:pPr>
    </w:p>
    <w:p w14:paraId="1064F090" w14:textId="77777777" w:rsidR="00E85BBD" w:rsidRDefault="00E85BBD" w:rsidP="00E85BBD">
      <w:pPr>
        <w:ind w:right="49"/>
        <w:jc w:val="both"/>
        <w:rPr>
          <w:rFonts w:eastAsia="Calibri"/>
          <w:bCs/>
          <w:spacing w:val="1"/>
          <w:sz w:val="24"/>
          <w:szCs w:val="24"/>
        </w:rPr>
      </w:pPr>
      <w:r>
        <w:rPr>
          <w:rFonts w:eastAsia="Calibri"/>
          <w:bCs/>
          <w:spacing w:val="1"/>
          <w:sz w:val="24"/>
          <w:szCs w:val="24"/>
        </w:rPr>
        <w:t>The initial exploration activities on the Elektra project will include relocating the drill holes that were completed in 2017, mapping and sampling the lithium-bearing clay beds previously identified and mapping the stratigraphy. Upon receipt of assay results, a larger Phase 1 exploration program will be finalized by the Company for the Elektra project to commence later in March.</w:t>
      </w:r>
    </w:p>
    <w:p w14:paraId="0B6D7099" w14:textId="77777777" w:rsidR="00E85BBD" w:rsidRDefault="00E85BBD" w:rsidP="00E85BBD">
      <w:pPr>
        <w:ind w:right="49"/>
        <w:jc w:val="both"/>
        <w:rPr>
          <w:rFonts w:eastAsia="Calibri"/>
          <w:bCs/>
          <w:spacing w:val="1"/>
          <w:sz w:val="24"/>
          <w:szCs w:val="24"/>
        </w:rPr>
      </w:pPr>
    </w:p>
    <w:p w14:paraId="00855E79" w14:textId="77777777" w:rsidR="00E85BBD" w:rsidRDefault="00E85BBD" w:rsidP="00E85BBD">
      <w:pPr>
        <w:ind w:right="49"/>
        <w:jc w:val="both"/>
        <w:rPr>
          <w:rFonts w:eastAsia="Calibri"/>
          <w:bCs/>
          <w:spacing w:val="1"/>
          <w:sz w:val="24"/>
          <w:szCs w:val="24"/>
        </w:rPr>
      </w:pPr>
      <w:r>
        <w:rPr>
          <w:rFonts w:eastAsia="Calibri"/>
          <w:bCs/>
          <w:spacing w:val="1"/>
          <w:sz w:val="24"/>
          <w:szCs w:val="24"/>
        </w:rPr>
        <w:t xml:space="preserve">Lithium-bearing clay beds tend to weather recessively, and exposure can be limited, with extensive cover of alluvium and/or younger basalt flows. However, the lithium-bearing units exhibit strong continuity under the cover and remain attractive targets that were not drilled in previous programs. To date, only one modest reverse circulation drill program </w:t>
      </w:r>
      <w:r>
        <w:rPr>
          <w:rFonts w:eastAsia="Calibri"/>
          <w:bCs/>
          <w:spacing w:val="1"/>
          <w:sz w:val="24"/>
          <w:szCs w:val="24"/>
        </w:rPr>
        <w:lastRenderedPageBreak/>
        <w:t xml:space="preserve">has been completed on the Elektra Project, comprising 1,762 meters in 16 drill holes. The best drill intercepts include hole AF 17-001 returning 1058 Parts per million lithium (“ppm Li”) over 33 meters from a depth of 3 meters: and in hole AF 17-014, from 0 to 24 meters, 1050 ppm Li over 24 meters. </w:t>
      </w:r>
    </w:p>
    <w:p w14:paraId="178606F9" w14:textId="77777777" w:rsidR="00E85BBD" w:rsidRDefault="00E85BBD" w:rsidP="00E85BBD">
      <w:pPr>
        <w:ind w:right="49"/>
        <w:jc w:val="both"/>
        <w:rPr>
          <w:rFonts w:eastAsia="Calibri"/>
          <w:bCs/>
          <w:spacing w:val="1"/>
          <w:sz w:val="24"/>
          <w:szCs w:val="24"/>
        </w:rPr>
      </w:pPr>
    </w:p>
    <w:p w14:paraId="0BC64F16" w14:textId="77777777" w:rsidR="00E85BBD" w:rsidRDefault="00E85BBD" w:rsidP="00E85BBD">
      <w:pPr>
        <w:ind w:right="49"/>
        <w:jc w:val="both"/>
        <w:rPr>
          <w:rFonts w:eastAsia="Calibri"/>
          <w:bCs/>
          <w:spacing w:val="1"/>
          <w:sz w:val="24"/>
          <w:szCs w:val="24"/>
        </w:rPr>
      </w:pPr>
      <w:r>
        <w:rPr>
          <w:rFonts w:eastAsia="Calibri"/>
          <w:bCs/>
          <w:spacing w:val="1"/>
          <w:sz w:val="24"/>
          <w:szCs w:val="24"/>
        </w:rPr>
        <w:t xml:space="preserve">Claystone and clay units in volcaniclastic sediment sequences in closed basins are increasingly being explored as an alternative source of lithium to satisfy the high demand. In the United States areas of focus include the Hector deposit, in San Bernardino County, CA, and several basins (Clayton Valley, Big Smokey, Fish Lake Valley) in NV, and the McDermitt Caldera in NV, OR. In Nevada and Oregon several junior exploration companies are conducting major programs on numerous claystone lithium projects. While these deposits vary greatly in size, form and metallurgy, the Nevada deposits typically use cut-off grades of 400 to 600 ppm Li for resource calculations. </w:t>
      </w:r>
    </w:p>
    <w:p w14:paraId="51D4A8B0" w14:textId="77777777" w:rsidR="00E85BBD" w:rsidRDefault="00E85BBD" w:rsidP="00E85BBD">
      <w:pPr>
        <w:ind w:right="49"/>
        <w:jc w:val="both"/>
        <w:rPr>
          <w:rFonts w:eastAsia="Calibri"/>
          <w:bCs/>
          <w:spacing w:val="1"/>
          <w:sz w:val="24"/>
          <w:szCs w:val="24"/>
        </w:rPr>
      </w:pPr>
    </w:p>
    <w:p w14:paraId="66585824" w14:textId="77777777" w:rsidR="00E85BBD" w:rsidRDefault="00E85BBD" w:rsidP="00E85BBD">
      <w:pPr>
        <w:ind w:right="49"/>
        <w:jc w:val="both"/>
        <w:rPr>
          <w:rFonts w:eastAsiaTheme="minorHAnsi"/>
          <w:color w:val="000000"/>
          <w:sz w:val="24"/>
          <w:szCs w:val="24"/>
        </w:rPr>
      </w:pPr>
      <w:r>
        <w:rPr>
          <w:color w:val="000000"/>
          <w:sz w:val="24"/>
          <w:szCs w:val="24"/>
        </w:rPr>
        <w:t>Rockland’s CEO, Mike England stated ""Our team of geologists in both Mexico and Canada are a very diversified and adept collection of experienced industry individuals who are well poised to expand on, and make new, lithium discoveries at Elektra."</w:t>
      </w:r>
    </w:p>
    <w:p w14:paraId="663A4A52" w14:textId="77777777" w:rsidR="00E85BBD" w:rsidRDefault="00E85BBD" w:rsidP="00E85BBD">
      <w:pPr>
        <w:ind w:right="49"/>
        <w:jc w:val="both"/>
        <w:rPr>
          <w:color w:val="000000"/>
          <w:sz w:val="24"/>
          <w:szCs w:val="24"/>
        </w:rPr>
      </w:pPr>
    </w:p>
    <w:p w14:paraId="6542258C" w14:textId="77777777" w:rsidR="00E85BBD" w:rsidRDefault="00E85BBD" w:rsidP="00E85BBD">
      <w:pPr>
        <w:ind w:right="49"/>
        <w:jc w:val="both"/>
        <w:rPr>
          <w:bCs/>
          <w:color w:val="000000"/>
          <w:sz w:val="24"/>
          <w:szCs w:val="24"/>
        </w:rPr>
      </w:pPr>
      <w:r>
        <w:rPr>
          <w:bCs/>
          <w:color w:val="000000"/>
          <w:sz w:val="24"/>
          <w:szCs w:val="24"/>
        </w:rPr>
        <w:t>Rockland’s team of industry professionals in both Mexico and Canada have worked on compiling all available historical data from the project to aid in determining a clear, concise exploration plan now set to commence.</w:t>
      </w:r>
    </w:p>
    <w:p w14:paraId="35A74C11" w14:textId="77777777" w:rsidR="00E85BBD" w:rsidRDefault="00E85BBD" w:rsidP="00E85BBD">
      <w:pPr>
        <w:ind w:right="49"/>
        <w:jc w:val="both"/>
        <w:rPr>
          <w:rFonts w:eastAsia="Calibri"/>
          <w:bCs/>
          <w:spacing w:val="1"/>
          <w:sz w:val="24"/>
          <w:szCs w:val="24"/>
        </w:rPr>
      </w:pPr>
    </w:p>
    <w:p w14:paraId="6E1E0AB4" w14:textId="77777777" w:rsidR="00E85BBD" w:rsidRDefault="00E85BBD" w:rsidP="00E85BBD">
      <w:pPr>
        <w:ind w:right="49"/>
        <w:jc w:val="both"/>
        <w:rPr>
          <w:rFonts w:eastAsia="Calibri"/>
          <w:bCs/>
          <w:spacing w:val="1"/>
          <w:sz w:val="24"/>
          <w:szCs w:val="24"/>
        </w:rPr>
      </w:pPr>
      <w:r>
        <w:rPr>
          <w:color w:val="000000"/>
          <w:sz w:val="24"/>
          <w:szCs w:val="24"/>
        </w:rPr>
        <w:t xml:space="preserve">Garry Clark, </w:t>
      </w:r>
      <w:proofErr w:type="spellStart"/>
      <w:proofErr w:type="gramStart"/>
      <w:r>
        <w:rPr>
          <w:color w:val="000000"/>
          <w:sz w:val="24"/>
          <w:szCs w:val="24"/>
        </w:rPr>
        <w:t>P.Geo</w:t>
      </w:r>
      <w:proofErr w:type="spellEnd"/>
      <w:proofErr w:type="gramEnd"/>
      <w:r>
        <w:rPr>
          <w:i/>
          <w:iCs/>
          <w:spacing w:val="1"/>
          <w:sz w:val="24"/>
          <w:szCs w:val="24"/>
        </w:rPr>
        <w:t xml:space="preserve">, </w:t>
      </w:r>
      <w:r>
        <w:rPr>
          <w:color w:val="000000"/>
          <w:sz w:val="24"/>
          <w:szCs w:val="24"/>
        </w:rPr>
        <w:t>a qualified person under National Instrument 43-101, has reviewed and approved the technical content of this news release as it pertains to the Elektra Lithium Property.</w:t>
      </w:r>
    </w:p>
    <w:p w14:paraId="118D9620" w14:textId="77777777" w:rsidR="00E85BBD" w:rsidRDefault="00E85BBD" w:rsidP="00E85BBD">
      <w:pPr>
        <w:tabs>
          <w:tab w:val="left" w:pos="284"/>
        </w:tabs>
        <w:ind w:right="51"/>
        <w:jc w:val="both"/>
        <w:rPr>
          <w:rFonts w:eastAsiaTheme="minorHAnsi"/>
          <w:sz w:val="24"/>
          <w:szCs w:val="24"/>
        </w:rPr>
      </w:pPr>
      <w:r>
        <w:rPr>
          <w:sz w:val="24"/>
          <w:szCs w:val="24"/>
        </w:rPr>
        <w:t>Lithium values and mineralization described on adjacent properties in similar rocks are not representative of the mineralization on the Elektra Project, and historical work and activities on the Elektra Project have not been verified and should not be relied upon.</w:t>
      </w:r>
    </w:p>
    <w:p w14:paraId="47AB1DCB" w14:textId="77777777" w:rsidR="00F46ADB" w:rsidRPr="00F46ADB" w:rsidRDefault="00F46ADB" w:rsidP="00F46ADB">
      <w:pPr>
        <w:tabs>
          <w:tab w:val="left" w:pos="284"/>
        </w:tabs>
        <w:ind w:right="51"/>
        <w:jc w:val="both"/>
        <w:rPr>
          <w:rFonts w:eastAsia="Calibri"/>
          <w:bCs/>
          <w:spacing w:val="1"/>
          <w:sz w:val="24"/>
          <w:szCs w:val="24"/>
        </w:rPr>
      </w:pPr>
    </w:p>
    <w:p w14:paraId="0E1DF913" w14:textId="77777777" w:rsidR="00BA0714" w:rsidRDefault="00BA0714" w:rsidP="00BA0714">
      <w:pPr>
        <w:pStyle w:val="ListParagraph"/>
        <w:tabs>
          <w:tab w:val="left" w:pos="284"/>
        </w:tabs>
        <w:spacing w:after="0" w:line="240" w:lineRule="auto"/>
        <w:ind w:left="284" w:right="51"/>
        <w:jc w:val="both"/>
        <w:rPr>
          <w:rFonts w:ascii="Times New Roman" w:eastAsia="Calibri" w:hAnsi="Times New Roman" w:cs="Times New Roman"/>
          <w:bCs/>
          <w:spacing w:val="1"/>
          <w:sz w:val="24"/>
          <w:szCs w:val="24"/>
        </w:rPr>
      </w:pPr>
    </w:p>
    <w:p w14:paraId="6C55516C" w14:textId="19DA7F0A" w:rsidR="0024116C" w:rsidRDefault="0024116C" w:rsidP="00D711EB">
      <w:pPr>
        <w:ind w:right="49"/>
        <w:jc w:val="both"/>
        <w:rPr>
          <w:rFonts w:ascii="Arial" w:hAnsi="Arial"/>
          <w:sz w:val="24"/>
        </w:rPr>
      </w:pPr>
    </w:p>
    <w:p w14:paraId="4039E5C3" w14:textId="0830336C" w:rsidR="0024116C" w:rsidRDefault="0024116C" w:rsidP="00067803">
      <w:pPr>
        <w:jc w:val="both"/>
        <w:rPr>
          <w:rFonts w:ascii="Arial" w:hAnsi="Arial"/>
          <w:sz w:val="24"/>
        </w:rPr>
      </w:pPr>
    </w:p>
    <w:p w14:paraId="3C3177F2" w14:textId="77777777" w:rsidR="0024116C" w:rsidRDefault="0024116C" w:rsidP="00067803">
      <w:pPr>
        <w:jc w:val="both"/>
        <w:rPr>
          <w:rFonts w:ascii="Arial" w:hAnsi="Arial"/>
          <w:sz w:val="24"/>
        </w:rPr>
      </w:pPr>
    </w:p>
    <w:p w14:paraId="3B40072C" w14:textId="77777777" w:rsidR="00CA3F36" w:rsidRDefault="00CA3F36" w:rsidP="006C7868">
      <w:pPr>
        <w:tabs>
          <w:tab w:val="left" w:pos="3240"/>
        </w:tabs>
        <w:jc w:val="both"/>
        <w:rPr>
          <w:rFonts w:ascii="Arial" w:hAnsi="Arial"/>
          <w:sz w:val="24"/>
        </w:rPr>
      </w:pPr>
      <w:r>
        <w:rPr>
          <w:rFonts w:ascii="Arial" w:hAnsi="Arial"/>
          <w:sz w:val="24"/>
        </w:rPr>
        <w:t>Yours very truly,</w:t>
      </w:r>
    </w:p>
    <w:tbl>
      <w:tblPr>
        <w:tblW w:w="2694" w:type="pct"/>
        <w:tblCellMar>
          <w:left w:w="0" w:type="dxa"/>
          <w:right w:w="0" w:type="dxa"/>
        </w:tblCellMar>
        <w:tblLook w:val="0000" w:firstRow="0" w:lastRow="0" w:firstColumn="0" w:lastColumn="0" w:noHBand="0" w:noVBand="0"/>
      </w:tblPr>
      <w:tblGrid>
        <w:gridCol w:w="4655"/>
      </w:tblGrid>
      <w:tr w:rsidR="006C7868" w:rsidRPr="00B547CA" w14:paraId="12E696FD" w14:textId="77777777" w:rsidTr="003D21CF">
        <w:trPr>
          <w:cantSplit/>
        </w:trPr>
        <w:tc>
          <w:tcPr>
            <w:tcW w:w="5000" w:type="pct"/>
            <w:tcBorders>
              <w:bottom w:val="single" w:sz="4" w:space="0" w:color="auto"/>
            </w:tcBorders>
          </w:tcPr>
          <w:p w14:paraId="225FEB5E" w14:textId="4C24EF85" w:rsidR="006C7868" w:rsidRPr="006C7868" w:rsidRDefault="006E0BAC" w:rsidP="00AD5A46">
            <w:pPr>
              <w:keepNext/>
              <w:rPr>
                <w:rFonts w:ascii="Arial" w:hAnsi="Arial" w:cs="Arial"/>
                <w:b/>
                <w:caps/>
                <w:sz w:val="24"/>
                <w:szCs w:val="24"/>
              </w:rPr>
            </w:pPr>
            <w:r>
              <w:rPr>
                <w:rFonts w:ascii="Arial" w:hAnsi="Arial"/>
                <w:b/>
                <w:sz w:val="24"/>
                <w:szCs w:val="24"/>
              </w:rPr>
              <w:t>ROCKLAND RESOURCES</w:t>
            </w:r>
            <w:r w:rsidR="001635F3" w:rsidRPr="001635F3">
              <w:rPr>
                <w:rFonts w:ascii="Arial" w:hAnsi="Arial"/>
                <w:b/>
                <w:sz w:val="24"/>
                <w:szCs w:val="24"/>
              </w:rPr>
              <w:t xml:space="preserve"> INC.</w:t>
            </w:r>
          </w:p>
          <w:p w14:paraId="54D53A75" w14:textId="77777777" w:rsidR="006C7868" w:rsidRDefault="006C7868" w:rsidP="00AD5A46">
            <w:pPr>
              <w:keepNext/>
              <w:rPr>
                <w:rFonts w:ascii="Arial" w:hAnsi="Arial" w:cs="Arial"/>
                <w:sz w:val="24"/>
                <w:szCs w:val="24"/>
              </w:rPr>
            </w:pPr>
            <w:r w:rsidRPr="006C7868">
              <w:rPr>
                <w:rFonts w:ascii="Arial" w:hAnsi="Arial" w:cs="Arial"/>
                <w:sz w:val="24"/>
                <w:szCs w:val="24"/>
              </w:rPr>
              <w:t>Per:</w:t>
            </w:r>
          </w:p>
          <w:p w14:paraId="13307505" w14:textId="77777777" w:rsidR="006C7868" w:rsidRPr="006C7868" w:rsidRDefault="006C7868" w:rsidP="00AD5A46">
            <w:pPr>
              <w:keepNext/>
              <w:rPr>
                <w:rFonts w:ascii="Arial" w:hAnsi="Arial" w:cs="Arial"/>
                <w:sz w:val="24"/>
                <w:szCs w:val="24"/>
              </w:rPr>
            </w:pPr>
          </w:p>
          <w:p w14:paraId="4506047A" w14:textId="77777777" w:rsidR="006C7868" w:rsidRPr="001D6907" w:rsidRDefault="00E4757C" w:rsidP="0022607B">
            <w:pPr>
              <w:keepNext/>
              <w:ind w:firstLine="720"/>
              <w:rPr>
                <w:rFonts w:ascii="Arial" w:hAnsi="Arial" w:cs="Arial"/>
                <w:i/>
                <w:sz w:val="24"/>
                <w:szCs w:val="24"/>
              </w:rPr>
            </w:pPr>
            <w:r>
              <w:rPr>
                <w:rFonts w:ascii="Arial" w:hAnsi="Arial" w:cs="Arial"/>
                <w:i/>
                <w:sz w:val="24"/>
                <w:szCs w:val="24"/>
              </w:rPr>
              <w:t>"</w:t>
            </w:r>
            <w:r w:rsidR="0022607B">
              <w:rPr>
                <w:rFonts w:ascii="Arial" w:hAnsi="Arial" w:cs="Arial"/>
                <w:i/>
                <w:sz w:val="24"/>
                <w:szCs w:val="24"/>
              </w:rPr>
              <w:t>Michael England</w:t>
            </w:r>
            <w:r>
              <w:rPr>
                <w:rFonts w:ascii="Arial" w:hAnsi="Arial" w:cs="Arial"/>
                <w:i/>
                <w:sz w:val="24"/>
                <w:szCs w:val="24"/>
              </w:rPr>
              <w:t>"</w:t>
            </w:r>
          </w:p>
        </w:tc>
      </w:tr>
      <w:tr w:rsidR="006C7868" w14:paraId="7C5A44DC" w14:textId="77777777" w:rsidTr="003D21CF">
        <w:trPr>
          <w:cantSplit/>
        </w:trPr>
        <w:tc>
          <w:tcPr>
            <w:tcW w:w="5000" w:type="pct"/>
            <w:tcBorders>
              <w:top w:val="single" w:sz="4" w:space="0" w:color="auto"/>
            </w:tcBorders>
          </w:tcPr>
          <w:p w14:paraId="333B1325" w14:textId="77777777" w:rsidR="006C7868" w:rsidRPr="006C7868" w:rsidRDefault="006C7868" w:rsidP="00AD5A46">
            <w:pPr>
              <w:keepNext/>
              <w:rPr>
                <w:rFonts w:ascii="Arial" w:hAnsi="Arial" w:cs="Arial"/>
                <w:sz w:val="24"/>
                <w:szCs w:val="24"/>
              </w:rPr>
            </w:pPr>
            <w:r w:rsidRPr="006C7868">
              <w:rPr>
                <w:rFonts w:ascii="Arial" w:hAnsi="Arial" w:cs="Arial"/>
                <w:sz w:val="24"/>
                <w:szCs w:val="24"/>
              </w:rPr>
              <w:t>Authorized Signatory</w:t>
            </w:r>
          </w:p>
        </w:tc>
      </w:tr>
    </w:tbl>
    <w:p w14:paraId="2E10A4A2" w14:textId="77777777" w:rsidR="006C7868" w:rsidRDefault="006C7868"/>
    <w:sectPr w:rsidR="006C7868" w:rsidSect="00E83259">
      <w:footerReference w:type="even" r:id="rId8"/>
      <w:footerReference w:type="default" r:id="rId9"/>
      <w:footerReference w:type="first" r:id="rId10"/>
      <w:pgSz w:w="12240" w:h="15840"/>
      <w:pgMar w:top="1296" w:right="1800" w:bottom="1008" w:left="1800"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9126" w14:textId="77777777" w:rsidR="00AD0493" w:rsidRDefault="00AD0493">
      <w:r>
        <w:separator/>
      </w:r>
    </w:p>
  </w:endnote>
  <w:endnote w:type="continuationSeparator" w:id="0">
    <w:p w14:paraId="427C9495" w14:textId="77777777" w:rsidR="00AD0493" w:rsidRDefault="00AD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B6C3" w14:textId="0A2BBA35" w:rsidR="006C7868" w:rsidRPr="006C7868" w:rsidRDefault="006C7868" w:rsidP="006C7868">
    <w:pPr>
      <w:pStyle w:val="Footer"/>
    </w:pPr>
    <w:r>
      <w:rPr>
        <w:sz w:val="16"/>
      </w:rPr>
      <w:fldChar w:fldCharType="begin"/>
    </w:r>
    <w:r>
      <w:rPr>
        <w:sz w:val="16"/>
      </w:rPr>
      <w:instrText xml:space="preserve"> DOCPROPERTY DMSDocID </w:instrText>
    </w:r>
    <w:r>
      <w:rPr>
        <w:sz w:val="16"/>
      </w:rPr>
      <w:fldChar w:fldCharType="separate"/>
    </w:r>
    <w:r w:rsidR="00C335A0">
      <w:rPr>
        <w:sz w:val="16"/>
      </w:rPr>
      <w:t>9386311.1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EC29" w14:textId="0FA9D2F3" w:rsidR="006C7868" w:rsidRPr="006C7868" w:rsidRDefault="006C7868" w:rsidP="006C7868">
    <w:pPr>
      <w:pStyle w:val="Footer"/>
    </w:pPr>
    <w:r>
      <w:rPr>
        <w:sz w:val="16"/>
      </w:rPr>
      <w:fldChar w:fldCharType="begin"/>
    </w:r>
    <w:r>
      <w:rPr>
        <w:sz w:val="16"/>
      </w:rPr>
      <w:instrText xml:space="preserve"> DOCPROPERTY DMSDocID </w:instrText>
    </w:r>
    <w:r>
      <w:rPr>
        <w:sz w:val="16"/>
      </w:rPr>
      <w:fldChar w:fldCharType="separate"/>
    </w:r>
    <w:r w:rsidR="00C335A0">
      <w:rPr>
        <w:sz w:val="16"/>
      </w:rPr>
      <w:t>9386311.1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D181" w14:textId="21D45B99" w:rsidR="006C7868" w:rsidRPr="006C7868" w:rsidRDefault="006C7868" w:rsidP="006C7868">
    <w:pPr>
      <w:pStyle w:val="Footer"/>
    </w:pPr>
    <w:r>
      <w:rPr>
        <w:sz w:val="16"/>
      </w:rPr>
      <w:fldChar w:fldCharType="begin"/>
    </w:r>
    <w:r>
      <w:rPr>
        <w:sz w:val="16"/>
      </w:rPr>
      <w:instrText xml:space="preserve"> DOCPROPERTY DMSDocID </w:instrText>
    </w:r>
    <w:r>
      <w:rPr>
        <w:sz w:val="16"/>
      </w:rPr>
      <w:fldChar w:fldCharType="separate"/>
    </w:r>
    <w:r w:rsidR="00C335A0">
      <w:rPr>
        <w:sz w:val="16"/>
      </w:rPr>
      <w:t>9386311.1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F7AF" w14:textId="77777777" w:rsidR="00AD0493" w:rsidRDefault="00AD0493">
      <w:r>
        <w:separator/>
      </w:r>
    </w:p>
  </w:footnote>
  <w:footnote w:type="continuationSeparator" w:id="0">
    <w:p w14:paraId="3A7D9ED1" w14:textId="77777777" w:rsidR="00AD0493" w:rsidRDefault="00AD0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63CD2"/>
    <w:multiLevelType w:val="hybridMultilevel"/>
    <w:tmpl w:val="1AA21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C4B1414"/>
    <w:multiLevelType w:val="singleLevel"/>
    <w:tmpl w:val="787A6F64"/>
    <w:lvl w:ilvl="0">
      <w:start w:val="1"/>
      <w:numFmt w:val="decimal"/>
      <w:lvlText w:val="(%1)"/>
      <w:lvlJc w:val="left"/>
      <w:pPr>
        <w:tabs>
          <w:tab w:val="num" w:pos="720"/>
        </w:tabs>
        <w:ind w:left="720" w:hanging="720"/>
      </w:pPr>
      <w:rPr>
        <w:rFonts w:ascii="Times New Roman" w:hAnsi="Times New Roman" w:hint="default"/>
        <w:b w:val="0"/>
        <w:i/>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FE"/>
    <w:rsid w:val="00010A0D"/>
    <w:rsid w:val="000113CF"/>
    <w:rsid w:val="0001190A"/>
    <w:rsid w:val="00014290"/>
    <w:rsid w:val="00020858"/>
    <w:rsid w:val="00024984"/>
    <w:rsid w:val="000370B5"/>
    <w:rsid w:val="00055346"/>
    <w:rsid w:val="00067803"/>
    <w:rsid w:val="0007445B"/>
    <w:rsid w:val="000B1104"/>
    <w:rsid w:val="000C2E50"/>
    <w:rsid w:val="000D0072"/>
    <w:rsid w:val="000D24BE"/>
    <w:rsid w:val="000E0557"/>
    <w:rsid w:val="000E0F2E"/>
    <w:rsid w:val="000E23FF"/>
    <w:rsid w:val="000F30F5"/>
    <w:rsid w:val="001019B1"/>
    <w:rsid w:val="00112A3E"/>
    <w:rsid w:val="00114ADD"/>
    <w:rsid w:val="00122A6A"/>
    <w:rsid w:val="0012432A"/>
    <w:rsid w:val="001538E1"/>
    <w:rsid w:val="001635F3"/>
    <w:rsid w:val="00166906"/>
    <w:rsid w:val="001810D5"/>
    <w:rsid w:val="001B5FD7"/>
    <w:rsid w:val="001C7485"/>
    <w:rsid w:val="001D0CC4"/>
    <w:rsid w:val="001D6907"/>
    <w:rsid w:val="001E7A6B"/>
    <w:rsid w:val="001F68EC"/>
    <w:rsid w:val="00213D1B"/>
    <w:rsid w:val="00216D8F"/>
    <w:rsid w:val="00223EC2"/>
    <w:rsid w:val="0022404C"/>
    <w:rsid w:val="00225353"/>
    <w:rsid w:val="0022607B"/>
    <w:rsid w:val="002334B7"/>
    <w:rsid w:val="0024116C"/>
    <w:rsid w:val="0025051B"/>
    <w:rsid w:val="002814AC"/>
    <w:rsid w:val="00285A54"/>
    <w:rsid w:val="002A4745"/>
    <w:rsid w:val="002B707A"/>
    <w:rsid w:val="002C159E"/>
    <w:rsid w:val="002D081A"/>
    <w:rsid w:val="002D57B8"/>
    <w:rsid w:val="00323FE5"/>
    <w:rsid w:val="0034240F"/>
    <w:rsid w:val="0037795F"/>
    <w:rsid w:val="003861A8"/>
    <w:rsid w:val="003B5749"/>
    <w:rsid w:val="003B5BF8"/>
    <w:rsid w:val="003C1B39"/>
    <w:rsid w:val="003D21CF"/>
    <w:rsid w:val="003D4673"/>
    <w:rsid w:val="003E12C7"/>
    <w:rsid w:val="003F0D5A"/>
    <w:rsid w:val="003F1EE0"/>
    <w:rsid w:val="00403B22"/>
    <w:rsid w:val="00405AB0"/>
    <w:rsid w:val="00405D34"/>
    <w:rsid w:val="00410B42"/>
    <w:rsid w:val="00427E3D"/>
    <w:rsid w:val="00433A1E"/>
    <w:rsid w:val="00445ACF"/>
    <w:rsid w:val="00446CFE"/>
    <w:rsid w:val="00451F37"/>
    <w:rsid w:val="00465E82"/>
    <w:rsid w:val="004731F5"/>
    <w:rsid w:val="004A2ED0"/>
    <w:rsid w:val="004A7D51"/>
    <w:rsid w:val="004B18F6"/>
    <w:rsid w:val="004B4C8B"/>
    <w:rsid w:val="004D24EE"/>
    <w:rsid w:val="004E7915"/>
    <w:rsid w:val="004F22A4"/>
    <w:rsid w:val="004F500E"/>
    <w:rsid w:val="004F5F76"/>
    <w:rsid w:val="00512B36"/>
    <w:rsid w:val="00515EF8"/>
    <w:rsid w:val="00552AB9"/>
    <w:rsid w:val="00553AD2"/>
    <w:rsid w:val="00556CEC"/>
    <w:rsid w:val="00566EEE"/>
    <w:rsid w:val="00581E30"/>
    <w:rsid w:val="0059459A"/>
    <w:rsid w:val="005A295D"/>
    <w:rsid w:val="005C7C34"/>
    <w:rsid w:val="005D49F1"/>
    <w:rsid w:val="005E2B0C"/>
    <w:rsid w:val="00614755"/>
    <w:rsid w:val="00615D1E"/>
    <w:rsid w:val="00624F2F"/>
    <w:rsid w:val="00626075"/>
    <w:rsid w:val="006439CD"/>
    <w:rsid w:val="00644B42"/>
    <w:rsid w:val="00647E5F"/>
    <w:rsid w:val="00650184"/>
    <w:rsid w:val="00650C2D"/>
    <w:rsid w:val="0065236E"/>
    <w:rsid w:val="0068011C"/>
    <w:rsid w:val="006A1004"/>
    <w:rsid w:val="006C7868"/>
    <w:rsid w:val="006E0BAC"/>
    <w:rsid w:val="006E2ECA"/>
    <w:rsid w:val="00721B84"/>
    <w:rsid w:val="0073398B"/>
    <w:rsid w:val="00742858"/>
    <w:rsid w:val="00746B85"/>
    <w:rsid w:val="007478A6"/>
    <w:rsid w:val="007504C3"/>
    <w:rsid w:val="00750777"/>
    <w:rsid w:val="007516E0"/>
    <w:rsid w:val="00760539"/>
    <w:rsid w:val="00764AFE"/>
    <w:rsid w:val="00766F81"/>
    <w:rsid w:val="00770FB2"/>
    <w:rsid w:val="0077493C"/>
    <w:rsid w:val="00782FC5"/>
    <w:rsid w:val="00786FE1"/>
    <w:rsid w:val="00793D3F"/>
    <w:rsid w:val="007B21CC"/>
    <w:rsid w:val="007B3149"/>
    <w:rsid w:val="007B533C"/>
    <w:rsid w:val="007C671A"/>
    <w:rsid w:val="007D1316"/>
    <w:rsid w:val="007D593A"/>
    <w:rsid w:val="007E22AD"/>
    <w:rsid w:val="007E61FD"/>
    <w:rsid w:val="00815A90"/>
    <w:rsid w:val="00830619"/>
    <w:rsid w:val="008409DF"/>
    <w:rsid w:val="00843858"/>
    <w:rsid w:val="0085217F"/>
    <w:rsid w:val="00874BE9"/>
    <w:rsid w:val="00887B87"/>
    <w:rsid w:val="008A5E3F"/>
    <w:rsid w:val="008B06A4"/>
    <w:rsid w:val="008C1FA3"/>
    <w:rsid w:val="008C74CE"/>
    <w:rsid w:val="008E79B6"/>
    <w:rsid w:val="008F1E98"/>
    <w:rsid w:val="0094793B"/>
    <w:rsid w:val="009732F2"/>
    <w:rsid w:val="00993B8A"/>
    <w:rsid w:val="009B725D"/>
    <w:rsid w:val="009D0E07"/>
    <w:rsid w:val="009F6DFC"/>
    <w:rsid w:val="00A10DF2"/>
    <w:rsid w:val="00A12E6C"/>
    <w:rsid w:val="00A23E76"/>
    <w:rsid w:val="00A26924"/>
    <w:rsid w:val="00A30A7C"/>
    <w:rsid w:val="00A71826"/>
    <w:rsid w:val="00A77AFB"/>
    <w:rsid w:val="00A839CE"/>
    <w:rsid w:val="00A9660C"/>
    <w:rsid w:val="00A97071"/>
    <w:rsid w:val="00AD0493"/>
    <w:rsid w:val="00AD5A46"/>
    <w:rsid w:val="00AF1721"/>
    <w:rsid w:val="00AF2965"/>
    <w:rsid w:val="00B121AB"/>
    <w:rsid w:val="00B37599"/>
    <w:rsid w:val="00B94817"/>
    <w:rsid w:val="00BA0714"/>
    <w:rsid w:val="00BB1487"/>
    <w:rsid w:val="00BB37E0"/>
    <w:rsid w:val="00BC079D"/>
    <w:rsid w:val="00BC2204"/>
    <w:rsid w:val="00BC2B0C"/>
    <w:rsid w:val="00BD2A0D"/>
    <w:rsid w:val="00BE6391"/>
    <w:rsid w:val="00BF44F9"/>
    <w:rsid w:val="00C03A0E"/>
    <w:rsid w:val="00C17576"/>
    <w:rsid w:val="00C205BB"/>
    <w:rsid w:val="00C26730"/>
    <w:rsid w:val="00C31AAB"/>
    <w:rsid w:val="00C335A0"/>
    <w:rsid w:val="00C344E7"/>
    <w:rsid w:val="00C42DE3"/>
    <w:rsid w:val="00C46007"/>
    <w:rsid w:val="00C51D07"/>
    <w:rsid w:val="00C5312F"/>
    <w:rsid w:val="00C60A4F"/>
    <w:rsid w:val="00C65A32"/>
    <w:rsid w:val="00CA3F36"/>
    <w:rsid w:val="00CB03F2"/>
    <w:rsid w:val="00CC550B"/>
    <w:rsid w:val="00CC6E50"/>
    <w:rsid w:val="00CD5EF9"/>
    <w:rsid w:val="00D12C5A"/>
    <w:rsid w:val="00D210B5"/>
    <w:rsid w:val="00D25241"/>
    <w:rsid w:val="00D367C5"/>
    <w:rsid w:val="00D4022E"/>
    <w:rsid w:val="00D5114A"/>
    <w:rsid w:val="00D555A6"/>
    <w:rsid w:val="00D711EB"/>
    <w:rsid w:val="00D71C24"/>
    <w:rsid w:val="00D77BC5"/>
    <w:rsid w:val="00D832AF"/>
    <w:rsid w:val="00D87EEE"/>
    <w:rsid w:val="00DC5441"/>
    <w:rsid w:val="00DE42A9"/>
    <w:rsid w:val="00DF4652"/>
    <w:rsid w:val="00DF745C"/>
    <w:rsid w:val="00E01D79"/>
    <w:rsid w:val="00E03653"/>
    <w:rsid w:val="00E03736"/>
    <w:rsid w:val="00E133A4"/>
    <w:rsid w:val="00E3275D"/>
    <w:rsid w:val="00E4757C"/>
    <w:rsid w:val="00E741FD"/>
    <w:rsid w:val="00E77B63"/>
    <w:rsid w:val="00E83259"/>
    <w:rsid w:val="00E8447B"/>
    <w:rsid w:val="00E85BBD"/>
    <w:rsid w:val="00EA5C70"/>
    <w:rsid w:val="00EB2FF4"/>
    <w:rsid w:val="00EC293D"/>
    <w:rsid w:val="00EC42ED"/>
    <w:rsid w:val="00EE43B9"/>
    <w:rsid w:val="00EE7E20"/>
    <w:rsid w:val="00EF3E2C"/>
    <w:rsid w:val="00EF3E42"/>
    <w:rsid w:val="00EF5A69"/>
    <w:rsid w:val="00F1101C"/>
    <w:rsid w:val="00F25913"/>
    <w:rsid w:val="00F41FEC"/>
    <w:rsid w:val="00F4512B"/>
    <w:rsid w:val="00F45234"/>
    <w:rsid w:val="00F46ADB"/>
    <w:rsid w:val="00F73662"/>
    <w:rsid w:val="00F73C12"/>
    <w:rsid w:val="00F94006"/>
    <w:rsid w:val="00FB4BFB"/>
    <w:rsid w:val="00FC54CA"/>
    <w:rsid w:val="00FC5E3E"/>
    <w:rsid w:val="00FD2CD4"/>
    <w:rsid w:val="00FD5B73"/>
    <w:rsid w:val="00FE2892"/>
    <w:rsid w:val="00FE79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B6DAC"/>
  <w15:chartTrackingRefBased/>
  <w15:docId w15:val="{00A5FD32-D12C-423E-8845-88958E1F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b/>
      <w:sz w:val="24"/>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7504C3"/>
  </w:style>
  <w:style w:type="paragraph" w:customStyle="1" w:styleId="Headingext2">
    <w:name w:val="Heading ext 2"/>
    <w:basedOn w:val="Normal"/>
    <w:uiPriority w:val="80"/>
    <w:qFormat/>
    <w:rsid w:val="009D0E07"/>
    <w:pPr>
      <w:spacing w:before="220"/>
      <w:jc w:val="both"/>
    </w:pPr>
    <w:rPr>
      <w:rFonts w:ascii="Arial" w:hAnsi="Arial" w:cs="Arial"/>
      <w:color w:val="000000"/>
      <w:sz w:val="22"/>
      <w:szCs w:val="24"/>
      <w:lang w:val="en-CA"/>
    </w:rPr>
  </w:style>
  <w:style w:type="paragraph" w:styleId="NoSpacing">
    <w:name w:val="No Spacing"/>
    <w:uiPriority w:val="1"/>
    <w:qFormat/>
    <w:rsid w:val="00BC2B0C"/>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D711EB"/>
    <w:pPr>
      <w:spacing w:after="160" w:line="259"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8743">
      <w:bodyDiv w:val="1"/>
      <w:marLeft w:val="0"/>
      <w:marRight w:val="0"/>
      <w:marTop w:val="0"/>
      <w:marBottom w:val="0"/>
      <w:divBdr>
        <w:top w:val="none" w:sz="0" w:space="0" w:color="auto"/>
        <w:left w:val="none" w:sz="0" w:space="0" w:color="auto"/>
        <w:bottom w:val="none" w:sz="0" w:space="0" w:color="auto"/>
        <w:right w:val="none" w:sz="0" w:space="0" w:color="auto"/>
      </w:divBdr>
    </w:div>
    <w:div w:id="693192494">
      <w:bodyDiv w:val="1"/>
      <w:marLeft w:val="0"/>
      <w:marRight w:val="0"/>
      <w:marTop w:val="0"/>
      <w:marBottom w:val="0"/>
      <w:divBdr>
        <w:top w:val="none" w:sz="0" w:space="0" w:color="auto"/>
        <w:left w:val="none" w:sz="0" w:space="0" w:color="auto"/>
        <w:bottom w:val="none" w:sz="0" w:space="0" w:color="auto"/>
        <w:right w:val="none" w:sz="0" w:space="0" w:color="auto"/>
      </w:divBdr>
    </w:div>
    <w:div w:id="941493124">
      <w:bodyDiv w:val="1"/>
      <w:marLeft w:val="0"/>
      <w:marRight w:val="0"/>
      <w:marTop w:val="0"/>
      <w:marBottom w:val="0"/>
      <w:divBdr>
        <w:top w:val="none" w:sz="0" w:space="0" w:color="auto"/>
        <w:left w:val="none" w:sz="0" w:space="0" w:color="auto"/>
        <w:bottom w:val="none" w:sz="0" w:space="0" w:color="auto"/>
        <w:right w:val="none" w:sz="0" w:space="0" w:color="auto"/>
      </w:divBdr>
    </w:div>
    <w:div w:id="14428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Misc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E9ED2-1D75-492E-B39B-BDC38EA2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Miscdoc</Template>
  <TotalTime>57</TotalTime>
  <Pages>2</Pages>
  <Words>669</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FORM 1A</vt:lpstr>
    </vt:vector>
  </TitlesOfParts>
  <Company>CDNQ</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1A</dc:title>
  <dc:subject/>
  <dc:creator>User1</dc:creator>
  <cp:keywords/>
  <cp:lastModifiedBy>Dave Bissoondatt</cp:lastModifiedBy>
  <cp:revision>80</cp:revision>
  <cp:lastPrinted>2021-05-19T14:20:00Z</cp:lastPrinted>
  <dcterms:created xsi:type="dcterms:W3CDTF">2020-09-24T17:45:00Z</dcterms:created>
  <dcterms:modified xsi:type="dcterms:W3CDTF">2022-03-10T15:02:00Z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OffVersion">
    <vt:lpwstr>1</vt:lpwstr>
  </property>
  <property fmtid="{D5CDD505-2E9C-101B-9397-08002B2CF9AE}" pid="3" name="DMSAuthor">
    <vt:lpwstr>SEW</vt:lpwstr>
  </property>
  <property fmtid="{D5CDD505-2E9C-101B-9397-08002B2CF9AE}" pid="4" name="DMSClient">
    <vt:lpwstr>50309</vt:lpwstr>
  </property>
  <property fmtid="{D5CDD505-2E9C-101B-9397-08002B2CF9AE}" pid="5" name="DMSCrossRef">
    <vt:lpwstr> </vt:lpwstr>
  </property>
  <property fmtid="{D5CDD505-2E9C-101B-9397-08002B2CF9AE}" pid="6" name="DMSLibrary">
    <vt:lpwstr>active</vt:lpwstr>
  </property>
  <property fmtid="{D5CDD505-2E9C-101B-9397-08002B2CF9AE}" pid="7" name="DMSDocDesc">
    <vt:lpwstr>GLM - Letter to CSE confirming payment of consideration re Conglin Creek Copper Property (Sept 2020)</vt:lpwstr>
  </property>
  <property fmtid="{D5CDD505-2E9C-101B-9397-08002B2CF9AE}" pid="8" name="DMSDocID">
    <vt:lpwstr>9386311.1</vt:lpwstr>
  </property>
  <property fmtid="{D5CDD505-2E9C-101B-9397-08002B2CF9AE}" pid="9" name="DMSDocNumber">
    <vt:lpwstr>9386311</vt:lpwstr>
  </property>
  <property fmtid="{D5CDD505-2E9C-101B-9397-08002B2CF9AE}" pid="10" name="DMSDocType">
    <vt:lpwstr>DOC</vt:lpwstr>
  </property>
  <property fmtid="{D5CDD505-2E9C-101B-9397-08002B2CF9AE}" pid="11" name="DMSFileNum">
    <vt:lpwstr>50309-0001</vt:lpwstr>
  </property>
  <property fmtid="{D5CDD505-2E9C-101B-9397-08002B2CF9AE}" pid="12" name="DMSMatter">
    <vt:lpwstr>0001</vt:lpwstr>
  </property>
  <property fmtid="{D5CDD505-2E9C-101B-9397-08002B2CF9AE}" pid="13" name="DMSTypist">
    <vt:lpwstr>DXT</vt:lpwstr>
  </property>
  <property fmtid="{D5CDD505-2E9C-101B-9397-08002B2CF9AE}" pid="14" name="DMSCategory">
    <vt:lpwstr> </vt:lpwstr>
  </property>
  <property fmtid="{D5CDD505-2E9C-101B-9397-08002B2CF9AE}" pid="15" name="DMSCurrVersion">
    <vt:lpwstr>1</vt:lpwstr>
  </property>
  <property fmtid="{D5CDD505-2E9C-101B-9397-08002B2CF9AE}" pid="16" name="DMSFooterStatus22">
    <vt:lpwstr>SET</vt:lpwstr>
  </property>
  <property fmtid="{D5CDD505-2E9C-101B-9397-08002B2CF9AE}" pid="17" name="WSOrigTemplate">
    <vt:lpwstr>normal</vt:lpwstr>
  </property>
</Properties>
</file>