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25C0FEF0"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21A" w:rsidRPr="000B621A">
        <w:rPr>
          <w:rFonts w:ascii="Arial" w:hAnsi="Arial"/>
          <w:i/>
          <w:color w:val="000000"/>
        </w:rPr>
        <w:t>85,</w:t>
      </w:r>
      <w:r w:rsidR="00A706C8">
        <w:rPr>
          <w:rFonts w:ascii="Arial" w:hAnsi="Arial"/>
          <w:i/>
          <w:color w:val="000000"/>
        </w:rPr>
        <w:t>241</w:t>
      </w:r>
      <w:r w:rsidR="000B621A" w:rsidRPr="000B621A">
        <w:rPr>
          <w:rFonts w:ascii="Arial" w:hAnsi="Arial"/>
          <w:i/>
          <w:color w:val="000000"/>
        </w:rPr>
        <w:t>,241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63230188"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A706C8">
        <w:rPr>
          <w:rFonts w:ascii="Arial" w:hAnsi="Arial"/>
          <w:color w:val="000000"/>
        </w:rPr>
        <w:t>February</w:t>
      </w:r>
      <w:r w:rsidR="000F18A3">
        <w:rPr>
          <w:rFonts w:ascii="Arial" w:hAnsi="Arial"/>
          <w:color w:val="000000"/>
        </w:rPr>
        <w:t xml:space="preserve"> 7</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C4E66F3" w14:textId="1534AA8D" w:rsidR="000B621A" w:rsidRPr="000B621A" w:rsidRDefault="004B506B" w:rsidP="000B621A">
      <w:pPr>
        <w:pStyle w:val="List"/>
        <w:ind w:left="720" w:firstLine="0"/>
        <w:jc w:val="both"/>
        <w:rPr>
          <w:rFonts w:ascii="Arial" w:hAnsi="Arial"/>
          <w:i/>
          <w:iCs/>
          <w:u w:val="single"/>
        </w:rPr>
      </w:pPr>
      <w:r>
        <w:rPr>
          <w:rFonts w:ascii="Arial" w:hAnsi="Arial"/>
          <w:i/>
          <w:iCs/>
          <w:u w:val="single"/>
        </w:rPr>
        <w:t xml:space="preserve">BETR-001 (formerly </w:t>
      </w:r>
      <w:r w:rsidR="000B621A">
        <w:rPr>
          <w:rFonts w:ascii="Arial" w:hAnsi="Arial"/>
          <w:i/>
          <w:iCs/>
          <w:u w:val="single"/>
        </w:rPr>
        <w:t>TD-0148A</w:t>
      </w:r>
      <w:r>
        <w:rPr>
          <w:rFonts w:ascii="Arial" w:hAnsi="Arial"/>
          <w:i/>
          <w:iCs/>
          <w:u w:val="single"/>
        </w:rPr>
        <w:t>)</w:t>
      </w:r>
    </w:p>
    <w:p w14:paraId="5997E98E" w14:textId="77777777" w:rsidR="00A706C8" w:rsidRPr="00A706C8" w:rsidRDefault="000B621A" w:rsidP="00A706C8">
      <w:pPr>
        <w:pStyle w:val="List"/>
        <w:ind w:left="720" w:firstLine="0"/>
        <w:jc w:val="both"/>
        <w:rPr>
          <w:rFonts w:ascii="Arial" w:hAnsi="Arial"/>
          <w:i/>
          <w:iCs/>
        </w:rPr>
      </w:pPr>
      <w:r w:rsidRPr="000B621A">
        <w:rPr>
          <w:rFonts w:ascii="Arial" w:hAnsi="Arial"/>
          <w:i/>
          <w:iCs/>
        </w:rPr>
        <w:t xml:space="preserve">During </w:t>
      </w:r>
      <w:r w:rsidR="00A706C8">
        <w:rPr>
          <w:rFonts w:ascii="Arial" w:hAnsi="Arial"/>
          <w:i/>
          <w:iCs/>
        </w:rPr>
        <w:t>January 2022</w:t>
      </w:r>
      <w:r w:rsidR="004B506B">
        <w:rPr>
          <w:rFonts w:ascii="Arial" w:hAnsi="Arial"/>
          <w:i/>
          <w:iCs/>
        </w:rPr>
        <w:t xml:space="preserve">, the Company </w:t>
      </w:r>
      <w:r w:rsidR="00A706C8" w:rsidRPr="00A706C8">
        <w:rPr>
          <w:rFonts w:ascii="Arial" w:hAnsi="Arial"/>
          <w:i/>
          <w:iCs/>
        </w:rPr>
        <w:t>obtained positive results from an in vivo oral bioavailability and food-effect pharmacokinetic (PK) study on BETR-001 in beagle dogs. BETR-001 (2-bromo-LSD, formerly TD-0148A) is a non-hallucinogenic derivative of lysergic acid diethylamide (LSD). Previous published studies have not included any data on PK for BETR-001. It was also unknown if presence of food would affect the bioavailability of orally administered BETR-001. The current study conducted by contract research organization, Nucro-Technics (Scarborough, ON, Canada), demonstrated the following key results after a single dose of oral BETR-001 (capsule) administered to beagle dogs:</w:t>
      </w:r>
    </w:p>
    <w:p w14:paraId="5EB109E3"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 xml:space="preserve">No significant difference was observed in bioavailability and total exposure of BETR-001 in PK profile of fed versus fasted beagle dogs. </w:t>
      </w:r>
    </w:p>
    <w:p w14:paraId="48D537D6"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 xml:space="preserve">Oral bioavailability (%F), defined as the fraction of oral administered drug that reaches systemic circulation, was calculated to be 61% and 63% for fasted and fed states, respectively (no significant difference). </w:t>
      </w:r>
    </w:p>
    <w:p w14:paraId="36CBD593" w14:textId="77777777" w:rsidR="00A706C8" w:rsidRPr="00A706C8" w:rsidRDefault="00A706C8" w:rsidP="00A706C8">
      <w:pPr>
        <w:pStyle w:val="List"/>
        <w:ind w:left="720" w:firstLine="0"/>
        <w:jc w:val="both"/>
        <w:rPr>
          <w:rFonts w:ascii="Arial" w:hAnsi="Arial"/>
          <w:i/>
          <w:iCs/>
        </w:rPr>
      </w:pPr>
      <w:r w:rsidRPr="00A706C8">
        <w:rPr>
          <w:rFonts w:ascii="Arial" w:hAnsi="Arial"/>
          <w:i/>
          <w:iCs/>
        </w:rPr>
        <w:t>•</w:t>
      </w:r>
      <w:r w:rsidRPr="00A706C8">
        <w:rPr>
          <w:rFonts w:ascii="Arial" w:hAnsi="Arial"/>
          <w:i/>
          <w:iCs/>
        </w:rPr>
        <w:tab/>
        <w:t xml:space="preserve">The maximum systemic concentration (Cmax) of BETR-001 after a single oral dose was reached at 0.5 hr (Tmax), suggesting a quick uptake of the drug into the systemic circulation. The drug was detectable in systemic circulation eight hours post oral dose with an elimination rate constant (Kel) of 0.4 per hour, pointing to the fraction of drug eliminated per unit of time. </w:t>
      </w:r>
    </w:p>
    <w:p w14:paraId="343B146C" w14:textId="13F1B76E" w:rsidR="000B621A" w:rsidRDefault="00A706C8" w:rsidP="00A706C8">
      <w:pPr>
        <w:pStyle w:val="List"/>
        <w:ind w:left="720" w:firstLine="0"/>
        <w:jc w:val="both"/>
        <w:rPr>
          <w:rFonts w:ascii="Arial" w:hAnsi="Arial"/>
          <w:i/>
          <w:iCs/>
        </w:rPr>
      </w:pPr>
      <w:r w:rsidRPr="00A706C8">
        <w:rPr>
          <w:rFonts w:ascii="Arial" w:hAnsi="Arial"/>
          <w:i/>
          <w:iCs/>
        </w:rPr>
        <w:t>The findings demonstrate that oral administration of a single dose of BETR-001 can reach the therapeutic range in the systemic circulation. The PK elimination constant (Kel) of 0.4 per hour for BETR-001 indicates a low probability of toxicity as a result of drug accumulation in the systemic circulation.</w:t>
      </w:r>
    </w:p>
    <w:p w14:paraId="3B16B47A" w14:textId="71168B07" w:rsidR="00A706C8" w:rsidRDefault="00A706C8" w:rsidP="00A706C8">
      <w:pPr>
        <w:pStyle w:val="List"/>
        <w:ind w:left="720" w:firstLine="0"/>
        <w:jc w:val="both"/>
        <w:rPr>
          <w:rFonts w:ascii="Arial" w:hAnsi="Arial"/>
          <w:i/>
          <w:iCs/>
        </w:rPr>
      </w:pPr>
    </w:p>
    <w:p w14:paraId="08E07C2A" w14:textId="1DBE5F0E" w:rsidR="00A706C8" w:rsidRPr="000B621A" w:rsidRDefault="00A706C8" w:rsidP="00A706C8">
      <w:pPr>
        <w:pStyle w:val="List"/>
        <w:ind w:left="720" w:firstLine="0"/>
        <w:jc w:val="both"/>
        <w:rPr>
          <w:rFonts w:ascii="Arial" w:hAnsi="Arial"/>
          <w:i/>
          <w:iCs/>
        </w:rPr>
      </w:pPr>
      <w:r>
        <w:rPr>
          <w:rFonts w:ascii="Arial" w:hAnsi="Arial"/>
          <w:i/>
          <w:iCs/>
        </w:rPr>
        <w:t xml:space="preserve">The Company also </w:t>
      </w:r>
      <w:r w:rsidRPr="00A706C8">
        <w:rPr>
          <w:rFonts w:ascii="Arial" w:hAnsi="Arial"/>
          <w:i/>
          <w:iCs/>
        </w:rPr>
        <w:t>received a written response from the U.S. Food and Drug Administration (FDA) to its pre-investigational new drug (pre-IND) application for the treatment of MDD with BETR-001. The FDA response is in general agreement with the Company’s planned program for the development of BETR-001 and provided guidance regarding the BETR-001 IND-enabling non-clinical toxicology studies, its manufacturing strategy, and initial proposed clinical trial parameters.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lastRenderedPageBreak/>
        <w:t>Describe any new developments or effects on intangible products such as brand names, circulation lists, copyrights, franchises, licenses, patents, software, subscription lists and trade-marks.</w:t>
      </w:r>
    </w:p>
    <w:p w14:paraId="7F5AA6BC" w14:textId="4C277C2F" w:rsidR="003138E2" w:rsidRPr="0014406D" w:rsidRDefault="000945FF"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p w14:paraId="7545E75B" w14:textId="00C24DF7" w:rsidR="008B5131" w:rsidRDefault="00BF3379" w:rsidP="008B5131">
      <w:pPr>
        <w:pStyle w:val="List"/>
        <w:spacing w:before="120"/>
        <w:ind w:left="720" w:firstLine="0"/>
        <w:jc w:val="both"/>
        <w:rPr>
          <w:rFonts w:ascii="Arial" w:hAnsi="Arial"/>
          <w:i/>
        </w:rPr>
      </w:pPr>
      <w:bookmarkStart w:id="13" w:name="_Hlk94777421"/>
      <w:bookmarkEnd w:id="10"/>
      <w:bookmarkEnd w:id="11"/>
      <w:bookmarkEnd w:id="12"/>
      <w:r w:rsidRPr="00BF3379">
        <w:rPr>
          <w:rFonts w:ascii="Arial" w:hAnsi="Arial"/>
          <w:i/>
        </w:rPr>
        <w:t xml:space="preserve">The Company and its wholly-owned subsidiary, Altum Pharmaceuticals Inc. (“Altum”), were named as </w:t>
      </w:r>
      <w:r>
        <w:rPr>
          <w:rFonts w:ascii="Arial" w:hAnsi="Arial"/>
          <w:i/>
        </w:rPr>
        <w:t>d</w:t>
      </w:r>
      <w:r w:rsidRPr="00BF3379">
        <w:rPr>
          <w:rFonts w:ascii="Arial" w:hAnsi="Arial"/>
          <w:i/>
        </w:rPr>
        <w:t>efendants in a lawsuit filed in the Supreme Court of the State of New York, New York County, by Altum's former director, Nancy Miller-Rich ("</w:t>
      </w:r>
      <w:r>
        <w:rPr>
          <w:rFonts w:ascii="Arial" w:hAnsi="Arial"/>
          <w:i/>
        </w:rPr>
        <w:t>Miller-Rich</w:t>
      </w:r>
      <w:r w:rsidRPr="00BF3379">
        <w:rPr>
          <w:rFonts w:ascii="Arial" w:hAnsi="Arial"/>
          <w:i/>
        </w:rPr>
        <w:t xml:space="preserve">").  </w:t>
      </w:r>
      <w:r>
        <w:rPr>
          <w:rFonts w:ascii="Arial" w:hAnsi="Arial"/>
          <w:i/>
        </w:rPr>
        <w:t>Miller-Rich</w:t>
      </w:r>
      <w:r w:rsidR="00124212">
        <w:rPr>
          <w:rFonts w:ascii="Arial" w:hAnsi="Arial"/>
          <w:i/>
        </w:rPr>
        <w:t>, on January 20, 2022,</w:t>
      </w:r>
      <w:r w:rsidRPr="00BF3379">
        <w:rPr>
          <w:rFonts w:ascii="Arial" w:hAnsi="Arial"/>
          <w:i/>
        </w:rPr>
        <w:t xml:space="preserve"> has filed a Verified Complaint in that lawsuit.  The Company and Altum have retained legal counsel to defend them in the lawsuit, including answering or otherwise responding to the Verified Complaint</w:t>
      </w:r>
      <w:r w:rsidR="00E63353">
        <w:rPr>
          <w:rFonts w:ascii="Arial" w:hAnsi="Arial"/>
          <w:i/>
        </w:rPr>
        <w:t>.</w:t>
      </w:r>
    </w:p>
    <w:bookmarkEnd w:id="13"/>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42F94D8" w:rsidR="0084310F" w:rsidRPr="0014406D" w:rsidRDefault="00A75CB6" w:rsidP="0014406D">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7FB39D6D" w:rsidR="00AF78A3" w:rsidRPr="00AF78A3" w:rsidRDefault="00A706C8" w:rsidP="0090315D">
      <w:pPr>
        <w:pStyle w:val="List"/>
        <w:keepNext/>
        <w:keepLines/>
        <w:spacing w:before="120"/>
        <w:ind w:left="720" w:firstLine="0"/>
        <w:jc w:val="both"/>
        <w:rPr>
          <w:rFonts w:ascii="Arial" w:hAnsi="Arial"/>
          <w:i/>
          <w:iCs/>
        </w:rPr>
      </w:pPr>
      <w:r>
        <w:rPr>
          <w:rFonts w:ascii="Arial" w:hAnsi="Arial"/>
          <w:i/>
        </w:rPr>
        <w:t>In January 2022, the Company issued 50,000 common shares to a third party for services rendered.</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4" w:name="_Hlk36806284"/>
      <w:r>
        <w:rPr>
          <w:rFonts w:ascii="Arial" w:hAnsi="Arial"/>
        </w:rPr>
        <w:t>Discuss any trends which are likely to impact the Issuer including trends in the Issuer’s market(s) or political/regulatory trends.</w:t>
      </w:r>
    </w:p>
    <w:bookmarkEnd w:id="14"/>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C0E5CD1"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A706C8">
        <w:rPr>
          <w:rFonts w:ascii="Arial" w:hAnsi="Arial"/>
        </w:rPr>
        <w:t>February</w:t>
      </w:r>
      <w:r w:rsidR="000F18A3">
        <w:rPr>
          <w:rFonts w:ascii="Arial" w:hAnsi="Arial"/>
        </w:rPr>
        <w:t xml:space="preserve"> 7</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2BFBE969" w:rsidR="007736E2" w:rsidRDefault="00A706C8">
            <w:pPr>
              <w:pStyle w:val="BodyText"/>
              <w:spacing w:before="0"/>
              <w:rPr>
                <w:rFonts w:ascii="Arial" w:hAnsi="Arial"/>
              </w:rPr>
            </w:pPr>
            <w:r>
              <w:rPr>
                <w:rFonts w:ascii="Arial" w:hAnsi="Arial"/>
              </w:rPr>
              <w:t>January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0B56E02F"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0F18A3">
              <w:rPr>
                <w:rFonts w:ascii="Arial" w:hAnsi="Arial"/>
              </w:rPr>
              <w:t>0</w:t>
            </w:r>
            <w:r w:rsidR="00A706C8">
              <w:rPr>
                <w:rFonts w:ascii="Arial" w:hAnsi="Arial"/>
              </w:rPr>
              <w:t>2</w:t>
            </w:r>
            <w:r w:rsidR="00023421">
              <w:rPr>
                <w:rFonts w:ascii="Arial" w:hAnsi="Arial"/>
              </w:rPr>
              <w:t>/0</w:t>
            </w:r>
            <w:r w:rsidR="000F18A3">
              <w:rPr>
                <w:rFonts w:ascii="Arial" w:hAnsi="Arial"/>
              </w:rPr>
              <w:t>7</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AEDD" w14:textId="77777777" w:rsidR="00BB1D75" w:rsidRDefault="00BB1D75">
      <w:r>
        <w:separator/>
      </w:r>
    </w:p>
  </w:endnote>
  <w:endnote w:type="continuationSeparator" w:id="0">
    <w:p w14:paraId="462EBCF1" w14:textId="77777777" w:rsidR="00BB1D75" w:rsidRDefault="00B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B95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E46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4ED0" w14:textId="77777777" w:rsidR="00BB1D75" w:rsidRDefault="00BB1D75">
      <w:r>
        <w:separator/>
      </w:r>
    </w:p>
  </w:footnote>
  <w:footnote w:type="continuationSeparator" w:id="0">
    <w:p w14:paraId="40DB0473" w14:textId="77777777" w:rsidR="00BB1D75" w:rsidRDefault="00BB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31"/>
  </w:num>
  <w:num w:numId="9">
    <w:abstractNumId w:val="23"/>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30"/>
  </w:num>
  <w:num w:numId="21">
    <w:abstractNumId w:val="1"/>
  </w:num>
  <w:num w:numId="22">
    <w:abstractNumId w:val="0"/>
  </w:num>
  <w:num w:numId="23">
    <w:abstractNumId w:val="26"/>
  </w:num>
  <w:num w:numId="24">
    <w:abstractNumId w:val="22"/>
  </w:num>
  <w:num w:numId="25">
    <w:abstractNumId w:val="6"/>
  </w:num>
  <w:num w:numId="26">
    <w:abstractNumId w:val="32"/>
  </w:num>
  <w:num w:numId="27">
    <w:abstractNumId w:val="34"/>
  </w:num>
  <w:num w:numId="28">
    <w:abstractNumId w:val="7"/>
  </w:num>
  <w:num w:numId="29">
    <w:abstractNumId w:val="13"/>
  </w:num>
  <w:num w:numId="30">
    <w:abstractNumId w:val="17"/>
  </w:num>
  <w:num w:numId="31">
    <w:abstractNumId w:val="5"/>
  </w:num>
  <w:num w:numId="32">
    <w:abstractNumId w:val="24"/>
  </w:num>
  <w:num w:numId="33">
    <w:abstractNumId w:val="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23421"/>
    <w:rsid w:val="00030265"/>
    <w:rsid w:val="00033ABE"/>
    <w:rsid w:val="000462DC"/>
    <w:rsid w:val="000620B8"/>
    <w:rsid w:val="00073BA8"/>
    <w:rsid w:val="00074550"/>
    <w:rsid w:val="00094394"/>
    <w:rsid w:val="000945FF"/>
    <w:rsid w:val="00094955"/>
    <w:rsid w:val="000954E9"/>
    <w:rsid w:val="000A1679"/>
    <w:rsid w:val="000A1AB1"/>
    <w:rsid w:val="000B0D70"/>
    <w:rsid w:val="000B1BCE"/>
    <w:rsid w:val="000B2461"/>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4081F"/>
    <w:rsid w:val="0014406D"/>
    <w:rsid w:val="00152273"/>
    <w:rsid w:val="00165CB6"/>
    <w:rsid w:val="00166158"/>
    <w:rsid w:val="001740BD"/>
    <w:rsid w:val="00185EC3"/>
    <w:rsid w:val="00196ACD"/>
    <w:rsid w:val="001A5AA6"/>
    <w:rsid w:val="001B28AF"/>
    <w:rsid w:val="001B67EA"/>
    <w:rsid w:val="001C2D52"/>
    <w:rsid w:val="001D0265"/>
    <w:rsid w:val="001D23CE"/>
    <w:rsid w:val="001D6115"/>
    <w:rsid w:val="001E25F7"/>
    <w:rsid w:val="001F49A4"/>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425A"/>
    <w:rsid w:val="00327E49"/>
    <w:rsid w:val="0034304E"/>
    <w:rsid w:val="00347220"/>
    <w:rsid w:val="00347A87"/>
    <w:rsid w:val="0036452A"/>
    <w:rsid w:val="003669A9"/>
    <w:rsid w:val="00371A64"/>
    <w:rsid w:val="00375D16"/>
    <w:rsid w:val="00387FA8"/>
    <w:rsid w:val="003B53F8"/>
    <w:rsid w:val="003B7A52"/>
    <w:rsid w:val="003C02A4"/>
    <w:rsid w:val="003C15A9"/>
    <w:rsid w:val="003C51C5"/>
    <w:rsid w:val="003D3F52"/>
    <w:rsid w:val="003E5061"/>
    <w:rsid w:val="003F1389"/>
    <w:rsid w:val="003F3026"/>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B506B"/>
    <w:rsid w:val="004C07A1"/>
    <w:rsid w:val="004E4F81"/>
    <w:rsid w:val="004E5AD5"/>
    <w:rsid w:val="004E5AFC"/>
    <w:rsid w:val="004F119A"/>
    <w:rsid w:val="004F3B84"/>
    <w:rsid w:val="004F66AB"/>
    <w:rsid w:val="00507ACF"/>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202"/>
    <w:rsid w:val="00650B94"/>
    <w:rsid w:val="006729E5"/>
    <w:rsid w:val="0067500B"/>
    <w:rsid w:val="00692C83"/>
    <w:rsid w:val="0069326C"/>
    <w:rsid w:val="00694CC7"/>
    <w:rsid w:val="006A0B2A"/>
    <w:rsid w:val="006B36FB"/>
    <w:rsid w:val="006B458A"/>
    <w:rsid w:val="006C1E0C"/>
    <w:rsid w:val="006C62F7"/>
    <w:rsid w:val="006C7370"/>
    <w:rsid w:val="006C7657"/>
    <w:rsid w:val="006D1A06"/>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A1BFD"/>
    <w:rsid w:val="008B2474"/>
    <w:rsid w:val="008B5131"/>
    <w:rsid w:val="008B7E92"/>
    <w:rsid w:val="008C26E9"/>
    <w:rsid w:val="008C73C8"/>
    <w:rsid w:val="008D270C"/>
    <w:rsid w:val="008D5122"/>
    <w:rsid w:val="008E3B35"/>
    <w:rsid w:val="008F0D4D"/>
    <w:rsid w:val="008F19CC"/>
    <w:rsid w:val="008F30A1"/>
    <w:rsid w:val="00900A38"/>
    <w:rsid w:val="0090315D"/>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A7B4E"/>
    <w:rsid w:val="009B5585"/>
    <w:rsid w:val="009D16F2"/>
    <w:rsid w:val="009D6A8C"/>
    <w:rsid w:val="009E14BB"/>
    <w:rsid w:val="009E16F8"/>
    <w:rsid w:val="009E6418"/>
    <w:rsid w:val="00A017A6"/>
    <w:rsid w:val="00A0532E"/>
    <w:rsid w:val="00A16B3B"/>
    <w:rsid w:val="00A2251A"/>
    <w:rsid w:val="00A23C08"/>
    <w:rsid w:val="00A241EF"/>
    <w:rsid w:val="00A33D53"/>
    <w:rsid w:val="00A35B7D"/>
    <w:rsid w:val="00A364F7"/>
    <w:rsid w:val="00A37A50"/>
    <w:rsid w:val="00A37FA3"/>
    <w:rsid w:val="00A47914"/>
    <w:rsid w:val="00A66377"/>
    <w:rsid w:val="00A670A4"/>
    <w:rsid w:val="00A6779D"/>
    <w:rsid w:val="00A6786C"/>
    <w:rsid w:val="00A67EA2"/>
    <w:rsid w:val="00A706C8"/>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E06CE"/>
    <w:rsid w:val="00BF1A4D"/>
    <w:rsid w:val="00BF3379"/>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D3E73"/>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18A5"/>
    <w:rsid w:val="00E02B18"/>
    <w:rsid w:val="00E24293"/>
    <w:rsid w:val="00E24ABB"/>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E4168"/>
    <w:rsid w:val="00F0055B"/>
    <w:rsid w:val="00F10F1D"/>
    <w:rsid w:val="00F12933"/>
    <w:rsid w:val="00F1359E"/>
    <w:rsid w:val="00F1704B"/>
    <w:rsid w:val="00F21064"/>
    <w:rsid w:val="00F30EE0"/>
    <w:rsid w:val="00F411CB"/>
    <w:rsid w:val="00F71BA8"/>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6548</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168</cp:revision>
  <cp:lastPrinted>2004-05-10T18:28:00Z</cp:lastPrinted>
  <dcterms:created xsi:type="dcterms:W3CDTF">2018-02-01T18:59:00Z</dcterms:created>
  <dcterms:modified xsi:type="dcterms:W3CDTF">2022-02-21T20:59:00Z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