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84D6" w14:textId="77777777" w:rsidR="00A3385D" w:rsidRDefault="00A3385D" w:rsidP="00C02CAC">
      <w:pPr>
        <w:jc w:val="both"/>
        <w:rPr>
          <w:sz w:val="20"/>
          <w:szCs w:val="20"/>
        </w:rPr>
      </w:pPr>
    </w:p>
    <w:p w14:paraId="033CF1B0" w14:textId="405BCF3A" w:rsidR="00DE447F" w:rsidRDefault="00DE447F" w:rsidP="00DE447F">
      <w:pPr>
        <w:pStyle w:val="Header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E17472" wp14:editId="17D77979">
            <wp:simplePos x="0" y="0"/>
            <wp:positionH relativeFrom="column">
              <wp:align>left</wp:align>
            </wp:positionH>
            <wp:positionV relativeFrom="paragraph">
              <wp:posOffset>182880</wp:posOffset>
            </wp:positionV>
            <wp:extent cx="1743710" cy="8477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0B039" w14:textId="77777777" w:rsidR="00DE447F" w:rsidRDefault="00DE447F" w:rsidP="00DE447F">
      <w:pPr>
        <w:pStyle w:val="Header"/>
        <w:jc w:val="right"/>
      </w:pPr>
      <w:r>
        <w:t>789 West Pender St., Suite 810</w:t>
      </w:r>
      <w:r>
        <w:br/>
        <w:t>Vancouver, BC V6C 1H2</w:t>
      </w:r>
      <w:r>
        <w:br/>
        <w:t>Tel: 604-687-2038</w:t>
      </w:r>
      <w:r>
        <w:br/>
      </w:r>
      <w:r w:rsidRPr="006466F0">
        <w:t>www.goldnfuturesmineralcorp.com</w:t>
      </w:r>
    </w:p>
    <w:p w14:paraId="1EC5EF3E" w14:textId="0D7627E1" w:rsidR="00A3385D" w:rsidRDefault="00A3385D" w:rsidP="00C02CAC">
      <w:pPr>
        <w:jc w:val="both"/>
        <w:rPr>
          <w:sz w:val="20"/>
          <w:szCs w:val="20"/>
        </w:rPr>
      </w:pPr>
    </w:p>
    <w:p w14:paraId="40B5A560" w14:textId="77777777" w:rsidR="00DE447F" w:rsidRDefault="00DE447F" w:rsidP="00C02CAC">
      <w:pPr>
        <w:jc w:val="both"/>
        <w:rPr>
          <w:sz w:val="20"/>
          <w:szCs w:val="20"/>
        </w:rPr>
      </w:pPr>
    </w:p>
    <w:p w14:paraId="2A77EDC6" w14:textId="3812B4FA" w:rsidR="007F46B7" w:rsidRPr="00E53542" w:rsidRDefault="007F46B7" w:rsidP="00C02CAC">
      <w:pPr>
        <w:jc w:val="both"/>
        <w:rPr>
          <w:rFonts w:ascii="Arial" w:hAnsi="Arial" w:cs="Arial"/>
        </w:rPr>
      </w:pPr>
      <w:r w:rsidRPr="00E53542">
        <w:rPr>
          <w:rFonts w:ascii="Arial" w:hAnsi="Arial" w:cs="Arial"/>
        </w:rPr>
        <w:t xml:space="preserve">POSTED TO CSE </w:t>
      </w:r>
    </w:p>
    <w:p w14:paraId="55E98D02" w14:textId="2458DFFF" w:rsidR="007F46B7" w:rsidRPr="00E53542" w:rsidRDefault="00A64E9D" w:rsidP="00C02CAC">
      <w:pPr>
        <w:jc w:val="both"/>
        <w:rPr>
          <w:rFonts w:ascii="Arial" w:hAnsi="Arial" w:cs="Arial"/>
          <w:b/>
        </w:rPr>
      </w:pPr>
      <w:r w:rsidRPr="00E53542">
        <w:rPr>
          <w:rFonts w:ascii="Arial" w:hAnsi="Arial" w:cs="Arial"/>
          <w:b/>
        </w:rPr>
        <w:t xml:space="preserve">January </w:t>
      </w:r>
      <w:r w:rsidR="00FC1BBA">
        <w:rPr>
          <w:rFonts w:ascii="Arial" w:hAnsi="Arial" w:cs="Arial"/>
          <w:b/>
        </w:rPr>
        <w:t>1</w:t>
      </w:r>
      <w:r w:rsidR="00166473" w:rsidRPr="00E53542">
        <w:rPr>
          <w:rFonts w:ascii="Arial" w:hAnsi="Arial" w:cs="Arial"/>
          <w:b/>
        </w:rPr>
        <w:t>7</w:t>
      </w:r>
      <w:r w:rsidRPr="00E53542">
        <w:rPr>
          <w:rFonts w:ascii="Arial" w:hAnsi="Arial" w:cs="Arial"/>
          <w:b/>
        </w:rPr>
        <w:t>, 2022</w:t>
      </w:r>
    </w:p>
    <w:p w14:paraId="7BD37BE3" w14:textId="77777777" w:rsidR="007F46B7" w:rsidRPr="00E53542" w:rsidRDefault="007F46B7" w:rsidP="00E62AEF">
      <w:pPr>
        <w:spacing w:after="0"/>
        <w:jc w:val="both"/>
        <w:rPr>
          <w:rFonts w:ascii="Arial" w:hAnsi="Arial" w:cs="Arial"/>
        </w:rPr>
      </w:pPr>
      <w:r w:rsidRPr="00E53542">
        <w:rPr>
          <w:rFonts w:ascii="Arial" w:hAnsi="Arial" w:cs="Arial"/>
        </w:rPr>
        <w:t>Canadian Securities Exchange</w:t>
      </w:r>
    </w:p>
    <w:p w14:paraId="7B449E76" w14:textId="77777777" w:rsidR="00DF6942" w:rsidRPr="00E53542" w:rsidRDefault="00DF6942" w:rsidP="007F46B7">
      <w:pPr>
        <w:spacing w:after="0"/>
        <w:jc w:val="both"/>
        <w:rPr>
          <w:rFonts w:ascii="Arial" w:hAnsi="Arial" w:cs="Arial"/>
        </w:rPr>
      </w:pPr>
      <w:r w:rsidRPr="00E53542">
        <w:rPr>
          <w:rFonts w:ascii="Arial" w:hAnsi="Arial" w:cs="Arial"/>
        </w:rPr>
        <w:t xml:space="preserve">First Canadian Place, </w:t>
      </w:r>
    </w:p>
    <w:p w14:paraId="127FFD65" w14:textId="77777777" w:rsidR="00DF6942" w:rsidRPr="00E53542" w:rsidRDefault="00DF6942" w:rsidP="007F46B7">
      <w:pPr>
        <w:spacing w:after="0"/>
        <w:jc w:val="both"/>
        <w:rPr>
          <w:rFonts w:ascii="Arial" w:hAnsi="Arial" w:cs="Arial"/>
        </w:rPr>
      </w:pPr>
      <w:r w:rsidRPr="00E53542">
        <w:rPr>
          <w:rFonts w:ascii="Arial" w:hAnsi="Arial" w:cs="Arial"/>
        </w:rPr>
        <w:t>100 King Street West Suite 7210</w:t>
      </w:r>
    </w:p>
    <w:p w14:paraId="5328CE27" w14:textId="77777777" w:rsidR="007F46B7" w:rsidRPr="00E53542" w:rsidRDefault="00DF6942" w:rsidP="007F46B7">
      <w:pPr>
        <w:spacing w:after="0"/>
        <w:jc w:val="both"/>
        <w:rPr>
          <w:rFonts w:ascii="Arial" w:hAnsi="Arial" w:cs="Arial"/>
        </w:rPr>
      </w:pPr>
      <w:r w:rsidRPr="00E53542">
        <w:rPr>
          <w:rFonts w:ascii="Arial" w:hAnsi="Arial" w:cs="Arial"/>
        </w:rPr>
        <w:t>Toronto, ON M5X 1E1</w:t>
      </w:r>
    </w:p>
    <w:p w14:paraId="5F798C6D" w14:textId="77777777" w:rsidR="00DF6942" w:rsidRPr="00E53542" w:rsidRDefault="00DF6942" w:rsidP="007F46B7">
      <w:pPr>
        <w:spacing w:after="0"/>
        <w:jc w:val="both"/>
        <w:rPr>
          <w:rFonts w:ascii="Arial" w:hAnsi="Arial" w:cs="Arial"/>
        </w:rPr>
      </w:pPr>
    </w:p>
    <w:p w14:paraId="550D1EC4" w14:textId="77777777" w:rsidR="007F46B7" w:rsidRPr="00E53542" w:rsidRDefault="007F46B7" w:rsidP="007F46B7">
      <w:pPr>
        <w:spacing w:after="0"/>
        <w:jc w:val="both"/>
        <w:rPr>
          <w:rFonts w:ascii="Arial" w:hAnsi="Arial" w:cs="Arial"/>
        </w:rPr>
      </w:pPr>
      <w:r w:rsidRPr="00E53542">
        <w:rPr>
          <w:rFonts w:ascii="Arial" w:hAnsi="Arial" w:cs="Arial"/>
        </w:rPr>
        <w:t xml:space="preserve">Dear Sirs/Mesdames: </w:t>
      </w:r>
    </w:p>
    <w:p w14:paraId="736237FE" w14:textId="77777777" w:rsidR="007F46B7" w:rsidRPr="00E53542" w:rsidRDefault="007F46B7" w:rsidP="00C02CAC">
      <w:pPr>
        <w:jc w:val="both"/>
        <w:rPr>
          <w:rFonts w:ascii="Arial" w:hAnsi="Arial" w:cs="Arial"/>
          <w:b/>
        </w:rPr>
      </w:pPr>
    </w:p>
    <w:p w14:paraId="1A0AEF9B" w14:textId="4888E501" w:rsidR="007F46B7" w:rsidRPr="00E53542" w:rsidRDefault="007F46B7" w:rsidP="007F46B7">
      <w:pPr>
        <w:spacing w:after="0"/>
        <w:jc w:val="both"/>
        <w:rPr>
          <w:rFonts w:ascii="Arial" w:hAnsi="Arial" w:cs="Arial"/>
          <w:b/>
        </w:rPr>
      </w:pPr>
      <w:r w:rsidRPr="00E53542">
        <w:rPr>
          <w:rFonts w:ascii="Arial" w:hAnsi="Arial" w:cs="Arial"/>
          <w:b/>
        </w:rPr>
        <w:t xml:space="preserve">RE: </w:t>
      </w:r>
      <w:r w:rsidRPr="00E53542">
        <w:rPr>
          <w:rFonts w:ascii="Arial" w:hAnsi="Arial" w:cs="Arial"/>
          <w:b/>
        </w:rPr>
        <w:tab/>
      </w:r>
      <w:r w:rsidR="00A64E9D" w:rsidRPr="00E53542">
        <w:rPr>
          <w:rFonts w:ascii="Arial" w:hAnsi="Arial" w:cs="Arial"/>
          <w:b/>
        </w:rPr>
        <w:t>Gold’n Futures Mineral Corp.</w:t>
      </w:r>
      <w:r w:rsidRPr="00E53542">
        <w:rPr>
          <w:rFonts w:ascii="Arial" w:hAnsi="Arial" w:cs="Arial"/>
          <w:b/>
        </w:rPr>
        <w:t xml:space="preserve"> (the “Company”) </w:t>
      </w:r>
    </w:p>
    <w:p w14:paraId="3096C92D" w14:textId="13962374" w:rsidR="007F46B7" w:rsidRPr="00E53542" w:rsidRDefault="007F46B7" w:rsidP="00DE447F">
      <w:pPr>
        <w:pBdr>
          <w:bottom w:val="single" w:sz="4" w:space="1" w:color="auto"/>
        </w:pBdr>
        <w:spacing w:after="0"/>
        <w:ind w:firstLine="720"/>
        <w:jc w:val="both"/>
        <w:rPr>
          <w:rFonts w:ascii="Arial" w:hAnsi="Arial" w:cs="Arial"/>
          <w:b/>
        </w:rPr>
      </w:pPr>
      <w:r w:rsidRPr="00E53542">
        <w:rPr>
          <w:rFonts w:ascii="Arial" w:hAnsi="Arial" w:cs="Arial"/>
          <w:b/>
        </w:rPr>
        <w:t xml:space="preserve">Cancellation of </w:t>
      </w:r>
      <w:r w:rsidR="00CC1E33" w:rsidRPr="00E53542">
        <w:rPr>
          <w:rFonts w:ascii="Arial" w:hAnsi="Arial" w:cs="Arial"/>
          <w:b/>
        </w:rPr>
        <w:t xml:space="preserve">Stock </w:t>
      </w:r>
      <w:r w:rsidRPr="00E53542">
        <w:rPr>
          <w:rFonts w:ascii="Arial" w:hAnsi="Arial" w:cs="Arial"/>
          <w:b/>
        </w:rPr>
        <w:t>Option</w:t>
      </w:r>
      <w:r w:rsidR="00E62AEF" w:rsidRPr="00E53542">
        <w:rPr>
          <w:rFonts w:ascii="Arial" w:hAnsi="Arial" w:cs="Arial"/>
          <w:b/>
        </w:rPr>
        <w:t>s</w:t>
      </w:r>
    </w:p>
    <w:p w14:paraId="01DAC8E0" w14:textId="77777777" w:rsidR="00DE447F" w:rsidRPr="00E53542" w:rsidRDefault="00DE447F" w:rsidP="007F46B7">
      <w:pPr>
        <w:spacing w:after="0"/>
        <w:ind w:firstLine="720"/>
        <w:jc w:val="both"/>
        <w:rPr>
          <w:rFonts w:ascii="Arial" w:hAnsi="Arial" w:cs="Arial"/>
          <w:b/>
        </w:rPr>
      </w:pPr>
    </w:p>
    <w:p w14:paraId="4A4BA372" w14:textId="62CEED9C" w:rsidR="007F46B7" w:rsidRPr="00E53542" w:rsidRDefault="007F46B7" w:rsidP="007F46B7">
      <w:pPr>
        <w:spacing w:after="0"/>
        <w:jc w:val="both"/>
        <w:rPr>
          <w:rFonts w:ascii="Arial" w:hAnsi="Arial" w:cs="Arial"/>
        </w:rPr>
      </w:pPr>
      <w:r w:rsidRPr="00E53542">
        <w:rPr>
          <w:rFonts w:ascii="Arial" w:hAnsi="Arial" w:cs="Arial"/>
        </w:rPr>
        <w:t>This letter is to confirm</w:t>
      </w:r>
      <w:r w:rsidR="00FC1BBA">
        <w:rPr>
          <w:rFonts w:ascii="Arial" w:hAnsi="Arial" w:cs="Arial"/>
        </w:rPr>
        <w:t xml:space="preserve">, effective January 7, 2022, </w:t>
      </w:r>
      <w:r w:rsidRPr="00E53542">
        <w:rPr>
          <w:rFonts w:ascii="Arial" w:hAnsi="Arial" w:cs="Arial"/>
        </w:rPr>
        <w:t>the cancellation of</w:t>
      </w:r>
      <w:r w:rsidR="002D30F0" w:rsidRPr="00E53542">
        <w:rPr>
          <w:rFonts w:ascii="Arial" w:hAnsi="Arial" w:cs="Arial"/>
        </w:rPr>
        <w:t xml:space="preserve"> </w:t>
      </w:r>
      <w:r w:rsidR="006B286A" w:rsidRPr="00E53542">
        <w:rPr>
          <w:rFonts w:ascii="Arial" w:hAnsi="Arial" w:cs="Arial"/>
        </w:rPr>
        <w:t xml:space="preserve">an aggregate of </w:t>
      </w:r>
      <w:r w:rsidR="00E53542">
        <w:rPr>
          <w:rFonts w:ascii="Arial" w:hAnsi="Arial" w:cs="Arial"/>
        </w:rPr>
        <w:t>6,</w:t>
      </w:r>
      <w:r w:rsidR="005327E7">
        <w:rPr>
          <w:rFonts w:ascii="Arial" w:hAnsi="Arial" w:cs="Arial"/>
        </w:rPr>
        <w:t>550,000</w:t>
      </w:r>
      <w:r w:rsidR="006B286A" w:rsidRPr="00E53542">
        <w:rPr>
          <w:rFonts w:ascii="Arial" w:hAnsi="Arial" w:cs="Arial"/>
        </w:rPr>
        <w:t xml:space="preserve"> incentive stock options (the "Cancelled Options") previo</w:t>
      </w:r>
      <w:r w:rsidR="00EF1D05" w:rsidRPr="00E53542">
        <w:rPr>
          <w:rFonts w:ascii="Arial" w:hAnsi="Arial" w:cs="Arial"/>
        </w:rPr>
        <w:t xml:space="preserve">usly held by certain </w:t>
      </w:r>
      <w:r w:rsidR="00A64E9D" w:rsidRPr="00E53542">
        <w:rPr>
          <w:rFonts w:ascii="Arial" w:hAnsi="Arial" w:cs="Arial"/>
        </w:rPr>
        <w:t>directors, officers, and consultants</w:t>
      </w:r>
      <w:r w:rsidR="006B286A" w:rsidRPr="00E53542">
        <w:rPr>
          <w:rFonts w:ascii="Arial" w:hAnsi="Arial" w:cs="Arial"/>
        </w:rPr>
        <w:t xml:space="preserve"> of the Company. The Cancelled Options were comprised of the following:</w:t>
      </w:r>
    </w:p>
    <w:p w14:paraId="52CA1E3C" w14:textId="77777777" w:rsidR="006B286A" w:rsidRPr="00E53542" w:rsidRDefault="006B286A" w:rsidP="007F46B7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983"/>
        <w:gridCol w:w="2259"/>
        <w:gridCol w:w="2250"/>
        <w:gridCol w:w="1278"/>
      </w:tblGrid>
      <w:tr w:rsidR="006B3311" w:rsidRPr="00E53542" w14:paraId="0C389EF0" w14:textId="77777777" w:rsidTr="00E53542">
        <w:trPr>
          <w:trHeight w:val="503"/>
        </w:trPr>
        <w:tc>
          <w:tcPr>
            <w:tcW w:w="1806" w:type="dxa"/>
          </w:tcPr>
          <w:p w14:paraId="2EF6CB20" w14:textId="77777777" w:rsidR="006B3311" w:rsidRPr="00E53542" w:rsidRDefault="006B3311" w:rsidP="004D7975">
            <w:pPr>
              <w:jc w:val="center"/>
              <w:rPr>
                <w:rFonts w:ascii="Arial" w:hAnsi="Arial" w:cs="Arial"/>
                <w:b/>
              </w:rPr>
            </w:pPr>
            <w:r w:rsidRPr="00E5354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3" w:type="dxa"/>
          </w:tcPr>
          <w:p w14:paraId="4CDB509C" w14:textId="77777777" w:rsidR="006B3311" w:rsidRPr="00E53542" w:rsidRDefault="006B3311" w:rsidP="004D7975">
            <w:pPr>
              <w:jc w:val="center"/>
              <w:rPr>
                <w:rFonts w:ascii="Arial" w:hAnsi="Arial" w:cs="Arial"/>
                <w:b/>
              </w:rPr>
            </w:pPr>
            <w:r w:rsidRPr="00E53542">
              <w:rPr>
                <w:rFonts w:ascii="Arial" w:hAnsi="Arial" w:cs="Arial"/>
                <w:b/>
              </w:rPr>
              <w:t>Number of</w:t>
            </w:r>
          </w:p>
          <w:p w14:paraId="14B03D2D" w14:textId="77777777" w:rsidR="006B3311" w:rsidRPr="00E53542" w:rsidRDefault="006B3311" w:rsidP="004D7975">
            <w:pPr>
              <w:jc w:val="center"/>
              <w:rPr>
                <w:rFonts w:ascii="Arial" w:hAnsi="Arial" w:cs="Arial"/>
                <w:b/>
              </w:rPr>
            </w:pPr>
            <w:r w:rsidRPr="00E53542">
              <w:rPr>
                <w:rFonts w:ascii="Arial" w:hAnsi="Arial" w:cs="Arial"/>
                <w:b/>
              </w:rPr>
              <w:t>Cancelled Options</w:t>
            </w:r>
          </w:p>
        </w:tc>
        <w:tc>
          <w:tcPr>
            <w:tcW w:w="2259" w:type="dxa"/>
          </w:tcPr>
          <w:p w14:paraId="4827AC48" w14:textId="77777777" w:rsidR="006B3311" w:rsidRPr="00E53542" w:rsidRDefault="006B3311" w:rsidP="004D7975">
            <w:pPr>
              <w:jc w:val="center"/>
              <w:rPr>
                <w:rFonts w:ascii="Arial" w:hAnsi="Arial" w:cs="Arial"/>
                <w:b/>
              </w:rPr>
            </w:pPr>
            <w:r w:rsidRPr="00E53542">
              <w:rPr>
                <w:rFonts w:ascii="Arial" w:hAnsi="Arial" w:cs="Arial"/>
                <w:b/>
              </w:rPr>
              <w:t>Original Date of</w:t>
            </w:r>
          </w:p>
          <w:p w14:paraId="35092431" w14:textId="77777777" w:rsidR="006B3311" w:rsidRPr="00E53542" w:rsidRDefault="006B3311" w:rsidP="004D7975">
            <w:pPr>
              <w:jc w:val="center"/>
              <w:rPr>
                <w:rFonts w:ascii="Arial" w:hAnsi="Arial" w:cs="Arial"/>
                <w:b/>
              </w:rPr>
            </w:pPr>
            <w:r w:rsidRPr="00E53542">
              <w:rPr>
                <w:rFonts w:ascii="Arial" w:hAnsi="Arial" w:cs="Arial"/>
                <w:b/>
              </w:rPr>
              <w:t>Grant</w:t>
            </w:r>
          </w:p>
        </w:tc>
        <w:tc>
          <w:tcPr>
            <w:tcW w:w="2250" w:type="dxa"/>
          </w:tcPr>
          <w:p w14:paraId="3ABE4411" w14:textId="77777777" w:rsidR="006B3311" w:rsidRPr="00E53542" w:rsidRDefault="006B3311" w:rsidP="004D7975">
            <w:pPr>
              <w:jc w:val="center"/>
              <w:rPr>
                <w:rFonts w:ascii="Arial" w:hAnsi="Arial" w:cs="Arial"/>
                <w:b/>
              </w:rPr>
            </w:pPr>
            <w:r w:rsidRPr="00E53542">
              <w:rPr>
                <w:rFonts w:ascii="Arial" w:hAnsi="Arial" w:cs="Arial"/>
                <w:b/>
              </w:rPr>
              <w:t>Expiry Date</w:t>
            </w:r>
          </w:p>
        </w:tc>
        <w:tc>
          <w:tcPr>
            <w:tcW w:w="1278" w:type="dxa"/>
          </w:tcPr>
          <w:p w14:paraId="304618F8" w14:textId="77777777" w:rsidR="006B3311" w:rsidRPr="00E53542" w:rsidRDefault="006B3311" w:rsidP="004D7975">
            <w:pPr>
              <w:jc w:val="center"/>
              <w:rPr>
                <w:rFonts w:ascii="Arial" w:hAnsi="Arial" w:cs="Arial"/>
                <w:b/>
              </w:rPr>
            </w:pPr>
            <w:r w:rsidRPr="00E53542">
              <w:rPr>
                <w:rFonts w:ascii="Arial" w:hAnsi="Arial" w:cs="Arial"/>
                <w:b/>
              </w:rPr>
              <w:t>Exercise Price</w:t>
            </w:r>
          </w:p>
        </w:tc>
      </w:tr>
      <w:tr w:rsidR="006B3311" w:rsidRPr="00E53542" w14:paraId="71BB211B" w14:textId="77777777" w:rsidTr="00E53542">
        <w:tc>
          <w:tcPr>
            <w:tcW w:w="1806" w:type="dxa"/>
          </w:tcPr>
          <w:p w14:paraId="7336238B" w14:textId="5B299C68" w:rsidR="006B3311" w:rsidRPr="00E53542" w:rsidRDefault="00A3385D" w:rsidP="00FE54EA">
            <w:pPr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Consultant</w:t>
            </w:r>
            <w:r w:rsidR="00F206EB" w:rsidRPr="00E53542">
              <w:rPr>
                <w:rFonts w:ascii="Arial" w:hAnsi="Arial" w:cs="Arial"/>
              </w:rPr>
              <w:t>s</w:t>
            </w:r>
          </w:p>
        </w:tc>
        <w:tc>
          <w:tcPr>
            <w:tcW w:w="1983" w:type="dxa"/>
          </w:tcPr>
          <w:p w14:paraId="7EFE7AD6" w14:textId="5596DA4D" w:rsidR="006B3311" w:rsidRPr="00E53542" w:rsidRDefault="00FE54EA" w:rsidP="00FE54EA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3,450,000</w:t>
            </w:r>
          </w:p>
        </w:tc>
        <w:tc>
          <w:tcPr>
            <w:tcW w:w="2259" w:type="dxa"/>
          </w:tcPr>
          <w:p w14:paraId="03BB60F4" w14:textId="064E14C4" w:rsidR="006B3311" w:rsidRPr="00E53542" w:rsidRDefault="007C1F0F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August 27, 2020</w:t>
            </w:r>
          </w:p>
        </w:tc>
        <w:tc>
          <w:tcPr>
            <w:tcW w:w="2250" w:type="dxa"/>
          </w:tcPr>
          <w:p w14:paraId="468311D5" w14:textId="145AC724" w:rsidR="006B3311" w:rsidRPr="00E53542" w:rsidRDefault="007C1F0F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August 27, 2025</w:t>
            </w:r>
          </w:p>
        </w:tc>
        <w:tc>
          <w:tcPr>
            <w:tcW w:w="1278" w:type="dxa"/>
          </w:tcPr>
          <w:p w14:paraId="2D500421" w14:textId="337BE461" w:rsidR="006B3311" w:rsidRPr="00E53542" w:rsidRDefault="00A3385D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$0.</w:t>
            </w:r>
            <w:r w:rsidR="007C1F0F" w:rsidRPr="00E53542">
              <w:rPr>
                <w:rFonts w:ascii="Arial" w:hAnsi="Arial" w:cs="Arial"/>
              </w:rPr>
              <w:t>25</w:t>
            </w:r>
          </w:p>
        </w:tc>
      </w:tr>
      <w:tr w:rsidR="006B3311" w:rsidRPr="00E53542" w14:paraId="64E0C49F" w14:textId="77777777" w:rsidTr="00E53542">
        <w:tc>
          <w:tcPr>
            <w:tcW w:w="1806" w:type="dxa"/>
          </w:tcPr>
          <w:p w14:paraId="32F1EEB6" w14:textId="26B57F6A" w:rsidR="006B3311" w:rsidRPr="00E53542" w:rsidRDefault="007C1F0F" w:rsidP="00FE54EA">
            <w:pPr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Director/Officers</w:t>
            </w:r>
          </w:p>
        </w:tc>
        <w:tc>
          <w:tcPr>
            <w:tcW w:w="1983" w:type="dxa"/>
          </w:tcPr>
          <w:p w14:paraId="065F9729" w14:textId="2224DF97" w:rsidR="006B3311" w:rsidRPr="00E53542" w:rsidRDefault="00FE54EA" w:rsidP="00FE54EA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1,350,000</w:t>
            </w:r>
          </w:p>
        </w:tc>
        <w:tc>
          <w:tcPr>
            <w:tcW w:w="2259" w:type="dxa"/>
          </w:tcPr>
          <w:p w14:paraId="1C36A79C" w14:textId="424758EC" w:rsidR="006B3311" w:rsidRPr="00E53542" w:rsidRDefault="007C1F0F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August 27, 2020</w:t>
            </w:r>
          </w:p>
        </w:tc>
        <w:tc>
          <w:tcPr>
            <w:tcW w:w="2250" w:type="dxa"/>
          </w:tcPr>
          <w:p w14:paraId="77C8C97C" w14:textId="1BC5D4FB" w:rsidR="006B3311" w:rsidRPr="00E53542" w:rsidRDefault="007C1F0F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August 27, 2025</w:t>
            </w:r>
          </w:p>
        </w:tc>
        <w:tc>
          <w:tcPr>
            <w:tcW w:w="1278" w:type="dxa"/>
          </w:tcPr>
          <w:p w14:paraId="6CE694A1" w14:textId="68843897" w:rsidR="006B3311" w:rsidRPr="00E53542" w:rsidRDefault="007C1F0F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$0.25</w:t>
            </w:r>
          </w:p>
        </w:tc>
      </w:tr>
      <w:tr w:rsidR="006B3311" w:rsidRPr="00E53542" w14:paraId="1D432E68" w14:textId="77777777" w:rsidTr="00E53542">
        <w:tc>
          <w:tcPr>
            <w:tcW w:w="1806" w:type="dxa"/>
          </w:tcPr>
          <w:p w14:paraId="1DE3E367" w14:textId="4AF9DEA1" w:rsidR="006B3311" w:rsidRPr="00E53542" w:rsidRDefault="00FE54EA" w:rsidP="00FE54EA">
            <w:pPr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Director</w:t>
            </w:r>
          </w:p>
        </w:tc>
        <w:tc>
          <w:tcPr>
            <w:tcW w:w="1983" w:type="dxa"/>
          </w:tcPr>
          <w:p w14:paraId="4A979F83" w14:textId="725502E7" w:rsidR="006B3311" w:rsidRPr="00E53542" w:rsidRDefault="00FE54EA" w:rsidP="00FE54EA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1,000,000</w:t>
            </w:r>
          </w:p>
        </w:tc>
        <w:tc>
          <w:tcPr>
            <w:tcW w:w="2259" w:type="dxa"/>
          </w:tcPr>
          <w:p w14:paraId="35CF4E2A" w14:textId="6EB4FDE4" w:rsidR="006B3311" w:rsidRPr="00E53542" w:rsidRDefault="00FE54EA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September 22, 2020</w:t>
            </w:r>
          </w:p>
        </w:tc>
        <w:tc>
          <w:tcPr>
            <w:tcW w:w="2250" w:type="dxa"/>
          </w:tcPr>
          <w:p w14:paraId="6CF67879" w14:textId="05B82A5C" w:rsidR="006B3311" w:rsidRPr="00E53542" w:rsidRDefault="00FE54EA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September 22, 202</w:t>
            </w:r>
            <w:r w:rsidR="005327E7">
              <w:rPr>
                <w:rFonts w:ascii="Arial" w:hAnsi="Arial" w:cs="Arial"/>
              </w:rPr>
              <w:t>5</w:t>
            </w:r>
          </w:p>
        </w:tc>
        <w:tc>
          <w:tcPr>
            <w:tcW w:w="1278" w:type="dxa"/>
          </w:tcPr>
          <w:p w14:paraId="4678A448" w14:textId="3F24BE1F" w:rsidR="006B3311" w:rsidRPr="00E53542" w:rsidRDefault="00FE54EA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$0.295</w:t>
            </w:r>
          </w:p>
        </w:tc>
      </w:tr>
      <w:tr w:rsidR="00FE54EA" w:rsidRPr="00E53542" w14:paraId="3F57812B" w14:textId="77777777" w:rsidTr="00E53542">
        <w:tc>
          <w:tcPr>
            <w:tcW w:w="1806" w:type="dxa"/>
          </w:tcPr>
          <w:p w14:paraId="28EB0139" w14:textId="57F9182D" w:rsidR="00FE54EA" w:rsidRPr="00E53542" w:rsidRDefault="00FE54EA" w:rsidP="00FE54EA">
            <w:pPr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Director/Officers</w:t>
            </w:r>
          </w:p>
        </w:tc>
        <w:tc>
          <w:tcPr>
            <w:tcW w:w="1983" w:type="dxa"/>
          </w:tcPr>
          <w:p w14:paraId="5A9AAE23" w14:textId="7083C020" w:rsidR="00FE54EA" w:rsidRPr="00E53542" w:rsidRDefault="00FE54EA" w:rsidP="00FE54EA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750,000</w:t>
            </w:r>
          </w:p>
        </w:tc>
        <w:tc>
          <w:tcPr>
            <w:tcW w:w="2259" w:type="dxa"/>
          </w:tcPr>
          <w:p w14:paraId="7B176B06" w14:textId="3F0BFBC7" w:rsidR="00FE54EA" w:rsidRPr="00E53542" w:rsidRDefault="00FE54EA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March 24, 2021</w:t>
            </w:r>
          </w:p>
        </w:tc>
        <w:tc>
          <w:tcPr>
            <w:tcW w:w="2250" w:type="dxa"/>
          </w:tcPr>
          <w:p w14:paraId="4C71BE1D" w14:textId="260AAADB" w:rsidR="00FE54EA" w:rsidRPr="00E53542" w:rsidRDefault="00FE54EA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March 24, 2023</w:t>
            </w:r>
          </w:p>
        </w:tc>
        <w:tc>
          <w:tcPr>
            <w:tcW w:w="1278" w:type="dxa"/>
          </w:tcPr>
          <w:p w14:paraId="42973EF8" w14:textId="20BBD245" w:rsidR="00FE54EA" w:rsidRPr="00E53542" w:rsidRDefault="00FE54EA" w:rsidP="004D7975">
            <w:pPr>
              <w:jc w:val="center"/>
              <w:rPr>
                <w:rFonts w:ascii="Arial" w:hAnsi="Arial" w:cs="Arial"/>
              </w:rPr>
            </w:pPr>
            <w:r w:rsidRPr="00E53542">
              <w:rPr>
                <w:rFonts w:ascii="Arial" w:hAnsi="Arial" w:cs="Arial"/>
              </w:rPr>
              <w:t>$0.15</w:t>
            </w:r>
          </w:p>
        </w:tc>
      </w:tr>
      <w:tr w:rsidR="00EF1D05" w:rsidRPr="00E53542" w14:paraId="0F7DDB0C" w14:textId="77777777" w:rsidTr="00E53542">
        <w:tc>
          <w:tcPr>
            <w:tcW w:w="1806" w:type="dxa"/>
          </w:tcPr>
          <w:p w14:paraId="4D65003E" w14:textId="77777777" w:rsidR="00EF1D05" w:rsidRPr="00E53542" w:rsidRDefault="00EF1D05" w:rsidP="004D7975">
            <w:pPr>
              <w:jc w:val="center"/>
              <w:rPr>
                <w:rFonts w:ascii="Arial" w:hAnsi="Arial" w:cs="Arial"/>
                <w:b/>
              </w:rPr>
            </w:pPr>
            <w:r w:rsidRPr="00E5354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3" w:type="dxa"/>
          </w:tcPr>
          <w:p w14:paraId="36C71D8B" w14:textId="7679A8FB" w:rsidR="00EF1D05" w:rsidRPr="00E53542" w:rsidRDefault="005327E7" w:rsidP="004D79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6,550,000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59" w:type="dxa"/>
          </w:tcPr>
          <w:p w14:paraId="0FC5413B" w14:textId="77777777" w:rsidR="00EF1D05" w:rsidRPr="00E53542" w:rsidRDefault="00EF1D05" w:rsidP="004D7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D641ED8" w14:textId="77777777" w:rsidR="00EF1D05" w:rsidRPr="00E53542" w:rsidRDefault="00EF1D05" w:rsidP="004D7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250016F7" w14:textId="77777777" w:rsidR="00EF1D05" w:rsidRPr="00E53542" w:rsidRDefault="00EF1D05" w:rsidP="004D79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49229D" w14:textId="77777777" w:rsidR="006B286A" w:rsidRPr="00E53542" w:rsidRDefault="006B286A" w:rsidP="007F46B7">
      <w:pPr>
        <w:spacing w:after="0"/>
        <w:jc w:val="both"/>
        <w:rPr>
          <w:rFonts w:ascii="Arial" w:hAnsi="Arial" w:cs="Arial"/>
          <w:b/>
        </w:rPr>
      </w:pPr>
    </w:p>
    <w:p w14:paraId="12C1D746" w14:textId="77777777" w:rsidR="007F46B7" w:rsidRPr="00E53542" w:rsidRDefault="007F46B7" w:rsidP="007F46B7">
      <w:pPr>
        <w:spacing w:after="0"/>
        <w:jc w:val="both"/>
        <w:rPr>
          <w:rFonts w:ascii="Arial" w:hAnsi="Arial" w:cs="Arial"/>
        </w:rPr>
      </w:pPr>
      <w:r w:rsidRPr="00E53542">
        <w:rPr>
          <w:rFonts w:ascii="Arial" w:hAnsi="Arial" w:cs="Arial"/>
        </w:rPr>
        <w:t>Yours truly,</w:t>
      </w:r>
    </w:p>
    <w:p w14:paraId="316C6409" w14:textId="77777777" w:rsidR="007F46B7" w:rsidRPr="00E53542" w:rsidRDefault="007F46B7" w:rsidP="007F46B7">
      <w:pPr>
        <w:spacing w:after="0"/>
        <w:ind w:firstLine="720"/>
        <w:jc w:val="both"/>
        <w:rPr>
          <w:rFonts w:ascii="Arial" w:hAnsi="Arial" w:cs="Arial"/>
          <w:b/>
        </w:rPr>
      </w:pPr>
    </w:p>
    <w:p w14:paraId="26466B50" w14:textId="17882C34" w:rsidR="007F46B7" w:rsidRPr="00E53542" w:rsidRDefault="00FE54EA" w:rsidP="007F46B7">
      <w:pPr>
        <w:spacing w:after="0"/>
        <w:jc w:val="both"/>
        <w:rPr>
          <w:rFonts w:ascii="Arial" w:hAnsi="Arial" w:cs="Arial"/>
          <w:b/>
        </w:rPr>
      </w:pPr>
      <w:r w:rsidRPr="00E53542">
        <w:rPr>
          <w:rFonts w:ascii="Arial" w:hAnsi="Arial" w:cs="Arial"/>
          <w:b/>
        </w:rPr>
        <w:t>Gold’n Futures Mineral Corp.</w:t>
      </w:r>
    </w:p>
    <w:p w14:paraId="768F9ED2" w14:textId="77777777" w:rsidR="007F46B7" w:rsidRPr="00E53542" w:rsidRDefault="007F46B7" w:rsidP="007F46B7">
      <w:pPr>
        <w:spacing w:after="0"/>
        <w:ind w:firstLine="720"/>
        <w:jc w:val="both"/>
        <w:rPr>
          <w:rFonts w:ascii="Arial" w:hAnsi="Arial" w:cs="Arial"/>
          <w:b/>
        </w:rPr>
      </w:pPr>
    </w:p>
    <w:p w14:paraId="7ECCD86B" w14:textId="62C51CBD" w:rsidR="007F46B7" w:rsidRPr="00E53542" w:rsidRDefault="00E62AEF" w:rsidP="007F46B7">
      <w:pPr>
        <w:spacing w:after="0"/>
        <w:jc w:val="both"/>
        <w:rPr>
          <w:rFonts w:ascii="Arial" w:hAnsi="Arial" w:cs="Arial"/>
        </w:rPr>
      </w:pPr>
      <w:r w:rsidRPr="00E53542">
        <w:rPr>
          <w:rFonts w:ascii="Arial" w:hAnsi="Arial" w:cs="Arial"/>
        </w:rPr>
        <w:t xml:space="preserve">Per: </w:t>
      </w:r>
      <w:r w:rsidR="00A3385D" w:rsidRPr="00E53542">
        <w:rPr>
          <w:rFonts w:ascii="Arial" w:hAnsi="Arial" w:cs="Arial"/>
          <w:i/>
        </w:rPr>
        <w:t>“</w:t>
      </w:r>
      <w:r w:rsidR="00DE447F" w:rsidRPr="00E53542">
        <w:rPr>
          <w:rFonts w:ascii="Arial" w:hAnsi="Arial" w:cs="Arial"/>
          <w:i/>
          <w:lang w:val="en-CA"/>
        </w:rPr>
        <w:t>Stephen Wilkinson</w:t>
      </w:r>
      <w:r w:rsidR="00A3385D" w:rsidRPr="00E53542">
        <w:rPr>
          <w:rFonts w:ascii="Arial" w:hAnsi="Arial" w:cs="Arial"/>
          <w:i/>
        </w:rPr>
        <w:t>”</w:t>
      </w:r>
    </w:p>
    <w:p w14:paraId="13978413" w14:textId="77777777" w:rsidR="007F46B7" w:rsidRPr="00E53542" w:rsidRDefault="007F46B7" w:rsidP="007F46B7">
      <w:pPr>
        <w:spacing w:after="0"/>
        <w:ind w:firstLine="720"/>
        <w:jc w:val="both"/>
        <w:rPr>
          <w:rFonts w:ascii="Arial" w:hAnsi="Arial" w:cs="Arial"/>
        </w:rPr>
      </w:pPr>
    </w:p>
    <w:p w14:paraId="36B2827A" w14:textId="2D041DBB" w:rsidR="007F46B7" w:rsidRPr="00E53542" w:rsidRDefault="00DE447F" w:rsidP="007F46B7">
      <w:pPr>
        <w:spacing w:after="0"/>
        <w:jc w:val="both"/>
        <w:rPr>
          <w:rFonts w:ascii="Arial" w:hAnsi="Arial" w:cs="Arial"/>
        </w:rPr>
      </w:pPr>
      <w:r w:rsidRPr="00E53542">
        <w:rPr>
          <w:rFonts w:ascii="Arial" w:hAnsi="Arial" w:cs="Arial"/>
          <w:lang w:val="en-CA"/>
        </w:rPr>
        <w:t>Stephen Wilkinson</w:t>
      </w:r>
      <w:r w:rsidR="007F46B7" w:rsidRPr="00E53542">
        <w:rPr>
          <w:rFonts w:ascii="Arial" w:hAnsi="Arial" w:cs="Arial"/>
        </w:rPr>
        <w:tab/>
      </w:r>
    </w:p>
    <w:p w14:paraId="79445749" w14:textId="77777777" w:rsidR="007F46B7" w:rsidRPr="00E53542" w:rsidRDefault="008C2A6A" w:rsidP="007F46B7">
      <w:pPr>
        <w:spacing w:after="0"/>
        <w:jc w:val="both"/>
        <w:rPr>
          <w:rFonts w:ascii="Arial" w:hAnsi="Arial" w:cs="Arial"/>
        </w:rPr>
      </w:pPr>
      <w:r w:rsidRPr="00E53542">
        <w:rPr>
          <w:rFonts w:ascii="Arial" w:hAnsi="Arial" w:cs="Arial"/>
        </w:rPr>
        <w:t>Chief Executive Officer</w:t>
      </w:r>
      <w:r w:rsidR="007F46B7" w:rsidRPr="00E53542">
        <w:rPr>
          <w:rFonts w:ascii="Arial" w:hAnsi="Arial" w:cs="Arial"/>
        </w:rPr>
        <w:tab/>
      </w:r>
    </w:p>
    <w:sectPr w:rsidR="007F46B7" w:rsidRPr="00E53542" w:rsidSect="00DA0254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8168" w14:textId="77777777" w:rsidR="000A301D" w:rsidRDefault="000A301D" w:rsidP="00DA0254">
      <w:pPr>
        <w:spacing w:after="0" w:line="240" w:lineRule="auto"/>
      </w:pPr>
      <w:r>
        <w:separator/>
      </w:r>
    </w:p>
  </w:endnote>
  <w:endnote w:type="continuationSeparator" w:id="0">
    <w:p w14:paraId="2425EA3F" w14:textId="77777777" w:rsidR="000A301D" w:rsidRDefault="000A301D" w:rsidP="00DA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A4D5" w14:textId="77777777" w:rsidR="000A301D" w:rsidRDefault="000A301D" w:rsidP="00DA0254">
      <w:pPr>
        <w:spacing w:after="0" w:line="240" w:lineRule="auto"/>
      </w:pPr>
      <w:r>
        <w:separator/>
      </w:r>
    </w:p>
  </w:footnote>
  <w:footnote w:type="continuationSeparator" w:id="0">
    <w:p w14:paraId="1FCD7FD8" w14:textId="77777777" w:rsidR="000A301D" w:rsidRDefault="000A301D" w:rsidP="00DA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273C"/>
    <w:multiLevelType w:val="multilevel"/>
    <w:tmpl w:val="DB7A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2C8"/>
    <w:rsid w:val="00000862"/>
    <w:rsid w:val="00000AEA"/>
    <w:rsid w:val="000058CB"/>
    <w:rsid w:val="00030EDB"/>
    <w:rsid w:val="00045423"/>
    <w:rsid w:val="00053652"/>
    <w:rsid w:val="000548C0"/>
    <w:rsid w:val="000828C3"/>
    <w:rsid w:val="000A301D"/>
    <w:rsid w:val="000B3588"/>
    <w:rsid w:val="000C05B0"/>
    <w:rsid w:val="000D5D7D"/>
    <w:rsid w:val="000E6247"/>
    <w:rsid w:val="000E7A56"/>
    <w:rsid w:val="001146C6"/>
    <w:rsid w:val="001149FA"/>
    <w:rsid w:val="00114FC7"/>
    <w:rsid w:val="00121FB5"/>
    <w:rsid w:val="001248D6"/>
    <w:rsid w:val="00130841"/>
    <w:rsid w:val="00141BEF"/>
    <w:rsid w:val="001447DC"/>
    <w:rsid w:val="00161D15"/>
    <w:rsid w:val="00166473"/>
    <w:rsid w:val="001834AA"/>
    <w:rsid w:val="001A0931"/>
    <w:rsid w:val="001B6772"/>
    <w:rsid w:val="001C1ACC"/>
    <w:rsid w:val="001C558C"/>
    <w:rsid w:val="001D153E"/>
    <w:rsid w:val="001D5CED"/>
    <w:rsid w:val="001E47AA"/>
    <w:rsid w:val="001E5575"/>
    <w:rsid w:val="002000C2"/>
    <w:rsid w:val="0020671C"/>
    <w:rsid w:val="0021252E"/>
    <w:rsid w:val="002207C0"/>
    <w:rsid w:val="00230081"/>
    <w:rsid w:val="00234CC3"/>
    <w:rsid w:val="002354B5"/>
    <w:rsid w:val="00272821"/>
    <w:rsid w:val="00273CF0"/>
    <w:rsid w:val="002A3777"/>
    <w:rsid w:val="002A68DC"/>
    <w:rsid w:val="002B4884"/>
    <w:rsid w:val="002B7E0B"/>
    <w:rsid w:val="002C4BC2"/>
    <w:rsid w:val="002D30F0"/>
    <w:rsid w:val="002D32B7"/>
    <w:rsid w:val="002E6103"/>
    <w:rsid w:val="002F4A5C"/>
    <w:rsid w:val="00306428"/>
    <w:rsid w:val="00313CFD"/>
    <w:rsid w:val="003149D9"/>
    <w:rsid w:val="003168E5"/>
    <w:rsid w:val="003210E3"/>
    <w:rsid w:val="003363E4"/>
    <w:rsid w:val="00340E7A"/>
    <w:rsid w:val="0035248A"/>
    <w:rsid w:val="00354CDE"/>
    <w:rsid w:val="00354F10"/>
    <w:rsid w:val="00365A22"/>
    <w:rsid w:val="00373F10"/>
    <w:rsid w:val="0038506C"/>
    <w:rsid w:val="0039699A"/>
    <w:rsid w:val="003A313E"/>
    <w:rsid w:val="003D2401"/>
    <w:rsid w:val="003D7F63"/>
    <w:rsid w:val="004154D8"/>
    <w:rsid w:val="00422FEE"/>
    <w:rsid w:val="00424D4D"/>
    <w:rsid w:val="004307EA"/>
    <w:rsid w:val="00440D32"/>
    <w:rsid w:val="00450694"/>
    <w:rsid w:val="00451B3D"/>
    <w:rsid w:val="00484FC5"/>
    <w:rsid w:val="005041BE"/>
    <w:rsid w:val="00517BEE"/>
    <w:rsid w:val="005327E7"/>
    <w:rsid w:val="00540457"/>
    <w:rsid w:val="005425DC"/>
    <w:rsid w:val="00567F3E"/>
    <w:rsid w:val="00572BD3"/>
    <w:rsid w:val="00591C04"/>
    <w:rsid w:val="005A11F8"/>
    <w:rsid w:val="005B0715"/>
    <w:rsid w:val="005C7A82"/>
    <w:rsid w:val="005D2C30"/>
    <w:rsid w:val="005E34FF"/>
    <w:rsid w:val="005F64E4"/>
    <w:rsid w:val="0063714F"/>
    <w:rsid w:val="00670092"/>
    <w:rsid w:val="006749CC"/>
    <w:rsid w:val="00696070"/>
    <w:rsid w:val="006B286A"/>
    <w:rsid w:val="006B3311"/>
    <w:rsid w:val="006C51F3"/>
    <w:rsid w:val="006D70FC"/>
    <w:rsid w:val="00707962"/>
    <w:rsid w:val="00712BA4"/>
    <w:rsid w:val="00722E86"/>
    <w:rsid w:val="007843AA"/>
    <w:rsid w:val="0078498D"/>
    <w:rsid w:val="007856F2"/>
    <w:rsid w:val="00793D96"/>
    <w:rsid w:val="00795BFA"/>
    <w:rsid w:val="007A4FE2"/>
    <w:rsid w:val="007C1F0F"/>
    <w:rsid w:val="007C283C"/>
    <w:rsid w:val="007D57CB"/>
    <w:rsid w:val="007E1D98"/>
    <w:rsid w:val="007F46B7"/>
    <w:rsid w:val="00803648"/>
    <w:rsid w:val="00807D34"/>
    <w:rsid w:val="00811827"/>
    <w:rsid w:val="008131FA"/>
    <w:rsid w:val="00815740"/>
    <w:rsid w:val="00846365"/>
    <w:rsid w:val="00846977"/>
    <w:rsid w:val="00876160"/>
    <w:rsid w:val="008844FB"/>
    <w:rsid w:val="008852F5"/>
    <w:rsid w:val="008C2A6A"/>
    <w:rsid w:val="008C2ED5"/>
    <w:rsid w:val="008C562F"/>
    <w:rsid w:val="008E42D5"/>
    <w:rsid w:val="008E6AC3"/>
    <w:rsid w:val="008F05EA"/>
    <w:rsid w:val="008F38A2"/>
    <w:rsid w:val="00900915"/>
    <w:rsid w:val="0090374A"/>
    <w:rsid w:val="00910AD0"/>
    <w:rsid w:val="00915142"/>
    <w:rsid w:val="00915D99"/>
    <w:rsid w:val="00920BD2"/>
    <w:rsid w:val="00936869"/>
    <w:rsid w:val="00944177"/>
    <w:rsid w:val="00971797"/>
    <w:rsid w:val="009A1552"/>
    <w:rsid w:val="009A487C"/>
    <w:rsid w:val="009B160C"/>
    <w:rsid w:val="009B595D"/>
    <w:rsid w:val="009C004B"/>
    <w:rsid w:val="009C0126"/>
    <w:rsid w:val="009C77E7"/>
    <w:rsid w:val="00A00C80"/>
    <w:rsid w:val="00A3385D"/>
    <w:rsid w:val="00A61669"/>
    <w:rsid w:val="00A64E9D"/>
    <w:rsid w:val="00A76D7B"/>
    <w:rsid w:val="00A851E5"/>
    <w:rsid w:val="00A96590"/>
    <w:rsid w:val="00A972F2"/>
    <w:rsid w:val="00AA3CD4"/>
    <w:rsid w:val="00AA7526"/>
    <w:rsid w:val="00AB2AE2"/>
    <w:rsid w:val="00AC180B"/>
    <w:rsid w:val="00AD734B"/>
    <w:rsid w:val="00AE77EE"/>
    <w:rsid w:val="00B06799"/>
    <w:rsid w:val="00B12592"/>
    <w:rsid w:val="00B17770"/>
    <w:rsid w:val="00B226BD"/>
    <w:rsid w:val="00B67ABC"/>
    <w:rsid w:val="00B82871"/>
    <w:rsid w:val="00BA3F65"/>
    <w:rsid w:val="00BA4E1B"/>
    <w:rsid w:val="00BA7F90"/>
    <w:rsid w:val="00BB7184"/>
    <w:rsid w:val="00BB7917"/>
    <w:rsid w:val="00BE0B0C"/>
    <w:rsid w:val="00BE50C6"/>
    <w:rsid w:val="00BE78E2"/>
    <w:rsid w:val="00C02CAC"/>
    <w:rsid w:val="00C232C8"/>
    <w:rsid w:val="00C23EE1"/>
    <w:rsid w:val="00C26329"/>
    <w:rsid w:val="00C31C5B"/>
    <w:rsid w:val="00C42A7A"/>
    <w:rsid w:val="00C46304"/>
    <w:rsid w:val="00C51133"/>
    <w:rsid w:val="00C638AC"/>
    <w:rsid w:val="00C65DB1"/>
    <w:rsid w:val="00C724A1"/>
    <w:rsid w:val="00C73804"/>
    <w:rsid w:val="00C74BB7"/>
    <w:rsid w:val="00C76845"/>
    <w:rsid w:val="00C772D8"/>
    <w:rsid w:val="00C82483"/>
    <w:rsid w:val="00CC1E33"/>
    <w:rsid w:val="00CC435B"/>
    <w:rsid w:val="00CC5C71"/>
    <w:rsid w:val="00CE0AB4"/>
    <w:rsid w:val="00D115A9"/>
    <w:rsid w:val="00D473AA"/>
    <w:rsid w:val="00D513FF"/>
    <w:rsid w:val="00D67E59"/>
    <w:rsid w:val="00D71416"/>
    <w:rsid w:val="00D824BC"/>
    <w:rsid w:val="00D86DD5"/>
    <w:rsid w:val="00DA0254"/>
    <w:rsid w:val="00DA3903"/>
    <w:rsid w:val="00DA7F61"/>
    <w:rsid w:val="00DE26EC"/>
    <w:rsid w:val="00DE447F"/>
    <w:rsid w:val="00DE55B3"/>
    <w:rsid w:val="00DE598C"/>
    <w:rsid w:val="00DF61BF"/>
    <w:rsid w:val="00DF6942"/>
    <w:rsid w:val="00E0344E"/>
    <w:rsid w:val="00E13613"/>
    <w:rsid w:val="00E53542"/>
    <w:rsid w:val="00E54AA4"/>
    <w:rsid w:val="00E57590"/>
    <w:rsid w:val="00E62AEF"/>
    <w:rsid w:val="00E80D61"/>
    <w:rsid w:val="00EB11E4"/>
    <w:rsid w:val="00EC1156"/>
    <w:rsid w:val="00ED254D"/>
    <w:rsid w:val="00ED4031"/>
    <w:rsid w:val="00ED6F0B"/>
    <w:rsid w:val="00EF1D05"/>
    <w:rsid w:val="00EF4C3F"/>
    <w:rsid w:val="00EF5A7D"/>
    <w:rsid w:val="00F16D77"/>
    <w:rsid w:val="00F206EB"/>
    <w:rsid w:val="00F22276"/>
    <w:rsid w:val="00F32CE4"/>
    <w:rsid w:val="00F32CF3"/>
    <w:rsid w:val="00F4591D"/>
    <w:rsid w:val="00F51862"/>
    <w:rsid w:val="00F5420E"/>
    <w:rsid w:val="00F569A0"/>
    <w:rsid w:val="00F64D65"/>
    <w:rsid w:val="00F67116"/>
    <w:rsid w:val="00FC1AE8"/>
    <w:rsid w:val="00FC1BBA"/>
    <w:rsid w:val="00FD56D5"/>
    <w:rsid w:val="00FE54EA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DBED"/>
  <w15:docId w15:val="{D7860E73-1C9C-4AFD-BB3E-AE1B512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0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2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58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0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0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300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0081"/>
  </w:style>
  <w:style w:type="character" w:styleId="CommentReference">
    <w:name w:val="annotation reference"/>
    <w:basedOn w:val="DefaultParagraphFont"/>
    <w:uiPriority w:val="99"/>
    <w:semiHidden/>
    <w:unhideWhenUsed/>
    <w:rsid w:val="0094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1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54"/>
  </w:style>
  <w:style w:type="paragraph" w:styleId="Footer">
    <w:name w:val="footer"/>
    <w:basedOn w:val="Normal"/>
    <w:link w:val="FooterChar"/>
    <w:uiPriority w:val="99"/>
    <w:unhideWhenUsed/>
    <w:rsid w:val="00DA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Pender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Dionne</dc:creator>
  <cp:lastModifiedBy>Andrea Regnier</cp:lastModifiedBy>
  <cp:revision>13</cp:revision>
  <cp:lastPrinted>2022-01-19T21:00:00Z</cp:lastPrinted>
  <dcterms:created xsi:type="dcterms:W3CDTF">2020-02-29T00:28:00Z</dcterms:created>
  <dcterms:modified xsi:type="dcterms:W3CDTF">2022-01-19T21:16:00Z</dcterms:modified>
</cp:coreProperties>
</file>