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0424461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8251F7">
        <w:rPr>
          <w:rFonts w:ascii="Arial" w:hAnsi="Arial"/>
          <w:color w:val="000000"/>
        </w:rPr>
        <w:t>May</w:t>
      </w:r>
      <w:r w:rsidR="00D95D86">
        <w:rPr>
          <w:rFonts w:ascii="Arial" w:hAnsi="Arial"/>
          <w:color w:val="000000"/>
        </w:rPr>
        <w:t xml:space="preserve">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74113102" w:rsidR="00284C00" w:rsidRDefault="00B834B7" w:rsidP="00284C00">
      <w:pPr>
        <w:tabs>
          <w:tab w:val="right" w:pos="9360"/>
        </w:tabs>
        <w:rPr>
          <w:rFonts w:cstheme="minorBidi"/>
          <w:sz w:val="22"/>
          <w:szCs w:val="22"/>
        </w:rPr>
      </w:pPr>
      <w:proofErr w:type="spellStart"/>
      <w:r>
        <w:t>Goldrea</w:t>
      </w:r>
      <w:proofErr w:type="spellEnd"/>
      <w:r>
        <w:t xml:space="preserve"> continues to advance the exploration project in the Golden Triangle BC. Plans are being put in place for a drilling program in the summer of 2021.</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345F9687" w:rsidR="001A462A" w:rsidRDefault="00B834B7" w:rsidP="007944D2">
      <w:pPr>
        <w:pStyle w:val="List"/>
        <w:spacing w:before="120"/>
        <w:ind w:left="720" w:firstLine="0"/>
        <w:jc w:val="both"/>
        <w:rPr>
          <w:rFonts w:ascii="Arial" w:hAnsi="Arial"/>
        </w:rPr>
      </w:pPr>
      <w:r>
        <w:rPr>
          <w:rFonts w:ascii="Arial" w:hAnsi="Arial"/>
        </w:rPr>
        <w:t xml:space="preserve">Further consolidation of reviewing geologic data attained in the work done on the Cannonball property in late summer of 2020. A private placement </w:t>
      </w:r>
      <w:r w:rsidR="00D95D86">
        <w:rPr>
          <w:rFonts w:ascii="Arial" w:hAnsi="Arial"/>
        </w:rPr>
        <w:t xml:space="preserve">planned for </w:t>
      </w:r>
      <w:r w:rsidR="008251F7">
        <w:rPr>
          <w:rFonts w:ascii="Arial" w:hAnsi="Arial"/>
        </w:rPr>
        <w:t>May</w:t>
      </w:r>
      <w:r w:rsidR="00D95D86">
        <w:rPr>
          <w:rFonts w:ascii="Arial" w:hAnsi="Arial"/>
        </w:rPr>
        <w:t>,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721C2C9C"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8251F7">
        <w:rPr>
          <w:rFonts w:ascii="Arial" w:hAnsi="Arial"/>
        </w:rPr>
        <w:t>May 6, 2021</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3C0C0D9F"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8251F7">
              <w:rPr>
                <w:rFonts w:ascii="Calibri Light" w:hAnsi="Calibri Light" w:cs="Calibri Light"/>
              </w:rPr>
              <w:t xml:space="preserve">April </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27539232" w:rsidR="00640E94" w:rsidRPr="0032035B" w:rsidRDefault="008251F7">
            <w:pPr>
              <w:pStyle w:val="BodyText"/>
              <w:spacing w:before="0"/>
              <w:rPr>
                <w:rFonts w:ascii="Arial" w:hAnsi="Arial"/>
              </w:rPr>
            </w:pPr>
            <w:r>
              <w:rPr>
                <w:rFonts w:ascii="Arial" w:hAnsi="Arial"/>
              </w:rPr>
              <w:t>5</w:t>
            </w:r>
            <w:r w:rsidR="00B834B7">
              <w:rPr>
                <w:rFonts w:ascii="Arial" w:hAnsi="Arial"/>
              </w:rPr>
              <w:t>/</w:t>
            </w:r>
            <w:r w:rsidR="00D95D86">
              <w:rPr>
                <w:rFonts w:ascii="Arial" w:hAnsi="Arial"/>
              </w:rPr>
              <w:t>6</w:t>
            </w:r>
            <w:r w:rsidR="00B834B7">
              <w:rPr>
                <w:rFonts w:ascii="Arial" w:hAnsi="Arial"/>
              </w:rPr>
              <w:t>/21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30D0" w14:textId="77777777" w:rsidR="004E7912" w:rsidRDefault="004E7912">
      <w:r>
        <w:separator/>
      </w:r>
    </w:p>
  </w:endnote>
  <w:endnote w:type="continuationSeparator" w:id="0">
    <w:p w14:paraId="29901E3A" w14:textId="77777777" w:rsidR="004E7912" w:rsidRDefault="004E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B336" w14:textId="77777777" w:rsidR="004E7912" w:rsidRDefault="004E7912">
      <w:r>
        <w:separator/>
      </w:r>
    </w:p>
  </w:footnote>
  <w:footnote w:type="continuationSeparator" w:id="0">
    <w:p w14:paraId="6BFF6F42" w14:textId="77777777" w:rsidR="004E7912" w:rsidRDefault="004E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2021-05-07T20:06:00Z</dcterms:created>
  <dcterms:modified xsi:type="dcterms:W3CDTF">2021-05-07T20:06:00Z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