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3FDA36C6"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032A5C">
        <w:rPr>
          <w:rFonts w:ascii="Arial" w:eastAsia="Arial" w:hAnsi="Arial" w:cs="Arial"/>
          <w:color w:val="000000"/>
          <w:sz w:val="24"/>
          <w:szCs w:val="24"/>
          <w:u w:val="single"/>
        </w:rPr>
        <w:t>7</w:t>
      </w:r>
      <w:r w:rsidR="00D213C9">
        <w:rPr>
          <w:rFonts w:ascii="Arial" w:eastAsia="Arial" w:hAnsi="Arial" w:cs="Arial"/>
          <w:color w:val="000000"/>
          <w:sz w:val="24"/>
          <w:szCs w:val="24"/>
          <w:u w:val="single"/>
        </w:rPr>
        <w:t>5,477,623</w:t>
      </w:r>
      <w:r w:rsidR="000C51C5">
        <w:rPr>
          <w:rFonts w:ascii="Arial" w:eastAsia="Arial" w:hAnsi="Arial" w:cs="Arial"/>
          <w:color w:val="000000"/>
          <w:sz w:val="24"/>
          <w:szCs w:val="24"/>
          <w:u w:val="single"/>
        </w:rPr>
        <w:t xml:space="preserve"> subordinate voting shares and </w:t>
      </w:r>
      <w:r w:rsidR="00D213C9">
        <w:rPr>
          <w:rFonts w:ascii="Arial" w:eastAsia="Arial" w:hAnsi="Arial" w:cs="Arial"/>
          <w:color w:val="000000"/>
          <w:sz w:val="24"/>
          <w:szCs w:val="24"/>
          <w:u w:val="single"/>
        </w:rPr>
        <w:t>501,172</w:t>
      </w:r>
      <w:r w:rsidR="000C51C5">
        <w:rPr>
          <w:rFonts w:ascii="Arial" w:eastAsia="Arial" w:hAnsi="Arial" w:cs="Arial"/>
          <w:color w:val="000000"/>
          <w:sz w:val="24"/>
          <w:szCs w:val="24"/>
          <w:u w:val="single"/>
        </w:rPr>
        <w:t xml:space="preserve">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29475EB0"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D213C9">
        <w:rPr>
          <w:rFonts w:ascii="Arial" w:eastAsia="Arial" w:hAnsi="Arial" w:cs="Arial"/>
          <w:color w:val="000000"/>
          <w:sz w:val="24"/>
          <w:szCs w:val="24"/>
          <w:u w:val="single"/>
        </w:rPr>
        <w:t>December</w:t>
      </w:r>
      <w:r w:rsidR="00583D96">
        <w:rPr>
          <w:rFonts w:ascii="Arial" w:eastAsia="Arial" w:hAnsi="Arial" w:cs="Arial"/>
          <w:color w:val="000000"/>
          <w:sz w:val="24"/>
          <w:szCs w:val="24"/>
          <w:u w:val="single"/>
        </w:rPr>
        <w:t xml:space="preserve"> 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 xml:space="preserve">Delic Corp is the leading psychedelic wellness corporation committed to bringing safe, </w:t>
      </w:r>
      <w:proofErr w:type="gramStart"/>
      <w:r w:rsidRPr="00032A5C">
        <w:rPr>
          <w:rFonts w:ascii="Arial" w:hAnsi="Arial" w:cs="Arial"/>
          <w:color w:val="000000"/>
          <w:sz w:val="24"/>
          <w:szCs w:val="24"/>
        </w:rPr>
        <w:t>legal</w:t>
      </w:r>
      <w:proofErr w:type="gramEnd"/>
      <w:r w:rsidRPr="00032A5C">
        <w:rPr>
          <w:rFonts w:ascii="Arial" w:hAnsi="Arial" w:cs="Arial"/>
          <w:color w:val="000000"/>
          <w:sz w:val="24"/>
          <w:szCs w:val="24"/>
        </w:rPr>
        <w:t xml:space="preserve">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734E38BE"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3803649D" w14:textId="77777777" w:rsidR="00767287"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w:t>
      </w:r>
      <w:r w:rsidR="00767287">
        <w:rPr>
          <w:rFonts w:ascii="Arial" w:hAnsi="Arial" w:cs="Arial"/>
          <w:b/>
          <w:bCs/>
          <w:sz w:val="24"/>
          <w:szCs w:val="24"/>
        </w:rPr>
        <w:t>:</w:t>
      </w:r>
    </w:p>
    <w:p w14:paraId="4035841F" w14:textId="64E447B7" w:rsidR="00767287" w:rsidRDefault="00D213C9"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Held its Meet Delic event</w:t>
      </w:r>
    </w:p>
    <w:p w14:paraId="24A015E4" w14:textId="19B226CE" w:rsidR="00D213C9" w:rsidRDefault="00D213C9"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sidRPr="00D213C9">
        <w:rPr>
          <w:rFonts w:ascii="Arial" w:hAnsi="Arial" w:cs="Arial"/>
          <w:b/>
          <w:bCs/>
          <w:sz w:val="24"/>
          <w:szCs w:val="24"/>
          <w:lang w:val="en-CA"/>
        </w:rPr>
        <w:t>On November 4, 2021, the Company closed the Acquisition of Ketamine Wellness Centres Arizona LLC (“KWC”)‎, a limited liability corporation formed under the laws of Arizona, which owns and operates 10 ketamine infusion treatment clinics Arizona, Colorado, Florida, Illinois, Minnesota, Nevada, Texas, Utah, and Washington pursuant to the terms of the merger agreement. Supported by clinical trials and peer reviewed studies, ketamine infusions have emerged as a promising treatment option for chronic diseases and pain disorders. The successful completion of the transaction makes the Company the largest chain of wellness centers providing ketamine treatments in the US.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Pr="00D213C9" w:rsidRDefault="002C0697" w:rsidP="002C0697">
      <w:pPr>
        <w:ind w:left="709"/>
        <w:rPr>
          <w:rFonts w:ascii="Arial" w:hAnsi="Arial" w:cs="Arial"/>
          <w:b/>
          <w:bCs/>
          <w:sz w:val="24"/>
          <w:szCs w:val="24"/>
          <w:u w:val="single"/>
        </w:rPr>
      </w:pPr>
    </w:p>
    <w:p w14:paraId="425EB2E1" w14:textId="23E74839" w:rsidR="00D213C9" w:rsidRDefault="00D213C9" w:rsidP="00D213C9">
      <w:pPr>
        <w:pStyle w:val="NormalWeb"/>
        <w:shd w:val="clear" w:color="auto" w:fill="FFFFFF"/>
        <w:spacing w:before="0" w:beforeAutospacing="0" w:after="0" w:afterAutospacing="0"/>
        <w:ind w:left="720"/>
        <w:textAlignment w:val="baseline"/>
        <w:rPr>
          <w:rStyle w:val="Emphasis"/>
          <w:rFonts w:ascii="Arial" w:hAnsi="Arial" w:cs="Arial"/>
          <w:b/>
          <w:bCs/>
          <w:i w:val="0"/>
          <w:iCs w:val="0"/>
          <w:color w:val="000000"/>
          <w:bdr w:val="none" w:sz="0" w:space="0" w:color="auto" w:frame="1"/>
        </w:rPr>
      </w:pPr>
      <w:r>
        <w:rPr>
          <w:rStyle w:val="Emphasis"/>
          <w:rFonts w:ascii="Arial" w:hAnsi="Arial" w:cs="Arial"/>
          <w:b/>
          <w:bCs/>
          <w:i w:val="0"/>
          <w:iCs w:val="0"/>
          <w:color w:val="000000"/>
          <w:bdr w:val="none" w:sz="0" w:space="0" w:color="auto" w:frame="1"/>
        </w:rPr>
        <w:t xml:space="preserve">Management is </w:t>
      </w:r>
      <w:r w:rsidRPr="00D213C9">
        <w:rPr>
          <w:rStyle w:val="Emphasis"/>
          <w:rFonts w:ascii="Arial" w:hAnsi="Arial" w:cs="Arial"/>
          <w:b/>
          <w:bCs/>
          <w:i w:val="0"/>
          <w:iCs w:val="0"/>
          <w:color w:val="000000"/>
          <w:bdr w:val="none" w:sz="0" w:space="0" w:color="auto" w:frame="1"/>
        </w:rPr>
        <w:t xml:space="preserve">focused on bringing psychedelic wellness to the mainstream. </w:t>
      </w:r>
      <w:r>
        <w:rPr>
          <w:rStyle w:val="Emphasis"/>
          <w:rFonts w:ascii="Arial" w:hAnsi="Arial" w:cs="Arial"/>
          <w:b/>
          <w:bCs/>
          <w:i w:val="0"/>
          <w:iCs w:val="0"/>
          <w:color w:val="000000"/>
          <w:bdr w:val="none" w:sz="0" w:space="0" w:color="auto" w:frame="1"/>
        </w:rPr>
        <w:t>They</w:t>
      </w:r>
      <w:r w:rsidRPr="00D213C9">
        <w:rPr>
          <w:rStyle w:val="Emphasis"/>
          <w:rFonts w:ascii="Arial" w:hAnsi="Arial" w:cs="Arial"/>
          <w:b/>
          <w:bCs/>
          <w:i w:val="0"/>
          <w:iCs w:val="0"/>
          <w:color w:val="000000"/>
          <w:bdr w:val="none" w:sz="0" w:space="0" w:color="auto" w:frame="1"/>
        </w:rPr>
        <w:t xml:space="preserve"> do this through an umbrella of related businesses </w:t>
      </w:r>
      <w:r>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own</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and operate</w:t>
      </w:r>
      <w:r>
        <w:rPr>
          <w:rStyle w:val="Emphasis"/>
          <w:rFonts w:ascii="Arial" w:hAnsi="Arial" w:cs="Arial"/>
          <w:b/>
          <w:bCs/>
          <w:i w:val="0"/>
          <w:iCs w:val="0"/>
          <w:color w:val="000000"/>
          <w:bdr w:val="none" w:sz="0" w:space="0" w:color="auto" w:frame="1"/>
        </w:rPr>
        <w:t>s</w:t>
      </w:r>
      <w:r w:rsidRPr="00D213C9">
        <w:rPr>
          <w:rStyle w:val="Emphasis"/>
          <w:rFonts w:ascii="Arial" w:hAnsi="Arial" w:cs="Arial"/>
          <w:b/>
          <w:bCs/>
          <w:i w:val="0"/>
          <w:iCs w:val="0"/>
          <w:color w:val="000000"/>
          <w:bdr w:val="none" w:sz="0" w:space="0" w:color="auto" w:frame="1"/>
        </w:rPr>
        <w:t xml:space="preserve"> to scale the impact and reach of treatment, including 1) trusted media and e-commerce platforms and in-person events to market services directly to patients and consumers and gain data, 2) a </w:t>
      </w:r>
      <w:r w:rsidRPr="00D213C9">
        <w:rPr>
          <w:rStyle w:val="Emphasis"/>
          <w:rFonts w:ascii="Arial" w:hAnsi="Arial" w:cs="Arial"/>
          <w:b/>
          <w:bCs/>
          <w:i w:val="0"/>
          <w:iCs w:val="0"/>
          <w:color w:val="000000"/>
          <w:bdr w:val="none" w:sz="0" w:space="0" w:color="auto" w:frame="1"/>
        </w:rPr>
        <w:lastRenderedPageBreak/>
        <w:t xml:space="preserve">licensed lab to develop IP, R&amp;D and innovative, high </w:t>
      </w:r>
      <w:proofErr w:type="gramStart"/>
      <w:r w:rsidRPr="00D213C9">
        <w:rPr>
          <w:rStyle w:val="Emphasis"/>
          <w:rFonts w:ascii="Arial" w:hAnsi="Arial" w:cs="Arial"/>
          <w:b/>
          <w:bCs/>
          <w:i w:val="0"/>
          <w:iCs w:val="0"/>
          <w:color w:val="000000"/>
          <w:bdr w:val="none" w:sz="0" w:space="0" w:color="auto" w:frame="1"/>
        </w:rPr>
        <w:t>quality</w:t>
      </w:r>
      <w:proofErr w:type="gramEnd"/>
      <w:r w:rsidRPr="00D213C9">
        <w:rPr>
          <w:rStyle w:val="Emphasis"/>
          <w:rFonts w:ascii="Arial" w:hAnsi="Arial" w:cs="Arial"/>
          <w:b/>
          <w:bCs/>
          <w:i w:val="0"/>
          <w:iCs w:val="0"/>
          <w:color w:val="000000"/>
          <w:bdr w:val="none" w:sz="0" w:space="0" w:color="auto" w:frame="1"/>
        </w:rPr>
        <w:t xml:space="preserve"> and safe product lines and 3) the largest and most accessible network of physical clinics to administer effective treatments.  </w:t>
      </w:r>
    </w:p>
    <w:p w14:paraId="7ACA8580" w14:textId="77777777"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p>
    <w:p w14:paraId="460129A7" w14:textId="6BBD884F" w:rsidR="00D213C9" w:rsidRPr="00D213C9" w:rsidRDefault="00D213C9" w:rsidP="00D213C9">
      <w:pPr>
        <w:pStyle w:val="NormalWeb"/>
        <w:shd w:val="clear" w:color="auto" w:fill="FFFFFF"/>
        <w:spacing w:before="0" w:beforeAutospacing="0" w:after="0" w:afterAutospacing="0"/>
        <w:ind w:left="720"/>
        <w:textAlignment w:val="baseline"/>
        <w:rPr>
          <w:rFonts w:ascii="Arial" w:hAnsi="Arial" w:cs="Arial"/>
          <w:b/>
          <w:bCs/>
          <w:color w:val="000000"/>
        </w:rPr>
      </w:pPr>
      <w:r>
        <w:rPr>
          <w:rStyle w:val="Emphasis"/>
          <w:rFonts w:ascii="Arial" w:hAnsi="Arial" w:cs="Arial"/>
          <w:b/>
          <w:bCs/>
          <w:i w:val="0"/>
          <w:iCs w:val="0"/>
          <w:color w:val="000000"/>
          <w:bdr w:val="none" w:sz="0" w:space="0" w:color="auto" w:frame="1"/>
        </w:rPr>
        <w:t>Management continues to position the Issuer</w:t>
      </w:r>
      <w:r w:rsidRPr="00D213C9">
        <w:rPr>
          <w:rStyle w:val="Emphasis"/>
          <w:rFonts w:ascii="Arial" w:hAnsi="Arial" w:cs="Arial"/>
          <w:b/>
          <w:bCs/>
          <w:i w:val="0"/>
          <w:iCs w:val="0"/>
          <w:color w:val="000000"/>
          <w:bdr w:val="none" w:sz="0" w:space="0" w:color="auto" w:frame="1"/>
        </w:rPr>
        <w:t xml:space="preserve"> to capture the full impact of the exploding psychedelic wellness industry, emerging </w:t>
      </w:r>
      <w:proofErr w:type="gramStart"/>
      <w:r w:rsidRPr="00D213C9">
        <w:rPr>
          <w:rStyle w:val="Emphasis"/>
          <w:rFonts w:ascii="Arial" w:hAnsi="Arial" w:cs="Arial"/>
          <w:b/>
          <w:bCs/>
          <w:i w:val="0"/>
          <w:iCs w:val="0"/>
          <w:color w:val="000000"/>
          <w:bdr w:val="none" w:sz="0" w:space="0" w:color="auto" w:frame="1"/>
        </w:rPr>
        <w:t>technology</w:t>
      </w:r>
      <w:proofErr w:type="gramEnd"/>
      <w:r w:rsidRPr="00D213C9">
        <w:rPr>
          <w:rStyle w:val="Emphasis"/>
          <w:rFonts w:ascii="Arial" w:hAnsi="Arial" w:cs="Arial"/>
          <w:b/>
          <w:bCs/>
          <w:i w:val="0"/>
          <w:iCs w:val="0"/>
          <w:color w:val="000000"/>
          <w:bdr w:val="none" w:sz="0" w:space="0" w:color="auto" w:frame="1"/>
        </w:rPr>
        <w:t xml:space="preserve"> and breakthrough treatments, and serve as a trusted resource for the masses. </w:t>
      </w:r>
      <w:r w:rsidR="00B16D19">
        <w:rPr>
          <w:rStyle w:val="Emphasis"/>
          <w:rFonts w:ascii="Arial" w:hAnsi="Arial" w:cs="Arial"/>
          <w:b/>
          <w:bCs/>
          <w:i w:val="0"/>
          <w:iCs w:val="0"/>
          <w:color w:val="000000"/>
          <w:bdr w:val="none" w:sz="0" w:space="0" w:color="auto" w:frame="1"/>
        </w:rPr>
        <w:t>Management is also</w:t>
      </w:r>
      <w:r w:rsidRPr="00D213C9">
        <w:rPr>
          <w:rStyle w:val="Emphasis"/>
          <w:rFonts w:ascii="Arial" w:hAnsi="Arial" w:cs="Arial"/>
          <w:b/>
          <w:bCs/>
          <w:i w:val="0"/>
          <w:iCs w:val="0"/>
          <w:color w:val="000000"/>
          <w:bdr w:val="none" w:sz="0" w:space="0" w:color="auto" w:frame="1"/>
        </w:rPr>
        <w:t xml:space="preserve"> focused on adding more value to each clinic and increasing each clinic’s profitability. </w:t>
      </w:r>
      <w:r w:rsidR="00B16D19">
        <w:rPr>
          <w:rStyle w:val="Emphasis"/>
          <w:rFonts w:ascii="Arial" w:hAnsi="Arial" w:cs="Arial"/>
          <w:b/>
          <w:bCs/>
          <w:i w:val="0"/>
          <w:iCs w:val="0"/>
          <w:color w:val="000000"/>
          <w:bdr w:val="none" w:sz="0" w:space="0" w:color="auto" w:frame="1"/>
        </w:rPr>
        <w:t>The Issuer’s</w:t>
      </w:r>
      <w:r w:rsidRPr="00D213C9">
        <w:rPr>
          <w:rStyle w:val="Emphasis"/>
          <w:rFonts w:ascii="Arial" w:hAnsi="Arial" w:cs="Arial"/>
          <w:b/>
          <w:bCs/>
          <w:i w:val="0"/>
          <w:iCs w:val="0"/>
          <w:color w:val="000000"/>
          <w:bdr w:val="none" w:sz="0" w:space="0" w:color="auto" w:frame="1"/>
        </w:rPr>
        <w:t xml:space="preserve"> media assets—independent from regulated platforms like Facebook, </w:t>
      </w:r>
      <w:proofErr w:type="gramStart"/>
      <w:r w:rsidRPr="00D213C9">
        <w:rPr>
          <w:rStyle w:val="Emphasis"/>
          <w:rFonts w:ascii="Arial" w:hAnsi="Arial" w:cs="Arial"/>
          <w:b/>
          <w:bCs/>
          <w:i w:val="0"/>
          <w:iCs w:val="0"/>
          <w:color w:val="000000"/>
          <w:bdr w:val="none" w:sz="0" w:space="0" w:color="auto" w:frame="1"/>
        </w:rPr>
        <w:t>Google</w:t>
      </w:r>
      <w:proofErr w:type="gramEnd"/>
      <w:r w:rsidRPr="00D213C9">
        <w:rPr>
          <w:rStyle w:val="Emphasis"/>
          <w:rFonts w:ascii="Arial" w:hAnsi="Arial" w:cs="Arial"/>
          <w:b/>
          <w:bCs/>
          <w:i w:val="0"/>
          <w:iCs w:val="0"/>
          <w:color w:val="000000"/>
          <w:bdr w:val="none" w:sz="0" w:space="0" w:color="auto" w:frame="1"/>
        </w:rPr>
        <w:t xml:space="preserve"> or Instagram—will help drive more people into </w:t>
      </w:r>
      <w:r w:rsidR="00B16D19">
        <w:rPr>
          <w:rStyle w:val="Emphasis"/>
          <w:rFonts w:ascii="Arial" w:hAnsi="Arial" w:cs="Arial"/>
          <w:b/>
          <w:bCs/>
          <w:i w:val="0"/>
          <w:iCs w:val="0"/>
          <w:color w:val="000000"/>
          <w:bdr w:val="none" w:sz="0" w:space="0" w:color="auto" w:frame="1"/>
        </w:rPr>
        <w:t>its</w:t>
      </w:r>
      <w:r w:rsidRPr="00D213C9">
        <w:rPr>
          <w:rStyle w:val="Emphasis"/>
          <w:rFonts w:ascii="Arial" w:hAnsi="Arial" w:cs="Arial"/>
          <w:b/>
          <w:bCs/>
          <w:i w:val="0"/>
          <w:iCs w:val="0"/>
          <w:color w:val="000000"/>
          <w:bdr w:val="none" w:sz="0" w:space="0" w:color="auto" w:frame="1"/>
        </w:rPr>
        <w:t xml:space="preserve"> clinics, provide visibility on trends and needs, and establish </w:t>
      </w:r>
      <w:r w:rsidR="00B16D19">
        <w:rPr>
          <w:rStyle w:val="Emphasis"/>
          <w:rFonts w:ascii="Arial" w:hAnsi="Arial" w:cs="Arial"/>
          <w:b/>
          <w:bCs/>
          <w:i w:val="0"/>
          <w:iCs w:val="0"/>
          <w:color w:val="000000"/>
          <w:bdr w:val="none" w:sz="0" w:space="0" w:color="auto" w:frame="1"/>
        </w:rPr>
        <w:t>the Issuer</w:t>
      </w:r>
      <w:r w:rsidRPr="00D213C9">
        <w:rPr>
          <w:rStyle w:val="Emphasis"/>
          <w:rFonts w:ascii="Arial" w:hAnsi="Arial" w:cs="Arial"/>
          <w:b/>
          <w:bCs/>
          <w:i w:val="0"/>
          <w:iCs w:val="0"/>
          <w:color w:val="000000"/>
          <w:bdr w:val="none" w:sz="0" w:space="0" w:color="auto" w:frame="1"/>
        </w:rPr>
        <w:t xml:space="preserve"> as </w:t>
      </w:r>
      <w:r w:rsidR="00B16D19">
        <w:rPr>
          <w:rStyle w:val="Emphasis"/>
          <w:rFonts w:ascii="Arial" w:hAnsi="Arial" w:cs="Arial"/>
          <w:b/>
          <w:bCs/>
          <w:i w:val="0"/>
          <w:iCs w:val="0"/>
          <w:color w:val="000000"/>
          <w:bdr w:val="none" w:sz="0" w:space="0" w:color="auto" w:frame="1"/>
        </w:rPr>
        <w:t xml:space="preserve">a </w:t>
      </w:r>
      <w:r w:rsidRPr="00D213C9">
        <w:rPr>
          <w:rStyle w:val="Emphasis"/>
          <w:rFonts w:ascii="Arial" w:hAnsi="Arial" w:cs="Arial"/>
          <w:b/>
          <w:bCs/>
          <w:i w:val="0"/>
          <w:iCs w:val="0"/>
          <w:color w:val="000000"/>
          <w:bdr w:val="none" w:sz="0" w:space="0" w:color="auto" w:frame="1"/>
        </w:rPr>
        <w:t xml:space="preserve">thought leader in the space. </w:t>
      </w:r>
      <w:r w:rsidR="00B16D19">
        <w:rPr>
          <w:rStyle w:val="Emphasis"/>
          <w:rFonts w:ascii="Arial" w:hAnsi="Arial" w:cs="Arial"/>
          <w:b/>
          <w:bCs/>
          <w:i w:val="0"/>
          <w:iCs w:val="0"/>
          <w:color w:val="000000"/>
          <w:bdr w:val="none" w:sz="0" w:space="0" w:color="auto" w:frame="1"/>
        </w:rPr>
        <w:t>Management continues to cultivate sig</w:t>
      </w:r>
      <w:r w:rsidRPr="00D213C9">
        <w:rPr>
          <w:rStyle w:val="Emphasis"/>
          <w:rFonts w:ascii="Arial" w:hAnsi="Arial" w:cs="Arial"/>
          <w:b/>
          <w:bCs/>
          <w:i w:val="0"/>
          <w:iCs w:val="0"/>
          <w:color w:val="000000"/>
          <w:bdr w:val="none" w:sz="0" w:space="0" w:color="auto" w:frame="1"/>
        </w:rPr>
        <w:t>nificant relationships across the industry, providing first-mover advantages as new compounds come online. </w:t>
      </w:r>
    </w:p>
    <w:p w14:paraId="237D82C2" w14:textId="1DD4DB0D" w:rsidR="008005B9" w:rsidRPr="008005B9" w:rsidRDefault="008005B9" w:rsidP="00D213C9">
      <w:pPr>
        <w:pStyle w:val="ListParagraph"/>
        <w:ind w:left="1080"/>
        <w:rPr>
          <w:rFonts w:ascii="Arial" w:hAnsi="Arial" w:cs="Arial"/>
          <w:b/>
          <w:bCs/>
          <w:sz w:val="24"/>
          <w:szCs w:val="24"/>
        </w:rPr>
      </w:pP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7A2747B7"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B16D19">
        <w:rPr>
          <w:rFonts w:ascii="Arial" w:hAnsi="Arial" w:cs="Arial"/>
          <w:b/>
          <w:bCs/>
        </w:rPr>
        <w:t>November</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34D8F3F"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business relationships </w:t>
      </w:r>
      <w:proofErr w:type="gramStart"/>
      <w:r>
        <w:rPr>
          <w:rFonts w:ascii="Arial" w:eastAsia="Arial" w:hAnsi="Arial" w:cs="Arial"/>
          <w:color w:val="000000"/>
          <w:sz w:val="24"/>
          <w:szCs w:val="24"/>
        </w:rPr>
        <w:t>entered into</w:t>
      </w:r>
      <w:proofErr w:type="gramEnd"/>
      <w:r>
        <w:rPr>
          <w:rFonts w:ascii="Arial" w:eastAsia="Arial" w:hAnsi="Arial" w:cs="Arial"/>
          <w:color w:val="000000"/>
          <w:sz w:val="24"/>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6B86DCC0"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B16D19">
        <w:rPr>
          <w:rFonts w:ascii="Arial" w:eastAsia="Arial" w:hAnsi="Arial" w:cs="Arial"/>
          <w:b/>
          <w:color w:val="000000"/>
          <w:sz w:val="24"/>
          <w:szCs w:val="24"/>
        </w:rPr>
        <w:t>November</w:t>
      </w:r>
      <w:r>
        <w:rPr>
          <w:rFonts w:ascii="Arial" w:eastAsia="Arial" w:hAnsi="Arial" w:cs="Arial"/>
          <w:b/>
          <w:color w:val="000000"/>
          <w:sz w:val="24"/>
          <w:szCs w:val="24"/>
        </w:rPr>
        <w:t xml:space="preserve">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expiry or termination of any contracts or agreements between the Issuer, the Issuer’s affiliates or third parties or cancellation of any financing arrangements that have been previously announced.</w:t>
      </w:r>
    </w:p>
    <w:p w14:paraId="35ECAFC2" w14:textId="3E9F08C1"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acquisitions by the Issuer or dispositions of the Issuer’s assets that occurred during the preceding month.  Provide details of the nature of the assets </w:t>
      </w:r>
      <w:r>
        <w:rPr>
          <w:rFonts w:ascii="Arial" w:eastAsia="Arial" w:hAnsi="Arial" w:cs="Arial"/>
          <w:color w:val="000000"/>
          <w:sz w:val="24"/>
          <w:szCs w:val="24"/>
        </w:rPr>
        <w:lastRenderedPageBreak/>
        <w:t xml:space="preserve">acquired or disposed of and provide details of the consideration paid or payable together with a schedule of payments if applicable, and of any valuation. State how the consideration was determined and whether the acquisition was </w:t>
      </w:r>
      <w:proofErr w:type="gramStart"/>
      <w:r>
        <w:rPr>
          <w:rFonts w:ascii="Arial" w:eastAsia="Arial" w:hAnsi="Arial" w:cs="Arial"/>
          <w:color w:val="000000"/>
          <w:sz w:val="24"/>
          <w:szCs w:val="24"/>
        </w:rPr>
        <w:t>from</w:t>
      </w:r>
      <w:proofErr w:type="gramEnd"/>
      <w:r>
        <w:rPr>
          <w:rFonts w:ascii="Arial" w:eastAsia="Arial" w:hAnsi="Arial" w:cs="Arial"/>
          <w:color w:val="000000"/>
          <w:sz w:val="24"/>
          <w:szCs w:val="24"/>
        </w:rPr>
        <w:t xml:space="preserve">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1" w:name="_Hlk78875498"/>
    </w:p>
    <w:bookmarkEnd w:id="1"/>
    <w:p w14:paraId="77679D32" w14:textId="7432CCA5" w:rsidR="00B16D19" w:rsidRDefault="00B16D19" w:rsidP="00B16D19">
      <w:pPr>
        <w:pStyle w:val="BodyText"/>
        <w:widowControl w:val="0"/>
        <w:spacing w:after="0"/>
        <w:ind w:left="720"/>
        <w:jc w:val="both"/>
        <w:rPr>
          <w:rFonts w:ascii="Arial" w:hAnsi="Arial" w:cs="Arial"/>
          <w:b/>
          <w:bCs/>
          <w:sz w:val="24"/>
          <w:szCs w:val="24"/>
        </w:rPr>
      </w:pPr>
      <w:r w:rsidRPr="00B16D19">
        <w:rPr>
          <w:rFonts w:ascii="Arial" w:hAnsi="Arial" w:cs="Arial"/>
          <w:b/>
          <w:bCs/>
          <w:sz w:val="24"/>
          <w:szCs w:val="24"/>
        </w:rPr>
        <w:t xml:space="preserve">The Company acquired all of the membership interests of KWC through a reverse triangular merger between KWC and a </w:t>
      </w:r>
      <w:proofErr w:type="gramStart"/>
      <w:r w:rsidRPr="00B16D19">
        <w:rPr>
          <w:rFonts w:ascii="Arial" w:hAnsi="Arial" w:cs="Arial"/>
          <w:b/>
          <w:bCs/>
          <w:sz w:val="24"/>
          <w:szCs w:val="24"/>
        </w:rPr>
        <w:t>wholly-owned</w:t>
      </w:r>
      <w:proofErr w:type="gramEnd"/>
      <w:r w:rsidRPr="00B16D19">
        <w:rPr>
          <w:rFonts w:ascii="Arial" w:hAnsi="Arial" w:cs="Arial"/>
          <w:b/>
          <w:bCs/>
          <w:sz w:val="24"/>
          <w:szCs w:val="24"/>
        </w:rPr>
        <w:t xml:space="preserve"> subsidiary of the Company (the "Transaction") for an aggregate purchase price of USD$10,000,000. The Company issued multiple voting shares in the capital of the Company ("Consideration Shares") to the members of KWC (the "Members"), having an aggregate value of USD$5,000,000, less a holdback equal to USD$1,000,000, at a price per Consideration Share of US $0.1658 (being the </w:t>
      </w:r>
      <w:proofErr w:type="gramStart"/>
      <w:r w:rsidRPr="00B16D19">
        <w:rPr>
          <w:rFonts w:ascii="Arial" w:hAnsi="Arial" w:cs="Arial"/>
          <w:b/>
          <w:bCs/>
          <w:sz w:val="24"/>
          <w:szCs w:val="24"/>
        </w:rPr>
        <w:t>ten trading</w:t>
      </w:r>
      <w:proofErr w:type="gramEnd"/>
      <w:r w:rsidRPr="00B16D19">
        <w:rPr>
          <w:rFonts w:ascii="Arial" w:hAnsi="Arial" w:cs="Arial"/>
          <w:b/>
          <w:bCs/>
          <w:sz w:val="24"/>
          <w:szCs w:val="24"/>
        </w:rPr>
        <w:t xml:space="preserve"> day volume weighed average trading price ("VWAP") of the Consideration Shares on the Canadian Securities Exchange (the "Exchange") as of November 3, 2021). Delic further satisfied the purchase price by paying to the Members, an amount equal to USD$5,000,000 in cash consideration with approximately US$3,293,933 paid on the closing date, US$296,541 to be paid on forgiveness of a loan to KWC from The Health Resources and Services Administration, USD$750,000 to be paid on the date that is 12 months following the closing date, and the final USD$750,000 to be paid on the date that is 24 months following the closing date. In addition, the Members are eligible to receive additional Consideration Shares upon each new clinic opened by KWC that posts three consecutive months of profitability and minimum revenue of USD$135,000, during those three months, such additional Consideration Shares to have an aggregate value of USD$100,000 per clinic opening, based on a price per share equal to the </w:t>
      </w:r>
      <w:proofErr w:type="gramStart"/>
      <w:r w:rsidRPr="00B16D19">
        <w:rPr>
          <w:rFonts w:ascii="Arial" w:hAnsi="Arial" w:cs="Arial"/>
          <w:b/>
          <w:bCs/>
          <w:sz w:val="24"/>
          <w:szCs w:val="24"/>
        </w:rPr>
        <w:t>10 trading</w:t>
      </w:r>
      <w:proofErr w:type="gramEnd"/>
      <w:r w:rsidRPr="00B16D19">
        <w:rPr>
          <w:rFonts w:ascii="Arial" w:hAnsi="Arial" w:cs="Arial"/>
          <w:b/>
          <w:bCs/>
          <w:sz w:val="24"/>
          <w:szCs w:val="24"/>
        </w:rPr>
        <w:t xml:space="preserve"> day VWAP of the Consideration Shares on the Exchange immediately prior to the date such milestone is achieved. The milestones are subject to an aggregate cap of 30 new clinic milestones or USD$3,000,000 in additional Consideration Shares. </w:t>
      </w:r>
    </w:p>
    <w:p w14:paraId="5BE1BC4B" w14:textId="7E0167E1" w:rsidR="00B16D19" w:rsidRPr="00B16D19" w:rsidRDefault="00B16D19" w:rsidP="00B16D19">
      <w:pPr>
        <w:pStyle w:val="BodyText"/>
        <w:widowControl w:val="0"/>
        <w:spacing w:after="0"/>
        <w:ind w:left="720"/>
        <w:jc w:val="both"/>
        <w:rPr>
          <w:rFonts w:ascii="Arial" w:hAnsi="Arial" w:cs="Arial"/>
          <w:b/>
          <w:bCs/>
          <w:sz w:val="24"/>
          <w:szCs w:val="24"/>
        </w:rPr>
      </w:pPr>
    </w:p>
    <w:p w14:paraId="16FB0C64" w14:textId="3817104D" w:rsidR="00B16D19" w:rsidRPr="00B16D19" w:rsidRDefault="00B16D19" w:rsidP="00B16D19">
      <w:pPr>
        <w:pStyle w:val="BodyText"/>
        <w:widowControl w:val="0"/>
        <w:spacing w:after="0"/>
        <w:ind w:left="720"/>
        <w:jc w:val="both"/>
        <w:rPr>
          <w:rFonts w:ascii="Arial" w:hAnsi="Arial" w:cs="Arial"/>
          <w:b/>
          <w:bCs/>
          <w:sz w:val="24"/>
          <w:szCs w:val="24"/>
        </w:rPr>
      </w:pPr>
      <w:r w:rsidRPr="00B16D19">
        <w:rPr>
          <w:rFonts w:ascii="Arial" w:hAnsi="Arial" w:cs="Arial"/>
          <w:b/>
          <w:bCs/>
          <w:sz w:val="24"/>
          <w:szCs w:val="24"/>
        </w:rPr>
        <w:t>The Members have agreed that any Consideration Shares issued will be subject to a contractual hold period, with 10% of the share consideration to be released on the date that is six months and one day following closing, and 15% released every six months thereafter over a period of 36 months.</w:t>
      </w:r>
    </w:p>
    <w:p w14:paraId="5D068B90" w14:textId="77777777" w:rsidR="00B16D19" w:rsidRDefault="00B16D19" w:rsidP="00B16D19">
      <w:pPr>
        <w:spacing w:line="259" w:lineRule="auto"/>
        <w:rPr>
          <w:rFonts w:ascii="Arial" w:hAnsi="Arial" w:cs="Arial"/>
        </w:rPr>
      </w:pPr>
    </w:p>
    <w:p w14:paraId="183ED072" w14:textId="2E32F6CC" w:rsidR="004979E1" w:rsidRDefault="00EC1E97" w:rsidP="00B16D1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acquisition of new customers or loss of customers.</w:t>
      </w:r>
    </w:p>
    <w:p w14:paraId="3CCF767D" w14:textId="0B0E5F07"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Describe any new developments or effects on intangible products such as brand names, circulation lists, copyrights, franchises, licenses, patents, software, subscription lists and </w:t>
      </w:r>
      <w:proofErr w:type="gramStart"/>
      <w:r>
        <w:rPr>
          <w:rFonts w:ascii="Arial" w:eastAsia="Arial" w:hAnsi="Arial" w:cs="Arial"/>
          <w:color w:val="000000"/>
          <w:sz w:val="24"/>
          <w:szCs w:val="24"/>
        </w:rPr>
        <w:t>trade-marks</w:t>
      </w:r>
      <w:proofErr w:type="gramEnd"/>
      <w:r>
        <w:rPr>
          <w:rFonts w:ascii="Arial" w:eastAsia="Arial" w:hAnsi="Arial" w:cs="Arial"/>
          <w:color w:val="000000"/>
          <w:sz w:val="24"/>
          <w:szCs w:val="24"/>
        </w:rPr>
        <w:t>.</w:t>
      </w:r>
    </w:p>
    <w:p w14:paraId="16030EB4" w14:textId="5C3EECCC"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00C57A83"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B16D19">
        <w:rPr>
          <w:rFonts w:ascii="Arial" w:eastAsia="Arial" w:hAnsi="Arial" w:cs="Arial"/>
          <w:b/>
          <w:color w:val="000000"/>
          <w:sz w:val="24"/>
          <w:szCs w:val="24"/>
        </w:rPr>
        <w:t>November</w:t>
      </w:r>
      <w:r>
        <w:rPr>
          <w:rFonts w:ascii="Arial" w:eastAsia="Arial" w:hAnsi="Arial" w:cs="Arial"/>
          <w:b/>
          <w:bCs/>
          <w:color w:val="000000"/>
          <w:sz w:val="24"/>
          <w:szCs w:val="24"/>
        </w:rPr>
        <w:t xml:space="preserve"> 2021.</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3EE3F3D0"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E89CCE8"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B16D19">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5C703820"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B16D19">
        <w:rPr>
          <w:rFonts w:ascii="Arial" w:eastAsia="Arial" w:hAnsi="Arial" w:cs="Arial"/>
          <w:b/>
          <w:color w:val="000000"/>
          <w:sz w:val="24"/>
          <w:szCs w:val="24"/>
        </w:rPr>
        <w:t>November</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2CBB140B" w:rsidR="008F2AF2" w:rsidRDefault="00B16D19"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n/a</w:t>
            </w:r>
          </w:p>
        </w:tc>
        <w:tc>
          <w:tcPr>
            <w:tcW w:w="1938" w:type="dxa"/>
          </w:tcPr>
          <w:p w14:paraId="1358FC3D" w14:textId="7E5111F2" w:rsidR="008F2AF2" w:rsidRDefault="008F2AF2">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57D162D0" w14:textId="072A6462" w:rsidR="008F2AF2" w:rsidRDefault="008F2AF2">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16C89750" w14:textId="0059B3A3" w:rsidR="008F2AF2" w:rsidRDefault="008F2AF2">
            <w:pPr>
              <w:pBdr>
                <w:top w:val="nil"/>
                <w:left w:val="nil"/>
                <w:bottom w:val="nil"/>
                <w:right w:val="nil"/>
                <w:between w:val="nil"/>
              </w:pBdr>
              <w:spacing w:before="60" w:after="60"/>
              <w:jc w:val="center"/>
              <w:rPr>
                <w:rFonts w:ascii="Arial" w:eastAsia="Arial" w:hAnsi="Arial" w:cs="Arial"/>
                <w:b/>
                <w:color w:val="000000"/>
              </w:rPr>
            </w:pP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Provide details of any loans to or by Related Persons.</w:t>
      </w:r>
    </w:p>
    <w:p w14:paraId="669213A9" w14:textId="619E71E4"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AB36A5">
        <w:rPr>
          <w:rFonts w:ascii="Arial" w:eastAsia="Arial" w:hAnsi="Arial" w:cs="Arial"/>
          <w:b/>
          <w:color w:val="000000"/>
          <w:sz w:val="24"/>
          <w:szCs w:val="24"/>
        </w:rPr>
        <w:t>November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Provide details of any changes in directors, </w:t>
      </w:r>
      <w:proofErr w:type="gramStart"/>
      <w:r>
        <w:rPr>
          <w:rFonts w:ascii="Arial" w:eastAsia="Arial" w:hAnsi="Arial" w:cs="Arial"/>
          <w:color w:val="000000"/>
          <w:sz w:val="24"/>
          <w:szCs w:val="24"/>
        </w:rPr>
        <w:t>officers</w:t>
      </w:r>
      <w:proofErr w:type="gramEnd"/>
      <w:r>
        <w:rPr>
          <w:rFonts w:ascii="Arial" w:eastAsia="Arial" w:hAnsi="Arial" w:cs="Arial"/>
          <w:color w:val="000000"/>
          <w:sz w:val="24"/>
          <w:szCs w:val="24"/>
        </w:rPr>
        <w:t xml:space="preserve"> or committee members.</w:t>
      </w:r>
    </w:p>
    <w:p w14:paraId="31542838" w14:textId="497FF980" w:rsidR="004979E1" w:rsidRDefault="00767287"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during </w:t>
      </w:r>
      <w:r w:rsidR="00AB36A5">
        <w:rPr>
          <w:rFonts w:ascii="Arial" w:eastAsia="Arial" w:hAnsi="Arial" w:cs="Arial"/>
          <w:b/>
          <w:color w:val="000000"/>
          <w:sz w:val="24"/>
          <w:szCs w:val="24"/>
        </w:rPr>
        <w:t>November</w:t>
      </w:r>
      <w:r>
        <w:rPr>
          <w:rFonts w:ascii="Arial" w:eastAsia="Arial" w:hAnsi="Arial" w:cs="Arial"/>
          <w:b/>
          <w:color w:val="000000"/>
          <w:sz w:val="24"/>
          <w:szCs w:val="24"/>
        </w:rPr>
        <w:t xml:space="preserve"> 2021.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w:t>
      </w:r>
      <w:proofErr w:type="gramStart"/>
      <w:r>
        <w:rPr>
          <w:rFonts w:ascii="Arial" w:eastAsia="Arial" w:hAnsi="Arial" w:cs="Arial"/>
          <w:color w:val="000000"/>
          <w:sz w:val="24"/>
          <w:szCs w:val="24"/>
        </w:rPr>
        <w:t>is in compliance with</w:t>
      </w:r>
      <w:proofErr w:type="gramEnd"/>
      <w:r>
        <w:rPr>
          <w:rFonts w:ascii="Arial" w:eastAsia="Arial" w:hAnsi="Arial" w:cs="Arial"/>
          <w:color w:val="000000"/>
          <w:sz w:val="24"/>
          <w:szCs w:val="24"/>
        </w:rPr>
        <w:t xml:space="preserve"> the requirements of applicable securities legislation (as such term is defined 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proofErr w:type="gramStart"/>
      <w:r>
        <w:rPr>
          <w:rFonts w:ascii="Arial" w:eastAsia="Arial" w:hAnsi="Arial" w:cs="Arial"/>
          <w:color w:val="000000"/>
          <w:sz w:val="24"/>
          <w:szCs w:val="24"/>
        </w:rPr>
        <w:lastRenderedPageBreak/>
        <w:t>All of</w:t>
      </w:r>
      <w:proofErr w:type="gramEnd"/>
      <w:r>
        <w:rPr>
          <w:rFonts w:ascii="Arial" w:eastAsia="Arial" w:hAnsi="Arial" w:cs="Arial"/>
          <w:color w:val="000000"/>
          <w:sz w:val="24"/>
          <w:szCs w:val="24"/>
        </w:rPr>
        <w:t xml:space="preserve"> the information in this Form 7 Monthly Progress Report is true.</w:t>
      </w:r>
    </w:p>
    <w:p w14:paraId="1D04F672" w14:textId="4AFD7ED1"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AB36A5">
        <w:rPr>
          <w:rFonts w:ascii="Arial" w:eastAsia="Arial" w:hAnsi="Arial" w:cs="Arial"/>
          <w:color w:val="000000"/>
          <w:sz w:val="24"/>
          <w:szCs w:val="24"/>
          <w:u w:val="single"/>
        </w:rPr>
        <w:t>December</w:t>
      </w:r>
      <w:r w:rsidR="00900B01">
        <w:rPr>
          <w:rFonts w:ascii="Arial" w:eastAsia="Arial" w:hAnsi="Arial" w:cs="Arial"/>
          <w:color w:val="000000"/>
          <w:sz w:val="24"/>
          <w:szCs w:val="24"/>
          <w:u w:val="single"/>
        </w:rPr>
        <w:t xml:space="preserve"> 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6D84B171" w:rsidR="004979E1" w:rsidRDefault="00B52F7C">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November</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694C5B5C"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767287">
              <w:rPr>
                <w:rFonts w:ascii="Arial" w:eastAsia="Arial" w:hAnsi="Arial" w:cs="Arial"/>
                <w:color w:val="000000"/>
                <w:sz w:val="24"/>
                <w:szCs w:val="24"/>
              </w:rPr>
              <w:t>1</w:t>
            </w:r>
            <w:r w:rsidR="00B52F7C">
              <w:rPr>
                <w:rFonts w:ascii="Arial" w:eastAsia="Arial" w:hAnsi="Arial" w:cs="Arial"/>
                <w:color w:val="000000"/>
                <w:sz w:val="24"/>
                <w:szCs w:val="24"/>
              </w:rPr>
              <w:t>2</w:t>
            </w:r>
            <w:r w:rsidR="00BA3DB6">
              <w:rPr>
                <w:rFonts w:ascii="Arial" w:eastAsia="Arial" w:hAnsi="Arial" w:cs="Arial"/>
                <w:color w:val="000000"/>
                <w:sz w:val="24"/>
                <w:szCs w:val="24"/>
              </w:rPr>
              <w:t>/0</w:t>
            </w:r>
            <w:r w:rsidR="00900B01">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D03399">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D03399">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F82A" w14:textId="77777777" w:rsidR="00D03399" w:rsidRDefault="00D03399">
      <w:r>
        <w:separator/>
      </w:r>
    </w:p>
  </w:endnote>
  <w:endnote w:type="continuationSeparator" w:id="0">
    <w:p w14:paraId="21615155" w14:textId="77777777" w:rsidR="00D03399" w:rsidRDefault="00D03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2E4D" w14:textId="77777777" w:rsidR="00D03399" w:rsidRDefault="00D03399">
      <w:r>
        <w:separator/>
      </w:r>
    </w:p>
  </w:footnote>
  <w:footnote w:type="continuationSeparator" w:id="0">
    <w:p w14:paraId="71FFEADC" w14:textId="77777777" w:rsidR="00D03399" w:rsidRDefault="00D03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29416DC6"/>
    <w:multiLevelType w:val="multilevel"/>
    <w:tmpl w:val="567C68AE"/>
    <w:lvl w:ilvl="0">
      <w:start w:val="3"/>
      <w:numFmt w:val="decimal"/>
      <w:lvlText w:val="%1."/>
      <w:lvlJc w:val="left"/>
      <w:pPr>
        <w:ind w:left="360" w:hanging="360"/>
      </w:pPr>
      <w:rPr>
        <w:rFonts w:ascii="Arial" w:hAnsi="Arial" w:cs="Arial" w:hint="default"/>
        <w:b/>
        <w:i w:val="0"/>
      </w:rPr>
    </w:lvl>
    <w:lvl w:ilvl="1">
      <w:start w:val="3"/>
      <w:numFmt w:val="decimal"/>
      <w:lvlText w:val="%1.%2."/>
      <w:lvlJc w:val="left"/>
      <w:pPr>
        <w:ind w:left="792" w:hanging="432"/>
      </w:pPr>
      <w:rPr>
        <w:rFonts w:cs="Times New Roman" w:hint="default"/>
        <w:b/>
        <w:i w:val="0"/>
        <w:sz w:val="2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7"/>
  </w:num>
  <w:num w:numId="3">
    <w:abstractNumId w:val="2"/>
  </w:num>
  <w:num w:numId="4">
    <w:abstractNumId w:val="6"/>
  </w:num>
  <w:num w:numId="5">
    <w:abstractNumId w:val="0"/>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6265"/>
    <w:rsid w:val="0003086D"/>
    <w:rsid w:val="00032A5C"/>
    <w:rsid w:val="00076A5B"/>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A1DE7"/>
    <w:rsid w:val="001A1FDA"/>
    <w:rsid w:val="001B24A6"/>
    <w:rsid w:val="001C37C4"/>
    <w:rsid w:val="001E7106"/>
    <w:rsid w:val="001F2EB4"/>
    <w:rsid w:val="00212B2A"/>
    <w:rsid w:val="00236019"/>
    <w:rsid w:val="002554C3"/>
    <w:rsid w:val="002628E1"/>
    <w:rsid w:val="0027632F"/>
    <w:rsid w:val="002803EC"/>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97FDD"/>
    <w:rsid w:val="004B0088"/>
    <w:rsid w:val="004C3588"/>
    <w:rsid w:val="004C36D4"/>
    <w:rsid w:val="004E436B"/>
    <w:rsid w:val="00500A5B"/>
    <w:rsid w:val="0050710B"/>
    <w:rsid w:val="005167BE"/>
    <w:rsid w:val="00567B94"/>
    <w:rsid w:val="005802D6"/>
    <w:rsid w:val="00583D96"/>
    <w:rsid w:val="005A5507"/>
    <w:rsid w:val="005B5937"/>
    <w:rsid w:val="006103AE"/>
    <w:rsid w:val="00626B75"/>
    <w:rsid w:val="00661527"/>
    <w:rsid w:val="006654D6"/>
    <w:rsid w:val="006B4AC7"/>
    <w:rsid w:val="006C2AA6"/>
    <w:rsid w:val="006C6E37"/>
    <w:rsid w:val="006F3DEF"/>
    <w:rsid w:val="00701FE0"/>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63619"/>
    <w:rsid w:val="0097311F"/>
    <w:rsid w:val="00992346"/>
    <w:rsid w:val="009B1489"/>
    <w:rsid w:val="009F34B8"/>
    <w:rsid w:val="009F5BF6"/>
    <w:rsid w:val="00A05EF0"/>
    <w:rsid w:val="00A13B6D"/>
    <w:rsid w:val="00A16987"/>
    <w:rsid w:val="00A17395"/>
    <w:rsid w:val="00A3206A"/>
    <w:rsid w:val="00A35FE8"/>
    <w:rsid w:val="00A6113B"/>
    <w:rsid w:val="00A63869"/>
    <w:rsid w:val="00A7513B"/>
    <w:rsid w:val="00A75219"/>
    <w:rsid w:val="00A811CF"/>
    <w:rsid w:val="00AA6916"/>
    <w:rsid w:val="00AB36A5"/>
    <w:rsid w:val="00AB4175"/>
    <w:rsid w:val="00AB60D9"/>
    <w:rsid w:val="00AC3F1B"/>
    <w:rsid w:val="00AD3462"/>
    <w:rsid w:val="00AE561E"/>
    <w:rsid w:val="00AE5F24"/>
    <w:rsid w:val="00AE602B"/>
    <w:rsid w:val="00AF0D79"/>
    <w:rsid w:val="00B06255"/>
    <w:rsid w:val="00B16D19"/>
    <w:rsid w:val="00B17E58"/>
    <w:rsid w:val="00B320DA"/>
    <w:rsid w:val="00B34D64"/>
    <w:rsid w:val="00B41065"/>
    <w:rsid w:val="00B41D1A"/>
    <w:rsid w:val="00B4618B"/>
    <w:rsid w:val="00B52F7C"/>
    <w:rsid w:val="00B54521"/>
    <w:rsid w:val="00B6111E"/>
    <w:rsid w:val="00B671A0"/>
    <w:rsid w:val="00B95F9B"/>
    <w:rsid w:val="00BA38E1"/>
    <w:rsid w:val="00BA3DB6"/>
    <w:rsid w:val="00BB4D62"/>
    <w:rsid w:val="00BD2902"/>
    <w:rsid w:val="00C33865"/>
    <w:rsid w:val="00C54A28"/>
    <w:rsid w:val="00C65842"/>
    <w:rsid w:val="00CA0DB9"/>
    <w:rsid w:val="00CA571B"/>
    <w:rsid w:val="00CB61E8"/>
    <w:rsid w:val="00CD1070"/>
    <w:rsid w:val="00D03399"/>
    <w:rsid w:val="00D050F2"/>
    <w:rsid w:val="00D07445"/>
    <w:rsid w:val="00D113A9"/>
    <w:rsid w:val="00D213C9"/>
    <w:rsid w:val="00D3615C"/>
    <w:rsid w:val="00D622C4"/>
    <w:rsid w:val="00DF1D42"/>
    <w:rsid w:val="00DF6459"/>
    <w:rsid w:val="00E02523"/>
    <w:rsid w:val="00E067DF"/>
    <w:rsid w:val="00E32757"/>
    <w:rsid w:val="00E363A8"/>
    <w:rsid w:val="00E401E3"/>
    <w:rsid w:val="00E5661C"/>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 w:type="character" w:styleId="Emphasis">
    <w:name w:val="Emphasis"/>
    <w:basedOn w:val="DefaultParagraphFont"/>
    <w:uiPriority w:val="20"/>
    <w:qFormat/>
    <w:rsid w:val="00D213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 w:id="1690060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6</Pages>
  <Words>1608</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74</cp:revision>
  <dcterms:created xsi:type="dcterms:W3CDTF">2020-05-04T19:10:00Z</dcterms:created>
  <dcterms:modified xsi:type="dcterms:W3CDTF">2021-12-08T17:33:00Z</dcterms:modified>
</cp:coreProperties>
</file>