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3F236284"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0B6D2A">
        <w:rPr>
          <w:rFonts w:ascii="Arial" w:hAnsi="Arial"/>
          <w:i/>
          <w:color w:val="000000"/>
        </w:rPr>
        <w:t>84,821,672</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05F40E32"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8A1BFD">
        <w:rPr>
          <w:rFonts w:ascii="Arial" w:hAnsi="Arial"/>
          <w:color w:val="000000"/>
        </w:rPr>
        <w:t>Aug</w:t>
      </w:r>
      <w:r w:rsidR="00472CA2">
        <w:rPr>
          <w:rFonts w:ascii="Arial" w:hAnsi="Arial"/>
          <w:color w:val="000000"/>
        </w:rPr>
        <w:t xml:space="preserve"> </w:t>
      </w:r>
      <w:r w:rsidR="00074550">
        <w:rPr>
          <w:rFonts w:ascii="Arial" w:hAnsi="Arial"/>
          <w:color w:val="000000"/>
        </w:rPr>
        <w:t>3</w:t>
      </w:r>
      <w:r w:rsidR="00FD2A92">
        <w:rPr>
          <w:rFonts w:ascii="Arial" w:hAnsi="Arial"/>
          <w:color w:val="000000"/>
        </w:rPr>
        <w:t>, 2021</w:t>
      </w: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568CA6FA" w14:textId="77777777" w:rsidR="00074550" w:rsidRDefault="00074550" w:rsidP="00074550">
      <w:pPr>
        <w:pStyle w:val="ListParagraph"/>
        <w:jc w:val="both"/>
        <w:rPr>
          <w:rFonts w:ascii="Arial" w:eastAsia="Calibri" w:hAnsi="Arial" w:cs="Arial"/>
          <w:sz w:val="22"/>
          <w:szCs w:val="22"/>
        </w:rPr>
      </w:pPr>
    </w:p>
    <w:p w14:paraId="6D5103BF" w14:textId="0FF21E9A" w:rsidR="00074550" w:rsidRPr="00074550" w:rsidRDefault="00074550" w:rsidP="00074550">
      <w:pPr>
        <w:pStyle w:val="ListParagraph"/>
        <w:jc w:val="both"/>
        <w:rPr>
          <w:rFonts w:ascii="Arial" w:eastAsia="Calibri" w:hAnsi="Arial" w:cs="Arial"/>
          <w:i/>
          <w:iCs/>
          <w:sz w:val="22"/>
          <w:szCs w:val="22"/>
        </w:rPr>
      </w:pPr>
      <w:r w:rsidRPr="00074550">
        <w:rPr>
          <w:rFonts w:ascii="Arial" w:eastAsia="Calibri" w:hAnsi="Arial" w:cs="Arial"/>
          <w:i/>
          <w:iCs/>
          <w:sz w:val="22"/>
          <w:szCs w:val="22"/>
        </w:rPr>
        <w:t>On July 12, 2021, the Company provided the following H1 2021 progress update:</w:t>
      </w:r>
    </w:p>
    <w:p w14:paraId="5809A428" w14:textId="77777777" w:rsidR="00074550" w:rsidRPr="00074550" w:rsidRDefault="00074550" w:rsidP="00074550">
      <w:pPr>
        <w:pStyle w:val="ListParagraph"/>
        <w:jc w:val="both"/>
        <w:rPr>
          <w:rFonts w:ascii="Arial" w:eastAsia="Calibri" w:hAnsi="Arial" w:cs="Arial"/>
          <w:i/>
          <w:iCs/>
          <w:sz w:val="22"/>
          <w:szCs w:val="22"/>
        </w:rPr>
      </w:pPr>
    </w:p>
    <w:p w14:paraId="04EB706C" w14:textId="77777777" w:rsidR="00074550" w:rsidRPr="00074550" w:rsidRDefault="00074550" w:rsidP="00074550">
      <w:pPr>
        <w:pStyle w:val="ListParagraph"/>
        <w:jc w:val="both"/>
        <w:rPr>
          <w:rFonts w:ascii="Arial" w:eastAsia="Calibri" w:hAnsi="Arial" w:cs="Arial"/>
          <w:i/>
          <w:iCs/>
          <w:sz w:val="22"/>
          <w:szCs w:val="22"/>
          <w:u w:val="single"/>
        </w:rPr>
      </w:pPr>
      <w:r w:rsidRPr="00074550">
        <w:rPr>
          <w:rFonts w:ascii="Arial" w:eastAsia="Calibri" w:hAnsi="Arial" w:cs="Arial"/>
          <w:i/>
          <w:iCs/>
          <w:sz w:val="22"/>
          <w:szCs w:val="22"/>
          <w:u w:val="single"/>
        </w:rPr>
        <w:t>TD-0148A</w:t>
      </w:r>
    </w:p>
    <w:p w14:paraId="57448333" w14:textId="77777777" w:rsidR="00074550" w:rsidRPr="00074550" w:rsidRDefault="00074550" w:rsidP="00074550">
      <w:pPr>
        <w:pStyle w:val="ListParagraph"/>
        <w:jc w:val="both"/>
        <w:rPr>
          <w:rFonts w:ascii="Arial" w:eastAsia="Calibri" w:hAnsi="Arial" w:cs="Arial"/>
          <w:i/>
          <w:iCs/>
          <w:sz w:val="22"/>
          <w:szCs w:val="22"/>
        </w:rPr>
      </w:pPr>
      <w:r w:rsidRPr="00074550">
        <w:rPr>
          <w:rFonts w:ascii="Arial" w:eastAsia="Calibri" w:hAnsi="Arial" w:cs="Arial"/>
          <w:i/>
          <w:iCs/>
          <w:sz w:val="22"/>
          <w:szCs w:val="22"/>
        </w:rPr>
        <w:t>The Company’s TD-0148A is a second-generation lysergic acid diethylamide (“LSD”) derivative molecule that has been synthesized using the Company’s own patented manufacturing process. The Company believes TD-0148A can mimic the projected therapeutic potential of LSD without causing its undesirable psychoactive dissociative side effects, such as hallucinations. TD-0148A is projected to be developed for treatment of major depressive disorders, a market which is forecast to reach near US$25 billion by 2030, as well as cluster headaches and other neurological disorders.</w:t>
      </w:r>
    </w:p>
    <w:p w14:paraId="7A6A1C8E" w14:textId="77777777" w:rsidR="00074550" w:rsidRPr="00074550" w:rsidRDefault="00074550" w:rsidP="00074550">
      <w:pPr>
        <w:pStyle w:val="ListParagraph"/>
        <w:jc w:val="both"/>
        <w:rPr>
          <w:rFonts w:ascii="Arial" w:eastAsia="Calibri" w:hAnsi="Arial" w:cs="Arial"/>
          <w:i/>
          <w:iCs/>
          <w:sz w:val="22"/>
          <w:szCs w:val="22"/>
        </w:rPr>
      </w:pPr>
    </w:p>
    <w:p w14:paraId="53D67C67" w14:textId="77777777" w:rsidR="00074550" w:rsidRPr="00074550" w:rsidRDefault="00074550" w:rsidP="00074550">
      <w:pPr>
        <w:pStyle w:val="ListParagraph"/>
        <w:jc w:val="both"/>
        <w:rPr>
          <w:rFonts w:ascii="Arial" w:eastAsia="Calibri" w:hAnsi="Arial" w:cs="Arial"/>
          <w:i/>
          <w:iCs/>
          <w:sz w:val="22"/>
          <w:szCs w:val="22"/>
        </w:rPr>
      </w:pPr>
      <w:r w:rsidRPr="00074550">
        <w:rPr>
          <w:rFonts w:ascii="Arial" w:eastAsia="Calibri" w:hAnsi="Arial" w:cs="Arial"/>
          <w:i/>
          <w:iCs/>
          <w:sz w:val="22"/>
          <w:szCs w:val="22"/>
        </w:rPr>
        <w:t xml:space="preserve">To date, the Company has issued patents on synthesis of TD-0148A for its entirely unique manufacturing process. Neither the product nor process is restricted by controlled substance regulations because LSD or other Schedule 1 drugs are not used. Unlike first-generation psychedelics, which have side effects, TD-0148A can be self-administered, leading to both time and cost savings as it does not have to be ingested at a clinic or in the presence of at least one therapist nor does the patient require going through a four-step treatment model. </w:t>
      </w:r>
    </w:p>
    <w:p w14:paraId="666F6F54" w14:textId="77777777" w:rsidR="00074550" w:rsidRPr="00074550" w:rsidRDefault="00074550" w:rsidP="00074550">
      <w:pPr>
        <w:pStyle w:val="ListParagraph"/>
        <w:jc w:val="both"/>
        <w:rPr>
          <w:rFonts w:ascii="Arial" w:eastAsia="Calibri" w:hAnsi="Arial" w:cs="Arial"/>
          <w:i/>
          <w:iCs/>
          <w:sz w:val="22"/>
          <w:szCs w:val="22"/>
        </w:rPr>
      </w:pPr>
    </w:p>
    <w:p w14:paraId="5C0EE9A4" w14:textId="2AB7822C" w:rsidR="00074550" w:rsidRDefault="00074550" w:rsidP="00074550">
      <w:pPr>
        <w:pStyle w:val="ListParagraph"/>
        <w:jc w:val="both"/>
        <w:rPr>
          <w:rFonts w:ascii="Arial" w:eastAsia="Calibri" w:hAnsi="Arial" w:cs="Arial"/>
          <w:i/>
          <w:iCs/>
          <w:sz w:val="22"/>
          <w:szCs w:val="22"/>
        </w:rPr>
      </w:pPr>
      <w:r w:rsidRPr="00074550">
        <w:rPr>
          <w:rFonts w:ascii="Arial" w:eastAsia="Calibri" w:hAnsi="Arial" w:cs="Arial"/>
          <w:i/>
          <w:iCs/>
          <w:sz w:val="22"/>
          <w:szCs w:val="22"/>
        </w:rPr>
        <w:t>In H1 2021, the Company achieved the following value catalysts:</w:t>
      </w:r>
    </w:p>
    <w:p w14:paraId="5D09AEBF" w14:textId="77777777" w:rsidR="00074550" w:rsidRPr="00074550" w:rsidRDefault="00074550" w:rsidP="00074550">
      <w:pPr>
        <w:pStyle w:val="ListParagraph"/>
        <w:jc w:val="both"/>
        <w:rPr>
          <w:rFonts w:ascii="Arial" w:eastAsia="Calibri" w:hAnsi="Arial" w:cs="Arial"/>
          <w:i/>
          <w:iCs/>
          <w:sz w:val="22"/>
          <w:szCs w:val="22"/>
        </w:rPr>
      </w:pPr>
    </w:p>
    <w:p w14:paraId="432629A5" w14:textId="77777777" w:rsidR="00074550" w:rsidRPr="00074550" w:rsidRDefault="00074550" w:rsidP="00074550">
      <w:pPr>
        <w:pStyle w:val="ListParagraph"/>
        <w:ind w:left="1080"/>
        <w:jc w:val="both"/>
        <w:rPr>
          <w:rFonts w:ascii="Arial" w:eastAsia="Calibri" w:hAnsi="Arial" w:cs="Arial"/>
          <w:i/>
          <w:iCs/>
          <w:sz w:val="22"/>
          <w:szCs w:val="22"/>
        </w:rPr>
      </w:pPr>
      <w:r w:rsidRPr="00074550">
        <w:rPr>
          <w:rFonts w:ascii="Arial" w:eastAsia="Calibri" w:hAnsi="Arial" w:cs="Arial"/>
          <w:i/>
          <w:iCs/>
          <w:sz w:val="22"/>
          <w:szCs w:val="22"/>
        </w:rPr>
        <w:t>-</w:t>
      </w:r>
      <w:r w:rsidRPr="00074550">
        <w:rPr>
          <w:rFonts w:ascii="Arial" w:eastAsia="Calibri" w:hAnsi="Arial" w:cs="Arial"/>
          <w:i/>
          <w:iCs/>
          <w:sz w:val="22"/>
          <w:szCs w:val="22"/>
        </w:rPr>
        <w:tab/>
        <w:t xml:space="preserve">Scale-up and process development for GMP manufacturing advanced </w:t>
      </w:r>
      <w:proofErr w:type="gramStart"/>
      <w:r w:rsidRPr="00074550">
        <w:rPr>
          <w:rFonts w:ascii="Arial" w:eastAsia="Calibri" w:hAnsi="Arial" w:cs="Arial"/>
          <w:i/>
          <w:iCs/>
          <w:sz w:val="22"/>
          <w:szCs w:val="22"/>
        </w:rPr>
        <w:t>significantly;</w:t>
      </w:r>
      <w:proofErr w:type="gramEnd"/>
      <w:r w:rsidRPr="00074550">
        <w:rPr>
          <w:rFonts w:ascii="Arial" w:eastAsia="Calibri" w:hAnsi="Arial" w:cs="Arial"/>
          <w:i/>
          <w:iCs/>
          <w:sz w:val="22"/>
          <w:szCs w:val="22"/>
        </w:rPr>
        <w:t xml:space="preserve"> </w:t>
      </w:r>
    </w:p>
    <w:p w14:paraId="2A187C74" w14:textId="3514F48D" w:rsidR="00074550" w:rsidRDefault="00074550" w:rsidP="00074550">
      <w:pPr>
        <w:pStyle w:val="ListParagraph"/>
        <w:ind w:left="1080"/>
        <w:jc w:val="both"/>
        <w:rPr>
          <w:rFonts w:ascii="Arial" w:eastAsia="Calibri" w:hAnsi="Arial" w:cs="Arial"/>
          <w:i/>
          <w:iCs/>
          <w:sz w:val="22"/>
          <w:szCs w:val="22"/>
        </w:rPr>
      </w:pPr>
      <w:r w:rsidRPr="00074550">
        <w:rPr>
          <w:rFonts w:ascii="Arial" w:eastAsia="Calibri" w:hAnsi="Arial" w:cs="Arial"/>
          <w:i/>
          <w:iCs/>
          <w:sz w:val="22"/>
          <w:szCs w:val="22"/>
        </w:rPr>
        <w:t>-</w:t>
      </w:r>
      <w:r w:rsidRPr="00074550">
        <w:rPr>
          <w:rFonts w:ascii="Arial" w:eastAsia="Calibri" w:hAnsi="Arial" w:cs="Arial"/>
          <w:i/>
          <w:iCs/>
          <w:sz w:val="22"/>
          <w:szCs w:val="22"/>
        </w:rPr>
        <w:tab/>
        <w:t>Execution of agreements with several leading researchers at marquee institutions for preclinical pharmacology and other IND-enabling studies, including:</w:t>
      </w:r>
    </w:p>
    <w:p w14:paraId="7FF6952B" w14:textId="77777777" w:rsidR="00074550" w:rsidRPr="00074550" w:rsidRDefault="00074550" w:rsidP="00074550">
      <w:pPr>
        <w:pStyle w:val="ListParagraph"/>
        <w:ind w:left="1080"/>
        <w:jc w:val="both"/>
        <w:rPr>
          <w:rFonts w:ascii="Arial" w:eastAsia="Calibri" w:hAnsi="Arial" w:cs="Arial"/>
          <w:i/>
          <w:iCs/>
          <w:sz w:val="22"/>
          <w:szCs w:val="22"/>
        </w:rPr>
      </w:pPr>
    </w:p>
    <w:p w14:paraId="086B3BFF" w14:textId="77777777" w:rsidR="00074550" w:rsidRPr="00074550" w:rsidRDefault="00074550" w:rsidP="00074550">
      <w:pPr>
        <w:pStyle w:val="ListParagraph"/>
        <w:ind w:left="1530"/>
        <w:jc w:val="both"/>
        <w:rPr>
          <w:rFonts w:ascii="Arial" w:eastAsia="Calibri" w:hAnsi="Arial" w:cs="Arial"/>
          <w:i/>
          <w:iCs/>
          <w:sz w:val="22"/>
          <w:szCs w:val="22"/>
        </w:rPr>
      </w:pPr>
      <w:r w:rsidRPr="00074550">
        <w:rPr>
          <w:rFonts w:ascii="Arial" w:eastAsia="Calibri" w:hAnsi="Arial" w:cs="Arial"/>
          <w:i/>
          <w:iCs/>
          <w:sz w:val="22"/>
          <w:szCs w:val="22"/>
        </w:rPr>
        <w:t>o</w:t>
      </w:r>
      <w:r w:rsidRPr="00074550">
        <w:rPr>
          <w:rFonts w:ascii="Arial" w:eastAsia="Calibri" w:hAnsi="Arial" w:cs="Arial"/>
          <w:i/>
          <w:iCs/>
          <w:sz w:val="22"/>
          <w:szCs w:val="22"/>
        </w:rPr>
        <w:tab/>
        <w:t xml:space="preserve">Eurofins Discovery – Pharmacology and </w:t>
      </w:r>
      <w:proofErr w:type="gramStart"/>
      <w:r w:rsidRPr="00074550">
        <w:rPr>
          <w:rFonts w:ascii="Arial" w:eastAsia="Calibri" w:hAnsi="Arial" w:cs="Arial"/>
          <w:i/>
          <w:iCs/>
          <w:sz w:val="22"/>
          <w:szCs w:val="22"/>
        </w:rPr>
        <w:t>safety;</w:t>
      </w:r>
      <w:proofErr w:type="gramEnd"/>
      <w:r w:rsidRPr="00074550">
        <w:rPr>
          <w:rFonts w:ascii="Arial" w:eastAsia="Calibri" w:hAnsi="Arial" w:cs="Arial"/>
          <w:i/>
          <w:iCs/>
          <w:sz w:val="22"/>
          <w:szCs w:val="22"/>
        </w:rPr>
        <w:t xml:space="preserve"> </w:t>
      </w:r>
    </w:p>
    <w:p w14:paraId="14E94E8D" w14:textId="77777777" w:rsidR="00074550" w:rsidRPr="00074550" w:rsidRDefault="00074550" w:rsidP="00074550">
      <w:pPr>
        <w:pStyle w:val="ListParagraph"/>
        <w:ind w:left="1530"/>
        <w:jc w:val="both"/>
        <w:rPr>
          <w:rFonts w:ascii="Arial" w:eastAsia="Calibri" w:hAnsi="Arial" w:cs="Arial"/>
          <w:i/>
          <w:iCs/>
          <w:sz w:val="22"/>
          <w:szCs w:val="22"/>
        </w:rPr>
      </w:pPr>
      <w:r w:rsidRPr="00074550">
        <w:rPr>
          <w:rFonts w:ascii="Arial" w:eastAsia="Calibri" w:hAnsi="Arial" w:cs="Arial"/>
          <w:i/>
          <w:iCs/>
          <w:sz w:val="22"/>
          <w:szCs w:val="22"/>
        </w:rPr>
        <w:t>o</w:t>
      </w:r>
      <w:r w:rsidRPr="00074550">
        <w:rPr>
          <w:rFonts w:ascii="Arial" w:eastAsia="Calibri" w:hAnsi="Arial" w:cs="Arial"/>
          <w:i/>
          <w:iCs/>
          <w:sz w:val="22"/>
          <w:szCs w:val="22"/>
        </w:rPr>
        <w:tab/>
        <w:t xml:space="preserve">University of California San Diego – Comparative in-vitro studies vs </w:t>
      </w:r>
      <w:proofErr w:type="gramStart"/>
      <w:r w:rsidRPr="00074550">
        <w:rPr>
          <w:rFonts w:ascii="Arial" w:eastAsia="Calibri" w:hAnsi="Arial" w:cs="Arial"/>
          <w:i/>
          <w:iCs/>
          <w:sz w:val="22"/>
          <w:szCs w:val="22"/>
        </w:rPr>
        <w:t>LSD;</w:t>
      </w:r>
      <w:proofErr w:type="gramEnd"/>
    </w:p>
    <w:p w14:paraId="55773171" w14:textId="77777777" w:rsidR="00074550" w:rsidRPr="00074550" w:rsidRDefault="00074550" w:rsidP="00074550">
      <w:pPr>
        <w:pStyle w:val="ListParagraph"/>
        <w:ind w:left="1530"/>
        <w:jc w:val="both"/>
        <w:rPr>
          <w:rFonts w:ascii="Arial" w:eastAsia="Calibri" w:hAnsi="Arial" w:cs="Arial"/>
          <w:i/>
          <w:iCs/>
          <w:sz w:val="22"/>
          <w:szCs w:val="22"/>
        </w:rPr>
      </w:pPr>
      <w:r w:rsidRPr="00074550">
        <w:rPr>
          <w:rFonts w:ascii="Arial" w:eastAsia="Calibri" w:hAnsi="Arial" w:cs="Arial"/>
          <w:i/>
          <w:iCs/>
          <w:sz w:val="22"/>
          <w:szCs w:val="22"/>
        </w:rPr>
        <w:t>o</w:t>
      </w:r>
      <w:r w:rsidRPr="00074550">
        <w:rPr>
          <w:rFonts w:ascii="Arial" w:eastAsia="Calibri" w:hAnsi="Arial" w:cs="Arial"/>
          <w:i/>
          <w:iCs/>
          <w:sz w:val="22"/>
          <w:szCs w:val="22"/>
        </w:rPr>
        <w:tab/>
        <w:t xml:space="preserve">Carlton University – Testing in mouse depression </w:t>
      </w:r>
      <w:proofErr w:type="gramStart"/>
      <w:r w:rsidRPr="00074550">
        <w:rPr>
          <w:rFonts w:ascii="Arial" w:eastAsia="Calibri" w:hAnsi="Arial" w:cs="Arial"/>
          <w:i/>
          <w:iCs/>
          <w:sz w:val="22"/>
          <w:szCs w:val="22"/>
        </w:rPr>
        <w:t>model;</w:t>
      </w:r>
      <w:proofErr w:type="gramEnd"/>
    </w:p>
    <w:p w14:paraId="58B09B0F" w14:textId="77777777" w:rsidR="00074550" w:rsidRPr="00074550" w:rsidRDefault="00074550" w:rsidP="00074550">
      <w:pPr>
        <w:pStyle w:val="ListParagraph"/>
        <w:ind w:left="1530"/>
        <w:jc w:val="both"/>
        <w:rPr>
          <w:rFonts w:ascii="Arial" w:eastAsia="Calibri" w:hAnsi="Arial" w:cs="Arial"/>
          <w:i/>
          <w:iCs/>
          <w:sz w:val="22"/>
          <w:szCs w:val="22"/>
        </w:rPr>
      </w:pPr>
      <w:r w:rsidRPr="00074550">
        <w:rPr>
          <w:rFonts w:ascii="Arial" w:eastAsia="Calibri" w:hAnsi="Arial" w:cs="Arial"/>
          <w:i/>
          <w:iCs/>
          <w:sz w:val="22"/>
          <w:szCs w:val="22"/>
        </w:rPr>
        <w:t>o</w:t>
      </w:r>
      <w:r w:rsidRPr="00074550">
        <w:rPr>
          <w:rFonts w:ascii="Arial" w:eastAsia="Calibri" w:hAnsi="Arial" w:cs="Arial"/>
          <w:i/>
          <w:iCs/>
          <w:sz w:val="22"/>
          <w:szCs w:val="22"/>
        </w:rPr>
        <w:tab/>
        <w:t xml:space="preserve">ITR Labs – GLP bioavailability and </w:t>
      </w:r>
      <w:proofErr w:type="gramStart"/>
      <w:r w:rsidRPr="00074550">
        <w:rPr>
          <w:rFonts w:ascii="Arial" w:eastAsia="Calibri" w:hAnsi="Arial" w:cs="Arial"/>
          <w:i/>
          <w:iCs/>
          <w:sz w:val="22"/>
          <w:szCs w:val="22"/>
        </w:rPr>
        <w:t>toxicology;</w:t>
      </w:r>
      <w:proofErr w:type="gramEnd"/>
      <w:r w:rsidRPr="00074550">
        <w:rPr>
          <w:rFonts w:ascii="Arial" w:eastAsia="Calibri" w:hAnsi="Arial" w:cs="Arial"/>
          <w:i/>
          <w:iCs/>
          <w:sz w:val="22"/>
          <w:szCs w:val="22"/>
        </w:rPr>
        <w:t xml:space="preserve"> </w:t>
      </w:r>
    </w:p>
    <w:p w14:paraId="0A397495" w14:textId="77777777" w:rsidR="00074550" w:rsidRPr="00074550" w:rsidRDefault="00074550" w:rsidP="00074550">
      <w:pPr>
        <w:pStyle w:val="ListParagraph"/>
        <w:ind w:left="1530"/>
        <w:jc w:val="both"/>
        <w:rPr>
          <w:rFonts w:ascii="Arial" w:eastAsia="Calibri" w:hAnsi="Arial" w:cs="Arial"/>
          <w:i/>
          <w:iCs/>
          <w:sz w:val="22"/>
          <w:szCs w:val="22"/>
        </w:rPr>
      </w:pPr>
      <w:r w:rsidRPr="00074550">
        <w:rPr>
          <w:rFonts w:ascii="Arial" w:eastAsia="Calibri" w:hAnsi="Arial" w:cs="Arial"/>
          <w:i/>
          <w:iCs/>
          <w:sz w:val="22"/>
          <w:szCs w:val="22"/>
        </w:rPr>
        <w:t>o</w:t>
      </w:r>
      <w:r w:rsidRPr="00074550">
        <w:rPr>
          <w:rFonts w:ascii="Arial" w:eastAsia="Calibri" w:hAnsi="Arial" w:cs="Arial"/>
          <w:i/>
          <w:iCs/>
          <w:sz w:val="22"/>
          <w:szCs w:val="22"/>
        </w:rPr>
        <w:tab/>
        <w:t>Nova Labs- GLP cardiac studies; and</w:t>
      </w:r>
    </w:p>
    <w:p w14:paraId="593A1B58" w14:textId="77777777" w:rsidR="00074550" w:rsidRPr="00074550" w:rsidRDefault="00074550" w:rsidP="00074550">
      <w:pPr>
        <w:pStyle w:val="ListParagraph"/>
        <w:ind w:left="1530"/>
        <w:jc w:val="both"/>
        <w:rPr>
          <w:rFonts w:ascii="Arial" w:eastAsia="Calibri" w:hAnsi="Arial" w:cs="Arial"/>
          <w:i/>
          <w:iCs/>
          <w:sz w:val="22"/>
          <w:szCs w:val="22"/>
        </w:rPr>
      </w:pPr>
      <w:r w:rsidRPr="00074550">
        <w:rPr>
          <w:rFonts w:ascii="Arial" w:eastAsia="Calibri" w:hAnsi="Arial" w:cs="Arial"/>
          <w:i/>
          <w:iCs/>
          <w:sz w:val="22"/>
          <w:szCs w:val="22"/>
        </w:rPr>
        <w:t>o</w:t>
      </w:r>
      <w:r w:rsidRPr="00074550">
        <w:rPr>
          <w:rFonts w:ascii="Arial" w:eastAsia="Calibri" w:hAnsi="Arial" w:cs="Arial"/>
          <w:i/>
          <w:iCs/>
          <w:sz w:val="22"/>
          <w:szCs w:val="22"/>
        </w:rPr>
        <w:tab/>
        <w:t>SGS – Bioanalytical assays.</w:t>
      </w:r>
    </w:p>
    <w:p w14:paraId="2537E70C" w14:textId="77777777" w:rsidR="00074550" w:rsidRPr="00074550" w:rsidRDefault="00074550" w:rsidP="00074550">
      <w:pPr>
        <w:pStyle w:val="ListParagraph"/>
        <w:jc w:val="both"/>
        <w:rPr>
          <w:rFonts w:ascii="Arial" w:eastAsia="Calibri" w:hAnsi="Arial" w:cs="Arial"/>
          <w:i/>
          <w:iCs/>
          <w:sz w:val="22"/>
          <w:szCs w:val="22"/>
        </w:rPr>
      </w:pPr>
    </w:p>
    <w:p w14:paraId="6CA7764C" w14:textId="77777777" w:rsidR="00074550" w:rsidRPr="00074550" w:rsidRDefault="00074550" w:rsidP="00074550">
      <w:pPr>
        <w:pStyle w:val="ListParagraph"/>
        <w:jc w:val="both"/>
        <w:rPr>
          <w:rFonts w:ascii="Arial" w:eastAsia="Calibri" w:hAnsi="Arial" w:cs="Arial"/>
          <w:i/>
          <w:iCs/>
          <w:sz w:val="22"/>
          <w:szCs w:val="22"/>
        </w:rPr>
      </w:pPr>
      <w:r w:rsidRPr="00074550">
        <w:rPr>
          <w:rFonts w:ascii="Arial" w:eastAsia="Calibri" w:hAnsi="Arial" w:cs="Arial"/>
          <w:i/>
          <w:iCs/>
          <w:sz w:val="22"/>
          <w:szCs w:val="22"/>
        </w:rPr>
        <w:t>Looking forward, the Company expects its GMP manufactured material for clinical trials to be completed in H2 2021 with IND filing and conduct of human trials projected for H1 2022.</w:t>
      </w:r>
    </w:p>
    <w:p w14:paraId="6F7231A0" w14:textId="77777777" w:rsidR="00074550" w:rsidRPr="00074550" w:rsidRDefault="00074550" w:rsidP="00074550">
      <w:pPr>
        <w:pStyle w:val="ListParagraph"/>
        <w:jc w:val="both"/>
        <w:rPr>
          <w:rFonts w:ascii="Arial" w:eastAsia="Calibri" w:hAnsi="Arial" w:cs="Arial"/>
          <w:i/>
          <w:iCs/>
          <w:sz w:val="22"/>
          <w:szCs w:val="22"/>
        </w:rPr>
      </w:pPr>
    </w:p>
    <w:p w14:paraId="0AE6B63F" w14:textId="77777777" w:rsidR="00074550" w:rsidRPr="00074550" w:rsidRDefault="00074550" w:rsidP="00074550">
      <w:pPr>
        <w:pStyle w:val="ListParagraph"/>
        <w:jc w:val="both"/>
        <w:rPr>
          <w:rFonts w:ascii="Arial" w:hAnsi="Arial" w:cs="Arial"/>
          <w:i/>
          <w:iCs/>
          <w:sz w:val="22"/>
          <w:szCs w:val="22"/>
          <w:u w:val="single"/>
        </w:rPr>
      </w:pPr>
      <w:r w:rsidRPr="00074550">
        <w:rPr>
          <w:rFonts w:ascii="Arial" w:hAnsi="Arial" w:cs="Arial"/>
          <w:i/>
          <w:iCs/>
          <w:sz w:val="22"/>
          <w:szCs w:val="22"/>
          <w:u w:val="single"/>
        </w:rPr>
        <w:t xml:space="preserve">TD-010 </w:t>
      </w:r>
    </w:p>
    <w:p w14:paraId="4FEA50BF" w14:textId="77777777" w:rsidR="00074550" w:rsidRPr="00074550" w:rsidRDefault="00074550" w:rsidP="00074550">
      <w:pPr>
        <w:pStyle w:val="ListParagraph"/>
        <w:jc w:val="both"/>
        <w:rPr>
          <w:rFonts w:ascii="Arial" w:hAnsi="Arial" w:cs="Arial"/>
          <w:i/>
          <w:iCs/>
          <w:sz w:val="22"/>
          <w:szCs w:val="22"/>
        </w:rPr>
      </w:pPr>
      <w:r w:rsidRPr="00074550">
        <w:rPr>
          <w:rFonts w:ascii="Arial" w:hAnsi="Arial" w:cs="Arial"/>
          <w:i/>
          <w:iCs/>
          <w:sz w:val="22"/>
          <w:szCs w:val="22"/>
        </w:rPr>
        <w:t>The second compound the Company is developing to treat neurological conditions is TD-010, which is projected to be developed initially for the treatment of benzodiazepine dependency. At a later stage, the Company will develop TD-010 for other anxiety and neurological related disorders.</w:t>
      </w:r>
    </w:p>
    <w:p w14:paraId="6B28A2A0" w14:textId="77777777" w:rsidR="00074550" w:rsidRPr="00074550" w:rsidRDefault="00074550" w:rsidP="00074550">
      <w:pPr>
        <w:pStyle w:val="ListParagraph"/>
        <w:jc w:val="both"/>
        <w:rPr>
          <w:rFonts w:ascii="Arial" w:hAnsi="Arial" w:cs="Arial"/>
          <w:i/>
          <w:iCs/>
          <w:sz w:val="22"/>
          <w:szCs w:val="22"/>
        </w:rPr>
      </w:pPr>
    </w:p>
    <w:p w14:paraId="10F3BBE7" w14:textId="77777777" w:rsidR="00074550" w:rsidRPr="00074550" w:rsidRDefault="00074550" w:rsidP="00074550">
      <w:pPr>
        <w:pStyle w:val="ListParagraph"/>
        <w:jc w:val="both"/>
        <w:rPr>
          <w:rFonts w:ascii="Arial" w:hAnsi="Arial" w:cs="Arial"/>
          <w:i/>
          <w:iCs/>
          <w:sz w:val="22"/>
          <w:szCs w:val="22"/>
        </w:rPr>
      </w:pPr>
      <w:r w:rsidRPr="00074550">
        <w:rPr>
          <w:rFonts w:ascii="Arial" w:hAnsi="Arial" w:cs="Arial"/>
          <w:i/>
          <w:iCs/>
          <w:sz w:val="22"/>
          <w:szCs w:val="22"/>
        </w:rPr>
        <w:t>The Company reported the following milestones achieved in H1 2021 in relation to TD-010:</w:t>
      </w:r>
    </w:p>
    <w:p w14:paraId="717C566C" w14:textId="77777777" w:rsidR="00074550" w:rsidRPr="00074550" w:rsidRDefault="00074550" w:rsidP="00074550">
      <w:pPr>
        <w:pStyle w:val="ListParagraph"/>
        <w:ind w:left="1080"/>
        <w:jc w:val="both"/>
        <w:rPr>
          <w:rFonts w:ascii="Arial" w:hAnsi="Arial" w:cs="Arial"/>
          <w:i/>
          <w:iCs/>
          <w:sz w:val="22"/>
          <w:szCs w:val="22"/>
        </w:rPr>
      </w:pPr>
      <w:r w:rsidRPr="00074550">
        <w:rPr>
          <w:rFonts w:ascii="Arial" w:hAnsi="Arial" w:cs="Arial"/>
          <w:i/>
          <w:iCs/>
          <w:sz w:val="22"/>
          <w:szCs w:val="22"/>
        </w:rPr>
        <w:t>-</w:t>
      </w:r>
      <w:r w:rsidRPr="00074550">
        <w:rPr>
          <w:rFonts w:ascii="Arial" w:hAnsi="Arial" w:cs="Arial"/>
          <w:i/>
          <w:iCs/>
          <w:sz w:val="22"/>
          <w:szCs w:val="22"/>
        </w:rPr>
        <w:tab/>
        <w:t>Developed and filed a US provisional patent on use for anxiety and related disorders; and</w:t>
      </w:r>
    </w:p>
    <w:p w14:paraId="4A0C4E57" w14:textId="77777777" w:rsidR="00074550" w:rsidRPr="00074550" w:rsidRDefault="00074550" w:rsidP="00074550">
      <w:pPr>
        <w:pStyle w:val="ListParagraph"/>
        <w:ind w:left="1080"/>
        <w:jc w:val="both"/>
        <w:rPr>
          <w:rFonts w:ascii="Arial" w:hAnsi="Arial" w:cs="Arial"/>
          <w:i/>
          <w:iCs/>
          <w:sz w:val="22"/>
          <w:szCs w:val="22"/>
        </w:rPr>
      </w:pPr>
      <w:r w:rsidRPr="00074550">
        <w:rPr>
          <w:rFonts w:ascii="Arial" w:hAnsi="Arial" w:cs="Arial"/>
          <w:i/>
          <w:iCs/>
          <w:sz w:val="22"/>
          <w:szCs w:val="22"/>
        </w:rPr>
        <w:t>-</w:t>
      </w:r>
      <w:r w:rsidRPr="00074550">
        <w:rPr>
          <w:rFonts w:ascii="Arial" w:hAnsi="Arial" w:cs="Arial"/>
          <w:i/>
          <w:iCs/>
          <w:sz w:val="22"/>
          <w:szCs w:val="22"/>
        </w:rPr>
        <w:tab/>
        <w:t>Initiated the scale-up process development for GMP manufacturing.</w:t>
      </w:r>
    </w:p>
    <w:p w14:paraId="55264907" w14:textId="77777777" w:rsidR="00074550" w:rsidRPr="00074550" w:rsidRDefault="00074550" w:rsidP="00074550">
      <w:pPr>
        <w:pStyle w:val="ListParagraph"/>
        <w:jc w:val="both"/>
        <w:rPr>
          <w:rFonts w:ascii="Arial" w:hAnsi="Arial" w:cs="Arial"/>
          <w:i/>
          <w:iCs/>
          <w:sz w:val="22"/>
          <w:szCs w:val="22"/>
        </w:rPr>
      </w:pPr>
    </w:p>
    <w:p w14:paraId="38CC8130" w14:textId="77777777" w:rsidR="00074550" w:rsidRPr="00074550" w:rsidRDefault="00074550" w:rsidP="00074550">
      <w:pPr>
        <w:pStyle w:val="ListParagraph"/>
        <w:jc w:val="both"/>
        <w:rPr>
          <w:rFonts w:ascii="Arial" w:hAnsi="Arial" w:cs="Arial"/>
          <w:i/>
          <w:iCs/>
          <w:sz w:val="22"/>
          <w:szCs w:val="22"/>
        </w:rPr>
      </w:pPr>
      <w:r w:rsidRPr="00074550">
        <w:rPr>
          <w:rFonts w:ascii="Arial" w:hAnsi="Arial" w:cs="Arial"/>
          <w:i/>
          <w:iCs/>
          <w:sz w:val="22"/>
          <w:szCs w:val="22"/>
        </w:rPr>
        <w:t>Looking forward, the Company expects to file its IND in Q2 2022 and start Phase 1 of clinical trials in benzodiazepine dependent patients in Q3 2022.</w:t>
      </w:r>
    </w:p>
    <w:p w14:paraId="1884DAA4" w14:textId="77777777" w:rsidR="00074550" w:rsidRPr="00074550" w:rsidRDefault="00074550" w:rsidP="00074550">
      <w:pPr>
        <w:pStyle w:val="ListParagraph"/>
        <w:jc w:val="both"/>
        <w:rPr>
          <w:rFonts w:ascii="Arial" w:hAnsi="Arial" w:cs="Arial"/>
          <w:i/>
          <w:iCs/>
          <w:sz w:val="22"/>
          <w:szCs w:val="22"/>
        </w:rPr>
      </w:pPr>
    </w:p>
    <w:p w14:paraId="3BC49501" w14:textId="77777777" w:rsidR="00074550" w:rsidRPr="00074550" w:rsidRDefault="00074550" w:rsidP="00074550">
      <w:pPr>
        <w:pStyle w:val="ListParagraph"/>
        <w:jc w:val="both"/>
        <w:rPr>
          <w:rFonts w:ascii="Arial" w:hAnsi="Arial" w:cs="Arial"/>
          <w:i/>
          <w:iCs/>
          <w:sz w:val="22"/>
          <w:szCs w:val="22"/>
          <w:u w:val="single"/>
        </w:rPr>
      </w:pPr>
      <w:r w:rsidRPr="00074550">
        <w:rPr>
          <w:rFonts w:ascii="Arial" w:hAnsi="Arial" w:cs="Arial"/>
          <w:i/>
          <w:iCs/>
          <w:sz w:val="22"/>
          <w:szCs w:val="22"/>
          <w:u w:val="single"/>
        </w:rPr>
        <w:t>AP-003</w:t>
      </w:r>
    </w:p>
    <w:p w14:paraId="7F950F84" w14:textId="17E03D7A" w:rsidR="00074550" w:rsidRDefault="00074550" w:rsidP="00074550">
      <w:pPr>
        <w:pStyle w:val="ListParagraph"/>
        <w:jc w:val="both"/>
        <w:rPr>
          <w:rFonts w:ascii="Arial" w:hAnsi="Arial" w:cs="Arial"/>
          <w:i/>
          <w:iCs/>
          <w:sz w:val="22"/>
          <w:szCs w:val="22"/>
        </w:rPr>
      </w:pPr>
      <w:r w:rsidRPr="00074550">
        <w:rPr>
          <w:rFonts w:ascii="Arial" w:hAnsi="Arial" w:cs="Arial"/>
          <w:i/>
          <w:iCs/>
          <w:sz w:val="22"/>
          <w:szCs w:val="22"/>
        </w:rPr>
        <w:t>AP-003 is recombinant human interferon alpha 2b manufactured from the Company’s patented (provisional) master cell bank and formulation.  During H1 2021, the Company:</w:t>
      </w:r>
    </w:p>
    <w:p w14:paraId="10A33DAD" w14:textId="77777777" w:rsidR="00A75CB6" w:rsidRPr="00074550" w:rsidRDefault="00A75CB6" w:rsidP="00074550">
      <w:pPr>
        <w:pStyle w:val="ListParagraph"/>
        <w:jc w:val="both"/>
        <w:rPr>
          <w:rFonts w:ascii="Arial" w:hAnsi="Arial" w:cs="Arial"/>
          <w:i/>
          <w:iCs/>
          <w:sz w:val="22"/>
          <w:szCs w:val="22"/>
        </w:rPr>
      </w:pPr>
    </w:p>
    <w:p w14:paraId="14813816" w14:textId="77777777" w:rsidR="00074550" w:rsidRPr="00074550" w:rsidRDefault="00074550" w:rsidP="00A75CB6">
      <w:pPr>
        <w:pStyle w:val="ListParagraph"/>
        <w:ind w:left="1080"/>
        <w:jc w:val="both"/>
        <w:rPr>
          <w:rFonts w:ascii="Arial" w:hAnsi="Arial" w:cs="Arial"/>
          <w:i/>
          <w:iCs/>
          <w:sz w:val="22"/>
          <w:szCs w:val="22"/>
        </w:rPr>
      </w:pPr>
      <w:r w:rsidRPr="00074550">
        <w:rPr>
          <w:rFonts w:ascii="Arial" w:hAnsi="Arial" w:cs="Arial"/>
          <w:i/>
          <w:iCs/>
          <w:sz w:val="22"/>
          <w:szCs w:val="22"/>
        </w:rPr>
        <w:t>-</w:t>
      </w:r>
      <w:r w:rsidRPr="00074550">
        <w:rPr>
          <w:rFonts w:ascii="Arial" w:hAnsi="Arial" w:cs="Arial"/>
          <w:i/>
          <w:iCs/>
          <w:sz w:val="22"/>
          <w:szCs w:val="22"/>
        </w:rPr>
        <w:tab/>
        <w:t xml:space="preserve">Entered into a clinical research agreement with the Pontificia Universidad </w:t>
      </w:r>
      <w:proofErr w:type="spellStart"/>
      <w:r w:rsidRPr="00074550">
        <w:rPr>
          <w:rFonts w:ascii="Arial" w:hAnsi="Arial" w:cs="Arial"/>
          <w:i/>
          <w:iCs/>
          <w:sz w:val="22"/>
          <w:szCs w:val="22"/>
        </w:rPr>
        <w:t>Católica</w:t>
      </w:r>
      <w:proofErr w:type="spellEnd"/>
      <w:r w:rsidRPr="00074550">
        <w:rPr>
          <w:rFonts w:ascii="Arial" w:hAnsi="Arial" w:cs="Arial"/>
          <w:i/>
          <w:iCs/>
          <w:sz w:val="22"/>
          <w:szCs w:val="22"/>
        </w:rPr>
        <w:t xml:space="preserve"> de Chile to conduct a randomized placebo-controlled trial (“IN2COVID”) in COVID-19 patients, testing the Company’s proprietary inhaled AP-003; and</w:t>
      </w:r>
    </w:p>
    <w:p w14:paraId="3C5164A8" w14:textId="77777777" w:rsidR="00074550" w:rsidRPr="00074550" w:rsidRDefault="00074550" w:rsidP="00A75CB6">
      <w:pPr>
        <w:pStyle w:val="ListParagraph"/>
        <w:ind w:left="1080"/>
        <w:jc w:val="both"/>
        <w:rPr>
          <w:rFonts w:ascii="Arial" w:hAnsi="Arial" w:cs="Arial"/>
          <w:i/>
          <w:iCs/>
          <w:sz w:val="22"/>
          <w:szCs w:val="22"/>
        </w:rPr>
      </w:pPr>
      <w:r w:rsidRPr="00074550">
        <w:rPr>
          <w:rFonts w:ascii="Arial" w:hAnsi="Arial" w:cs="Arial"/>
          <w:i/>
          <w:iCs/>
          <w:sz w:val="22"/>
          <w:szCs w:val="22"/>
        </w:rPr>
        <w:t>-</w:t>
      </w:r>
      <w:r w:rsidRPr="00074550">
        <w:rPr>
          <w:rFonts w:ascii="Arial" w:hAnsi="Arial" w:cs="Arial"/>
          <w:i/>
          <w:iCs/>
          <w:sz w:val="22"/>
          <w:szCs w:val="22"/>
        </w:rPr>
        <w:tab/>
        <w:t>Entered into a research agreement with Western University to test the efficacy of AP-003 against COVID-19 variants.</w:t>
      </w:r>
    </w:p>
    <w:p w14:paraId="292413C0" w14:textId="77777777" w:rsidR="00A75CB6" w:rsidRDefault="00A75CB6" w:rsidP="00074550">
      <w:pPr>
        <w:pStyle w:val="ListParagraph"/>
        <w:jc w:val="both"/>
        <w:rPr>
          <w:rFonts w:ascii="Arial" w:hAnsi="Arial" w:cs="Arial"/>
          <w:i/>
          <w:iCs/>
          <w:sz w:val="22"/>
          <w:szCs w:val="22"/>
        </w:rPr>
      </w:pPr>
    </w:p>
    <w:p w14:paraId="56722E26" w14:textId="10C9CF58" w:rsidR="00074550" w:rsidRPr="00074550" w:rsidRDefault="00074550" w:rsidP="00074550">
      <w:pPr>
        <w:pStyle w:val="ListParagraph"/>
        <w:jc w:val="both"/>
        <w:rPr>
          <w:rFonts w:ascii="Arial" w:hAnsi="Arial" w:cs="Arial"/>
          <w:i/>
          <w:iCs/>
          <w:sz w:val="22"/>
          <w:szCs w:val="22"/>
        </w:rPr>
      </w:pPr>
      <w:r w:rsidRPr="00074550">
        <w:rPr>
          <w:rFonts w:ascii="Arial" w:hAnsi="Arial" w:cs="Arial"/>
          <w:i/>
          <w:iCs/>
          <w:sz w:val="22"/>
          <w:szCs w:val="22"/>
        </w:rPr>
        <w:t>On July 15, 2021, the Company provided a further update on its AP-003 program and announced early positive in vitro results of its SARS-CoV-2 (“COVID-19”) anti-viral, recombinant human interferon alpha-2b (“rhIFN</w:t>
      </w:r>
      <w:r w:rsidRPr="00074550">
        <w:rPr>
          <w:rFonts w:ascii="Cambria Math" w:hAnsi="Cambria Math" w:cs="Cambria Math"/>
          <w:i/>
          <w:iCs/>
          <w:sz w:val="22"/>
          <w:szCs w:val="22"/>
        </w:rPr>
        <w:t>⍺</w:t>
      </w:r>
      <w:r w:rsidRPr="00074550">
        <w:rPr>
          <w:rFonts w:ascii="Arial" w:hAnsi="Arial" w:cs="Arial"/>
          <w:i/>
          <w:iCs/>
          <w:sz w:val="22"/>
          <w:szCs w:val="22"/>
        </w:rPr>
        <w:t xml:space="preserve">2b” or “AP-003”), from the Dr. Stephen Barr Laboratory and state-of-the-art </w:t>
      </w:r>
      <w:proofErr w:type="spellStart"/>
      <w:r w:rsidRPr="00074550">
        <w:rPr>
          <w:rFonts w:ascii="Arial" w:hAnsi="Arial" w:cs="Arial"/>
          <w:i/>
          <w:iCs/>
          <w:sz w:val="22"/>
          <w:szCs w:val="22"/>
        </w:rPr>
        <w:t>ImPaKT</w:t>
      </w:r>
      <w:proofErr w:type="spellEnd"/>
      <w:r w:rsidRPr="00074550">
        <w:rPr>
          <w:rFonts w:ascii="Arial" w:hAnsi="Arial" w:cs="Arial"/>
          <w:i/>
          <w:iCs/>
          <w:sz w:val="22"/>
          <w:szCs w:val="22"/>
        </w:rPr>
        <w:t xml:space="preserve"> Facility at Western University (“UWO”).  AP-003’s first proposed target indication is for people at higher risk to develop severe COVID-19 disease.</w:t>
      </w:r>
    </w:p>
    <w:p w14:paraId="756144B6" w14:textId="77777777" w:rsidR="00074550" w:rsidRPr="00074550" w:rsidRDefault="00074550" w:rsidP="00074550">
      <w:pPr>
        <w:pStyle w:val="ListParagraph"/>
        <w:jc w:val="both"/>
        <w:rPr>
          <w:rFonts w:ascii="Arial" w:hAnsi="Arial" w:cs="Arial"/>
          <w:i/>
          <w:iCs/>
          <w:sz w:val="22"/>
          <w:szCs w:val="22"/>
        </w:rPr>
      </w:pPr>
    </w:p>
    <w:p w14:paraId="2F960350" w14:textId="77777777" w:rsidR="00074550" w:rsidRPr="00074550" w:rsidRDefault="00074550" w:rsidP="00074550">
      <w:pPr>
        <w:pStyle w:val="ListParagraph"/>
        <w:jc w:val="both"/>
        <w:rPr>
          <w:rFonts w:ascii="Arial" w:hAnsi="Arial" w:cs="Arial"/>
          <w:i/>
          <w:iCs/>
          <w:sz w:val="22"/>
          <w:szCs w:val="22"/>
        </w:rPr>
      </w:pPr>
      <w:r w:rsidRPr="00074550">
        <w:rPr>
          <w:rFonts w:ascii="Arial" w:hAnsi="Arial" w:cs="Arial"/>
          <w:i/>
          <w:iCs/>
          <w:sz w:val="22"/>
          <w:szCs w:val="22"/>
        </w:rPr>
        <w:t xml:space="preserve">Early data show potent and similar anti-viral activity against the COVID-19 Wuhan reference strain (EC50=0.51), Alpha (B.1.1.7, UK, EC50=1.26) and Beta (B.1.351, South Africa, EC50=0.25) variants. Further studies are ongoing to validate these early results and to test AP-003 activity against Gamma (Brazil), Delta (India) and Lambda (Peru) variants. </w:t>
      </w:r>
    </w:p>
    <w:p w14:paraId="2909DE05" w14:textId="77777777" w:rsidR="00074550" w:rsidRPr="00074550" w:rsidRDefault="00074550" w:rsidP="00074550">
      <w:pPr>
        <w:pStyle w:val="ListParagraph"/>
        <w:jc w:val="both"/>
        <w:rPr>
          <w:rFonts w:ascii="Arial" w:hAnsi="Arial" w:cs="Arial"/>
          <w:i/>
          <w:iCs/>
          <w:sz w:val="22"/>
          <w:szCs w:val="22"/>
        </w:rPr>
      </w:pPr>
    </w:p>
    <w:p w14:paraId="7A972401" w14:textId="77777777" w:rsidR="00074550" w:rsidRPr="00074550" w:rsidRDefault="00074550" w:rsidP="00074550">
      <w:pPr>
        <w:pStyle w:val="ListParagraph"/>
        <w:jc w:val="both"/>
        <w:rPr>
          <w:rFonts w:ascii="Arial" w:hAnsi="Arial" w:cs="Arial"/>
          <w:i/>
          <w:iCs/>
          <w:sz w:val="22"/>
          <w:szCs w:val="22"/>
        </w:rPr>
      </w:pPr>
      <w:r w:rsidRPr="00074550">
        <w:rPr>
          <w:rFonts w:ascii="Arial" w:hAnsi="Arial" w:cs="Arial"/>
          <w:i/>
          <w:iCs/>
          <w:sz w:val="22"/>
          <w:szCs w:val="22"/>
        </w:rPr>
        <w:t>The rhIFN</w:t>
      </w:r>
      <w:r w:rsidRPr="00074550">
        <w:rPr>
          <w:rFonts w:ascii="Cambria Math" w:hAnsi="Cambria Math" w:cs="Cambria Math"/>
          <w:i/>
          <w:iCs/>
          <w:sz w:val="22"/>
          <w:szCs w:val="22"/>
        </w:rPr>
        <w:t>⍺</w:t>
      </w:r>
      <w:r w:rsidRPr="00074550">
        <w:rPr>
          <w:rFonts w:ascii="Arial" w:hAnsi="Arial" w:cs="Arial"/>
          <w:i/>
          <w:iCs/>
          <w:sz w:val="22"/>
          <w:szCs w:val="22"/>
        </w:rPr>
        <w:t>2b, a Type I interferon, is a naturally occurring protein integral to the body’s first line of anti-viral defenses. There is evidence that coronaviruses, such as COVID-19, have mechanisms which suppress IFN</w:t>
      </w:r>
      <w:r w:rsidRPr="00074550">
        <w:rPr>
          <w:rFonts w:ascii="Cambria Math" w:hAnsi="Cambria Math" w:cs="Cambria Math"/>
          <w:i/>
          <w:iCs/>
          <w:sz w:val="22"/>
          <w:szCs w:val="22"/>
        </w:rPr>
        <w:t>⍺</w:t>
      </w:r>
      <w:r w:rsidRPr="00074550">
        <w:rPr>
          <w:rFonts w:ascii="Arial" w:hAnsi="Arial" w:cs="Arial"/>
          <w:i/>
          <w:iCs/>
          <w:sz w:val="22"/>
          <w:szCs w:val="22"/>
        </w:rPr>
        <w:t>2b production, allowing the virus to evade the innate immune system and replicate unabated. Multiple clinical analyses show a significant link between deficiency in Type 1 interferon and development of severe COVID-19 disease. There is also accumulating evidence from preclinical studies that coronavirus replication is blocked by the addition of exogenous IFN</w:t>
      </w:r>
      <w:r w:rsidRPr="00074550">
        <w:rPr>
          <w:rFonts w:ascii="Cambria Math" w:hAnsi="Cambria Math" w:cs="Cambria Math"/>
          <w:i/>
          <w:iCs/>
          <w:sz w:val="22"/>
          <w:szCs w:val="22"/>
        </w:rPr>
        <w:t>⍺</w:t>
      </w:r>
      <w:r w:rsidRPr="00074550">
        <w:rPr>
          <w:rFonts w:ascii="Arial" w:hAnsi="Arial" w:cs="Arial"/>
          <w:i/>
          <w:iCs/>
          <w:sz w:val="22"/>
          <w:szCs w:val="22"/>
        </w:rPr>
        <w:t xml:space="preserve">2b, thereby allowing cells to restore their normal anti-viral activity. An exploratory study in Wuhan, China, in </w:t>
      </w:r>
      <w:r w:rsidRPr="00074550">
        <w:rPr>
          <w:rFonts w:ascii="Arial" w:hAnsi="Arial" w:cs="Arial"/>
          <w:i/>
          <w:iCs/>
          <w:sz w:val="22"/>
          <w:szCs w:val="22"/>
        </w:rPr>
        <w:lastRenderedPageBreak/>
        <w:t>COVID-19 patients, showed that patients treated with inhaled rhIFN</w:t>
      </w:r>
      <w:r w:rsidRPr="00074550">
        <w:rPr>
          <w:rFonts w:ascii="Cambria Math" w:hAnsi="Cambria Math" w:cs="Cambria Math"/>
          <w:i/>
          <w:iCs/>
          <w:sz w:val="22"/>
          <w:szCs w:val="22"/>
        </w:rPr>
        <w:t>⍺</w:t>
      </w:r>
      <w:r w:rsidRPr="00074550">
        <w:rPr>
          <w:rFonts w:ascii="Arial" w:hAnsi="Arial" w:cs="Arial"/>
          <w:i/>
          <w:iCs/>
          <w:sz w:val="22"/>
          <w:szCs w:val="22"/>
        </w:rPr>
        <w:t>2b had a more rapid rate of viral clearance than patients in the comparator arm who did not receive inhaled rhIFN</w:t>
      </w:r>
      <w:r w:rsidRPr="00074550">
        <w:rPr>
          <w:rFonts w:ascii="Cambria Math" w:hAnsi="Cambria Math" w:cs="Cambria Math"/>
          <w:i/>
          <w:iCs/>
          <w:sz w:val="22"/>
          <w:szCs w:val="22"/>
        </w:rPr>
        <w:t>⍺</w:t>
      </w:r>
      <w:r w:rsidRPr="00074550">
        <w:rPr>
          <w:rFonts w:ascii="Arial" w:hAnsi="Arial" w:cs="Arial"/>
          <w:i/>
          <w:iCs/>
          <w:sz w:val="22"/>
          <w:szCs w:val="22"/>
        </w:rPr>
        <w:t>2b.</w:t>
      </w:r>
    </w:p>
    <w:p w14:paraId="134D316D" w14:textId="77777777" w:rsidR="00074550" w:rsidRPr="00074550" w:rsidRDefault="00074550" w:rsidP="00074550">
      <w:pPr>
        <w:pStyle w:val="ListParagraph"/>
        <w:jc w:val="both"/>
        <w:rPr>
          <w:rFonts w:ascii="Arial" w:hAnsi="Arial" w:cs="Arial"/>
          <w:i/>
          <w:iCs/>
          <w:sz w:val="22"/>
          <w:szCs w:val="22"/>
        </w:rPr>
      </w:pPr>
    </w:p>
    <w:p w14:paraId="136DEE34" w14:textId="77777777" w:rsidR="00074550" w:rsidRPr="00074550" w:rsidRDefault="00074550" w:rsidP="00074550">
      <w:pPr>
        <w:pStyle w:val="ListParagraph"/>
        <w:jc w:val="both"/>
        <w:rPr>
          <w:rFonts w:ascii="Arial" w:hAnsi="Arial" w:cs="Arial"/>
          <w:i/>
          <w:iCs/>
          <w:sz w:val="22"/>
          <w:szCs w:val="22"/>
        </w:rPr>
      </w:pPr>
      <w:r w:rsidRPr="00074550">
        <w:rPr>
          <w:rFonts w:ascii="Arial" w:hAnsi="Arial" w:cs="Arial"/>
          <w:i/>
          <w:iCs/>
          <w:sz w:val="22"/>
          <w:szCs w:val="22"/>
        </w:rPr>
        <w:t xml:space="preserve">Separately, the Company has entered into a clinical research agreement with the Pontificia Universidad </w:t>
      </w:r>
      <w:proofErr w:type="spellStart"/>
      <w:r w:rsidRPr="00074550">
        <w:rPr>
          <w:rFonts w:ascii="Arial" w:hAnsi="Arial" w:cs="Arial"/>
          <w:i/>
          <w:iCs/>
          <w:sz w:val="22"/>
          <w:szCs w:val="22"/>
        </w:rPr>
        <w:t>Católica</w:t>
      </w:r>
      <w:proofErr w:type="spellEnd"/>
      <w:r w:rsidRPr="00074550">
        <w:rPr>
          <w:rFonts w:ascii="Arial" w:hAnsi="Arial" w:cs="Arial"/>
          <w:i/>
          <w:iCs/>
          <w:sz w:val="22"/>
          <w:szCs w:val="22"/>
        </w:rPr>
        <w:t xml:space="preserve"> de Chile to conduct a randomized placebo-controlled trial in COVID-19 patients to test the Company’s proprietary inhaled AP-003. </w:t>
      </w:r>
    </w:p>
    <w:p w14:paraId="7B57FEEE" w14:textId="77777777" w:rsidR="00074550" w:rsidRPr="00074550" w:rsidRDefault="00074550" w:rsidP="00074550">
      <w:pPr>
        <w:pStyle w:val="ListParagraph"/>
        <w:jc w:val="both"/>
        <w:rPr>
          <w:rFonts w:ascii="Arial" w:hAnsi="Arial" w:cs="Arial"/>
          <w:i/>
          <w:iCs/>
          <w:sz w:val="22"/>
          <w:szCs w:val="22"/>
        </w:rPr>
      </w:pPr>
    </w:p>
    <w:p w14:paraId="319F0E04" w14:textId="53E07670" w:rsidR="008D5122" w:rsidRPr="00074550" w:rsidRDefault="00074550" w:rsidP="00074550">
      <w:pPr>
        <w:pStyle w:val="List"/>
        <w:spacing w:before="0"/>
        <w:ind w:left="720" w:firstLine="0"/>
        <w:jc w:val="both"/>
        <w:rPr>
          <w:rFonts w:ascii="Arial" w:hAnsi="Arial" w:cs="Arial"/>
          <w:i/>
          <w:iCs/>
          <w:sz w:val="22"/>
          <w:szCs w:val="22"/>
        </w:rPr>
      </w:pPr>
      <w:proofErr w:type="spellStart"/>
      <w:r w:rsidRPr="00074550">
        <w:rPr>
          <w:rFonts w:ascii="Arial" w:hAnsi="Arial" w:cs="Arial"/>
          <w:i/>
          <w:iCs/>
          <w:sz w:val="22"/>
          <w:szCs w:val="22"/>
        </w:rPr>
        <w:t>Dr.</w:t>
      </w:r>
      <w:proofErr w:type="spellEnd"/>
      <w:r w:rsidRPr="00074550">
        <w:rPr>
          <w:rFonts w:ascii="Arial" w:hAnsi="Arial" w:cs="Arial"/>
          <w:i/>
          <w:iCs/>
          <w:sz w:val="22"/>
          <w:szCs w:val="22"/>
        </w:rPr>
        <w:t xml:space="preserve"> Ahmad Doroudian, Chief Executive Officer of the Company, shared additional information in an interview with Proactive Investors which can be viewed at: </w:t>
      </w:r>
      <w:hyperlink r:id="rId7" w:history="1">
        <w:r w:rsidRPr="00074550">
          <w:rPr>
            <w:rStyle w:val="Hyperlink"/>
            <w:rFonts w:ascii="Arial" w:hAnsi="Arial" w:cs="Arial"/>
            <w:i/>
            <w:iCs/>
            <w:sz w:val="22"/>
            <w:szCs w:val="22"/>
          </w:rPr>
          <w:t>https://youtu.be/FKJuHmrH9cI</w:t>
        </w:r>
      </w:hyperlink>
      <w:r w:rsidRPr="00074550">
        <w:rPr>
          <w:rFonts w:ascii="Arial" w:hAnsi="Arial" w:cs="Arial"/>
          <w:i/>
          <w:iCs/>
          <w:sz w:val="22"/>
          <w:szCs w:val="22"/>
        </w:rPr>
        <w:t>.</w:t>
      </w:r>
    </w:p>
    <w:p w14:paraId="652C7C54" w14:textId="3C021D6A" w:rsidR="00074550" w:rsidRPr="00074550" w:rsidRDefault="00074550" w:rsidP="00074550">
      <w:pPr>
        <w:pStyle w:val="List"/>
        <w:spacing w:before="0"/>
        <w:ind w:left="720" w:firstLine="0"/>
        <w:jc w:val="both"/>
        <w:rPr>
          <w:rFonts w:ascii="Arial" w:hAnsi="Arial"/>
          <w:i/>
          <w:iCs/>
        </w:rPr>
      </w:pPr>
    </w:p>
    <w:p w14:paraId="586A7033" w14:textId="77777777" w:rsidR="00074550" w:rsidRPr="00074550" w:rsidRDefault="00074550" w:rsidP="00074550">
      <w:pPr>
        <w:ind w:left="720"/>
        <w:jc w:val="both"/>
        <w:rPr>
          <w:rFonts w:ascii="Arial" w:hAnsi="Arial" w:cs="Arial"/>
          <w:i/>
          <w:iCs/>
          <w:sz w:val="22"/>
          <w:szCs w:val="22"/>
        </w:rPr>
      </w:pPr>
      <w:r w:rsidRPr="00074550">
        <w:rPr>
          <w:rFonts w:ascii="Arial" w:eastAsia="Calibri" w:hAnsi="Arial" w:cs="Arial"/>
          <w:i/>
          <w:iCs/>
          <w:sz w:val="22"/>
          <w:szCs w:val="22"/>
        </w:rPr>
        <w:t xml:space="preserve">On July 22, 2021, the Company announced funding of its joint application with Dr. Argel Aguilar-Valles at Carleton University (“Carleton”) Department of Neuroscience by the Accelerate program at </w:t>
      </w:r>
      <w:proofErr w:type="spellStart"/>
      <w:r w:rsidRPr="00074550">
        <w:rPr>
          <w:rFonts w:ascii="Arial" w:eastAsia="Calibri" w:hAnsi="Arial" w:cs="Arial"/>
          <w:i/>
          <w:iCs/>
          <w:sz w:val="22"/>
          <w:szCs w:val="22"/>
        </w:rPr>
        <w:t>Mitacs</w:t>
      </w:r>
      <w:proofErr w:type="spellEnd"/>
      <w:r w:rsidRPr="00074550">
        <w:rPr>
          <w:rFonts w:ascii="Arial" w:eastAsia="Calibri" w:hAnsi="Arial" w:cs="Arial"/>
          <w:i/>
          <w:iCs/>
          <w:sz w:val="22"/>
          <w:szCs w:val="22"/>
        </w:rPr>
        <w:t xml:space="preserve"> for research into the anxiolytic potential of TD-010 in preclinical models of chronic anxiety and depression.  As part of the research agreement, Dr. Argel Aguilar-Valles’s team will work with the Company to test TD-010 in both in vitro and in vivo models that are established in their lab. The team’s expertise is understanding the molecular mechanisms that underlie psychiatric and neurodevelopmental disorders and is performed </w:t>
      </w:r>
      <w:proofErr w:type="gramStart"/>
      <w:r w:rsidRPr="00074550">
        <w:rPr>
          <w:rFonts w:ascii="Arial" w:eastAsia="Calibri" w:hAnsi="Arial" w:cs="Arial"/>
          <w:i/>
          <w:iCs/>
          <w:sz w:val="22"/>
          <w:szCs w:val="22"/>
        </w:rPr>
        <w:t>through the use of</w:t>
      </w:r>
      <w:proofErr w:type="gramEnd"/>
      <w:r w:rsidRPr="00074550">
        <w:rPr>
          <w:rFonts w:ascii="Arial" w:eastAsia="Calibri" w:hAnsi="Arial" w:cs="Arial"/>
          <w:i/>
          <w:iCs/>
          <w:sz w:val="22"/>
          <w:szCs w:val="22"/>
        </w:rPr>
        <w:t xml:space="preserve"> a combination of biochemistry, molecular biology, neuronal culture and animal models.</w:t>
      </w:r>
    </w:p>
    <w:p w14:paraId="065F39FC" w14:textId="77777777" w:rsidR="00074550" w:rsidRPr="00074550" w:rsidRDefault="00074550" w:rsidP="00074550">
      <w:pPr>
        <w:ind w:left="900"/>
        <w:jc w:val="both"/>
        <w:rPr>
          <w:rFonts w:ascii="Arial" w:hAnsi="Arial" w:cs="Arial"/>
          <w:i/>
          <w:iCs/>
          <w:sz w:val="22"/>
          <w:szCs w:val="22"/>
        </w:rPr>
      </w:pPr>
    </w:p>
    <w:p w14:paraId="382F51DC" w14:textId="0FEAE04D" w:rsidR="00074550" w:rsidRPr="00074550" w:rsidRDefault="00A75CB6" w:rsidP="00074550">
      <w:pPr>
        <w:pStyle w:val="List"/>
        <w:spacing w:before="0"/>
        <w:ind w:left="720" w:firstLine="0"/>
        <w:jc w:val="both"/>
        <w:rPr>
          <w:rFonts w:ascii="Arial" w:hAnsi="Arial"/>
          <w:i/>
          <w:iCs/>
        </w:rPr>
      </w:pPr>
      <w:r>
        <w:rPr>
          <w:rFonts w:ascii="Arial" w:hAnsi="Arial" w:cs="Arial"/>
          <w:i/>
          <w:iCs/>
          <w:sz w:val="22"/>
          <w:szCs w:val="22"/>
        </w:rPr>
        <w:t>Also, d</w:t>
      </w:r>
      <w:r w:rsidR="00074550" w:rsidRPr="00074550">
        <w:rPr>
          <w:rFonts w:ascii="Arial" w:hAnsi="Arial" w:cs="Arial"/>
          <w:i/>
          <w:iCs/>
          <w:sz w:val="22"/>
          <w:szCs w:val="22"/>
        </w:rPr>
        <w:t xml:space="preserve">uring </w:t>
      </w:r>
      <w:r>
        <w:rPr>
          <w:rFonts w:ascii="Arial" w:hAnsi="Arial" w:cs="Arial"/>
          <w:i/>
          <w:iCs/>
          <w:sz w:val="22"/>
          <w:szCs w:val="22"/>
        </w:rPr>
        <w:t>the month</w:t>
      </w:r>
      <w:r w:rsidR="00074550" w:rsidRPr="00074550">
        <w:rPr>
          <w:rFonts w:ascii="Arial" w:hAnsi="Arial" w:cs="Arial"/>
          <w:i/>
          <w:iCs/>
          <w:sz w:val="22"/>
          <w:szCs w:val="22"/>
        </w:rPr>
        <w:t xml:space="preserve">, the Company’s </w:t>
      </w:r>
      <w:proofErr w:type="gramStart"/>
      <w:r w:rsidR="00074550" w:rsidRPr="00074550">
        <w:rPr>
          <w:rFonts w:ascii="Arial" w:hAnsi="Arial" w:cs="Arial"/>
          <w:i/>
          <w:iCs/>
          <w:sz w:val="22"/>
          <w:szCs w:val="22"/>
        </w:rPr>
        <w:t>wholly-owned</w:t>
      </w:r>
      <w:proofErr w:type="gramEnd"/>
      <w:r w:rsidR="00074550" w:rsidRPr="00074550">
        <w:rPr>
          <w:rFonts w:ascii="Arial" w:hAnsi="Arial" w:cs="Arial"/>
          <w:i/>
          <w:iCs/>
          <w:sz w:val="22"/>
          <w:szCs w:val="22"/>
        </w:rPr>
        <w:t xml:space="preserve"> subsidiary, </w:t>
      </w:r>
      <w:proofErr w:type="spellStart"/>
      <w:r w:rsidR="00074550" w:rsidRPr="00074550">
        <w:rPr>
          <w:rFonts w:ascii="Arial" w:hAnsi="Arial" w:cs="Arial"/>
          <w:i/>
          <w:iCs/>
          <w:sz w:val="22"/>
          <w:szCs w:val="22"/>
        </w:rPr>
        <w:t>Altum</w:t>
      </w:r>
      <w:proofErr w:type="spellEnd"/>
      <w:r w:rsidR="00074550" w:rsidRPr="00074550">
        <w:rPr>
          <w:rFonts w:ascii="Arial" w:hAnsi="Arial" w:cs="Arial"/>
          <w:i/>
          <w:iCs/>
          <w:sz w:val="22"/>
          <w:szCs w:val="22"/>
        </w:rPr>
        <w:t xml:space="preserve"> Pharmaceuticals Inc., and Pontificia Universidad </w:t>
      </w:r>
      <w:proofErr w:type="spellStart"/>
      <w:r w:rsidR="00074550" w:rsidRPr="00074550">
        <w:rPr>
          <w:rFonts w:ascii="Arial" w:hAnsi="Arial" w:cs="Arial"/>
          <w:i/>
          <w:iCs/>
          <w:sz w:val="22"/>
          <w:szCs w:val="22"/>
        </w:rPr>
        <w:t>Católica</w:t>
      </w:r>
      <w:proofErr w:type="spellEnd"/>
      <w:r w:rsidR="00074550" w:rsidRPr="00074550">
        <w:rPr>
          <w:rFonts w:ascii="Arial" w:hAnsi="Arial" w:cs="Arial"/>
          <w:i/>
          <w:iCs/>
          <w:sz w:val="22"/>
          <w:szCs w:val="22"/>
        </w:rPr>
        <w:t xml:space="preserve"> de Chile obtained approval from the Instituto de </w:t>
      </w:r>
      <w:proofErr w:type="spellStart"/>
      <w:r w:rsidR="00074550" w:rsidRPr="00074550">
        <w:rPr>
          <w:rFonts w:ascii="Arial" w:hAnsi="Arial" w:cs="Arial"/>
          <w:i/>
          <w:iCs/>
          <w:sz w:val="22"/>
          <w:szCs w:val="22"/>
        </w:rPr>
        <w:t>Salud</w:t>
      </w:r>
      <w:proofErr w:type="spellEnd"/>
      <w:r w:rsidR="00074550" w:rsidRPr="00074550">
        <w:rPr>
          <w:rFonts w:ascii="Arial" w:hAnsi="Arial" w:cs="Arial"/>
          <w:i/>
          <w:iCs/>
          <w:sz w:val="22"/>
          <w:szCs w:val="22"/>
        </w:rPr>
        <w:t xml:space="preserve"> Publica de Chile to conduct their planned randomized placebo-controlled trial (“IN2COVID”) in COVID-19 patients. The trial, set to start in early August, tests the Company’s proprietary inhaled interferon alpha-2b (“IFN-a2b”) product, AP-003.  The IN2COVID trial will have a randomized placebo Phase 1 portion in healthy subjects followed by a randomized placebo-controlled Phase 2 portion in early stage COVID-19 patients (&lt;5 days of diagnosis of COVID-19). The IFN-a2b treatment arms will receive the Company’s proprietary inhaled IFN-a2b product, AP-003, administered via nebulizer, twice daily for 10 days.</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w:t>
      </w:r>
      <w:r>
        <w:rPr>
          <w:rFonts w:ascii="Arial" w:hAnsi="Arial"/>
        </w:rPr>
        <w:lastRenderedPageBreak/>
        <w:t>the relationship is with a Related Person of the Issuer and provide details of the relationship.</w:t>
      </w:r>
    </w:p>
    <w:p w14:paraId="307F765C" w14:textId="4E583B6F" w:rsidR="00A23C08" w:rsidRPr="00D861FE" w:rsidRDefault="000B0D70" w:rsidP="00A23C08">
      <w:pPr>
        <w:pStyle w:val="List"/>
        <w:spacing w:before="120"/>
        <w:ind w:left="720" w:firstLine="0"/>
        <w:jc w:val="both"/>
        <w:rPr>
          <w:rFonts w:ascii="Arial" w:hAnsi="Arial"/>
          <w:i/>
        </w:rPr>
      </w:pPr>
      <w:r>
        <w:rPr>
          <w:rFonts w:ascii="Arial" w:hAnsi="Arial"/>
          <w:i/>
        </w:rPr>
        <w:t>Please see Item 1.</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3095E298" w:rsidR="00C358BE" w:rsidRPr="0014406D" w:rsidRDefault="00BC20AB"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1CA7BD2E" w:rsidR="003138E2" w:rsidRPr="0014406D" w:rsidRDefault="003C51C5" w:rsidP="003138E2">
      <w:pPr>
        <w:pStyle w:val="List"/>
        <w:spacing w:before="120"/>
        <w:ind w:left="720" w:firstLine="0"/>
        <w:jc w:val="both"/>
        <w:rPr>
          <w:rFonts w:ascii="Arial" w:hAnsi="Arial"/>
          <w:i/>
        </w:rPr>
      </w:pPr>
      <w:r>
        <w:rPr>
          <w:rFonts w:ascii="Arial" w:hAnsi="Arial"/>
          <w:i/>
        </w:rPr>
        <w:t>N/A</w:t>
      </w:r>
      <w:r w:rsidR="00215CEC">
        <w:rPr>
          <w:rFonts w:ascii="Arial" w:hAnsi="Arial"/>
          <w:i/>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3EA2F8CE" w:rsidR="000C1488" w:rsidRDefault="0067500B" w:rsidP="000C1488">
      <w:pPr>
        <w:pStyle w:val="List"/>
        <w:spacing w:before="120"/>
        <w:ind w:left="720" w:firstLine="0"/>
        <w:jc w:val="both"/>
        <w:rPr>
          <w:rFonts w:ascii="Arial" w:hAnsi="Arial"/>
          <w:i/>
        </w:rPr>
      </w:pPr>
      <w:r w:rsidRPr="0090315D">
        <w:rPr>
          <w:rFonts w:ascii="Arial" w:hAnsi="Arial"/>
          <w:i/>
        </w:rPr>
        <w:t xml:space="preserve">In March 2021, </w:t>
      </w:r>
      <w:proofErr w:type="spellStart"/>
      <w:r w:rsidRPr="0090315D">
        <w:rPr>
          <w:rFonts w:ascii="Arial" w:hAnsi="Arial"/>
          <w:i/>
        </w:rPr>
        <w:t>Olymbec</w:t>
      </w:r>
      <w:proofErr w:type="spellEnd"/>
      <w:r w:rsidRPr="0090315D">
        <w:rPr>
          <w:rFonts w:ascii="Arial" w:hAnsi="Arial"/>
          <w:i/>
        </w:rPr>
        <w:t xml:space="preserve"> Development Inc. (“</w:t>
      </w:r>
      <w:proofErr w:type="spellStart"/>
      <w:r w:rsidRPr="0090315D">
        <w:rPr>
          <w:rFonts w:ascii="Arial" w:hAnsi="Arial"/>
          <w:i/>
        </w:rPr>
        <w:t>Olymbec</w:t>
      </w:r>
      <w:proofErr w:type="spellEnd"/>
      <w:r w:rsidRPr="0090315D">
        <w:rPr>
          <w:rFonts w:ascii="Arial" w:hAnsi="Arial"/>
          <w:i/>
        </w:rPr>
        <w:t xml:space="preserve">”) filed a judicial demand before the Superior Court of Québec and a judgement for a safeguard order was obtained by </w:t>
      </w:r>
      <w:proofErr w:type="spellStart"/>
      <w:r w:rsidRPr="0090315D">
        <w:rPr>
          <w:rFonts w:ascii="Arial" w:hAnsi="Arial"/>
          <w:i/>
        </w:rPr>
        <w:t>Olymbec</w:t>
      </w:r>
      <w:proofErr w:type="spellEnd"/>
      <w:r w:rsidRPr="0090315D">
        <w:rPr>
          <w:rFonts w:ascii="Arial" w:hAnsi="Arial"/>
          <w:i/>
        </w:rPr>
        <w:t xml:space="preserve"> Development Inc. (“</w:t>
      </w:r>
      <w:proofErr w:type="spellStart"/>
      <w:r w:rsidRPr="0090315D">
        <w:rPr>
          <w:rFonts w:ascii="Arial" w:hAnsi="Arial"/>
          <w:i/>
        </w:rPr>
        <w:t>Olymbec</w:t>
      </w:r>
      <w:proofErr w:type="spellEnd"/>
      <w:r w:rsidRPr="0090315D">
        <w:rPr>
          <w:rFonts w:ascii="Arial" w:hAnsi="Arial"/>
          <w:i/>
        </w:rPr>
        <w:t>”) against Pivot</w:t>
      </w:r>
      <w:r>
        <w:rPr>
          <w:rFonts w:ascii="Arial" w:hAnsi="Arial"/>
          <w:i/>
        </w:rPr>
        <w:t xml:space="preserve"> Pharmaceuticals Manufacturing Corp. (“Pivot”)</w:t>
      </w:r>
      <w:r w:rsidRPr="0090315D">
        <w:rPr>
          <w:rFonts w:ascii="Arial" w:hAnsi="Arial"/>
          <w:i/>
        </w:rPr>
        <w:t xml:space="preserve">, a former subsidiary, and the Company, as guarantor of the lease at 285-295 </w:t>
      </w:r>
      <w:proofErr w:type="spellStart"/>
      <w:r w:rsidRPr="0090315D">
        <w:rPr>
          <w:rFonts w:ascii="Arial" w:hAnsi="Arial"/>
          <w:i/>
        </w:rPr>
        <w:t>Kesmark</w:t>
      </w:r>
      <w:proofErr w:type="spellEnd"/>
      <w:r w:rsidRPr="0090315D">
        <w:rPr>
          <w:rFonts w:ascii="Arial" w:hAnsi="Arial"/>
          <w:i/>
        </w:rPr>
        <w:t xml:space="preserve"> Street, Quebec, ordering Pivot and the Company to jointly pay the full amount of the lease on the first day of each month.  In May 2021, a judgement for a safeguard order was issued ordering Pivot and the Company to provide post-dated cheques for monthly lease payments for the months of June through November 2021.  In June 2021, a judgement granted Pivot and the Company until June 30, </w:t>
      </w:r>
      <w:proofErr w:type="gramStart"/>
      <w:r w:rsidRPr="0090315D">
        <w:rPr>
          <w:rFonts w:ascii="Arial" w:hAnsi="Arial"/>
          <w:i/>
        </w:rPr>
        <w:t>2021</w:t>
      </w:r>
      <w:proofErr w:type="gramEnd"/>
      <w:r w:rsidRPr="0090315D">
        <w:rPr>
          <w:rFonts w:ascii="Arial" w:hAnsi="Arial"/>
          <w:i/>
        </w:rPr>
        <w:t xml:space="preserve"> to pay the outstanding lease </w:t>
      </w:r>
      <w:proofErr w:type="spellStart"/>
      <w:r w:rsidRPr="0090315D">
        <w:rPr>
          <w:rFonts w:ascii="Arial" w:hAnsi="Arial"/>
          <w:i/>
        </w:rPr>
        <w:t>totaling</w:t>
      </w:r>
      <w:proofErr w:type="spellEnd"/>
      <w:r w:rsidRPr="0090315D">
        <w:rPr>
          <w:rFonts w:ascii="Arial" w:hAnsi="Arial"/>
          <w:i/>
        </w:rPr>
        <w:t xml:space="preserve"> $124,223 and to deliver post-dated cheques </w:t>
      </w:r>
      <w:r w:rsidRPr="0090315D">
        <w:rPr>
          <w:rFonts w:ascii="Arial" w:hAnsi="Arial"/>
          <w:i/>
        </w:rPr>
        <w:lastRenderedPageBreak/>
        <w:t>each in the amount of $49,410.51 for monthly lease payments for the months of July through November 2021</w:t>
      </w:r>
      <w:r>
        <w:rPr>
          <w:rFonts w:ascii="Arial" w:hAnsi="Arial"/>
          <w:i/>
        </w:rPr>
        <w:t xml:space="preserve"> (remitted by the Company as guarantor)</w:t>
      </w:r>
      <w:r w:rsidRPr="0090315D">
        <w:rPr>
          <w:rFonts w:ascii="Arial" w:hAnsi="Arial"/>
          <w:i/>
        </w:rPr>
        <w:t xml:space="preserve">.   The Company </w:t>
      </w:r>
      <w:r>
        <w:rPr>
          <w:rFonts w:ascii="Arial" w:hAnsi="Arial"/>
          <w:i/>
        </w:rPr>
        <w:t>continues to assess</w:t>
      </w:r>
      <w:r w:rsidRPr="0090315D">
        <w:rPr>
          <w:rFonts w:ascii="Arial" w:hAnsi="Arial"/>
          <w:i/>
        </w:rPr>
        <w:t xml:space="preserve"> options available to contest the judicial demand from </w:t>
      </w:r>
      <w:proofErr w:type="spellStart"/>
      <w:r w:rsidRPr="0090315D">
        <w:rPr>
          <w:rFonts w:ascii="Arial" w:hAnsi="Arial"/>
          <w:i/>
        </w:rPr>
        <w:t>Olymbec</w:t>
      </w:r>
      <w:proofErr w:type="spellEnd"/>
      <w:r w:rsidRPr="0090315D">
        <w:rPr>
          <w:rFonts w:ascii="Arial" w:hAnsi="Arial"/>
          <w:i/>
        </w:rPr>
        <w:t xml:space="preserve"> and mitigate its damages</w:t>
      </w:r>
      <w:r>
        <w:rPr>
          <w:rFonts w:ascii="Arial" w:hAnsi="Arial"/>
          <w:i/>
        </w:rPr>
        <w:t>.</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442F94D8" w:rsidR="0084310F" w:rsidRPr="0014406D" w:rsidRDefault="00A75CB6" w:rsidP="0014406D">
      <w:pPr>
        <w:pStyle w:val="List"/>
        <w:spacing w:before="120"/>
        <w:ind w:left="720" w:firstLine="0"/>
        <w:jc w:val="both"/>
        <w:rPr>
          <w:rFonts w:ascii="Arial" w:hAnsi="Arial"/>
          <w:i/>
        </w:rPr>
      </w:pPr>
      <w:r>
        <w:rPr>
          <w:rFonts w:ascii="Arial" w:hAnsi="Arial"/>
          <w:i/>
        </w:rPr>
        <w:t>N/A</w:t>
      </w:r>
      <w:r w:rsidR="0090315D">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85CEC99" w14:textId="5358A421" w:rsidR="00AF78A3" w:rsidRPr="00AF78A3" w:rsidRDefault="00A75CB6" w:rsidP="0090315D">
      <w:pPr>
        <w:pStyle w:val="List"/>
        <w:keepNext/>
        <w:keepLines/>
        <w:spacing w:before="120"/>
        <w:ind w:left="720" w:firstLine="0"/>
        <w:jc w:val="both"/>
        <w:rPr>
          <w:rFonts w:ascii="Arial" w:hAnsi="Arial"/>
          <w:i/>
          <w:iCs/>
        </w:rPr>
      </w:pPr>
      <w:r>
        <w:rPr>
          <w:rFonts w:ascii="Arial" w:hAnsi="Arial"/>
          <w:i/>
        </w:rPr>
        <w:t>N/A</w:t>
      </w:r>
      <w:r w:rsidR="00621E6A">
        <w:rPr>
          <w:rFonts w:ascii="Arial" w:hAnsi="Arial"/>
          <w:i/>
        </w:rPr>
        <w:t>.</w:t>
      </w:r>
      <w:r w:rsidR="006E26FE">
        <w:rPr>
          <w:rFonts w:ascii="Arial" w:hAnsi="Arial"/>
          <w:i/>
        </w:rPr>
        <w:t xml:space="preserve">  </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bookmarkEnd w:id="13"/>
    <w:p w14:paraId="511DAB59" w14:textId="1DF33FB8" w:rsidR="00A37A50" w:rsidRPr="004E4F81" w:rsidRDefault="004E4F81" w:rsidP="00C358BE">
      <w:pPr>
        <w:pStyle w:val="List"/>
        <w:keepNext/>
        <w:spacing w:before="120"/>
        <w:ind w:left="720" w:firstLine="0"/>
        <w:jc w:val="both"/>
        <w:rPr>
          <w:rFonts w:ascii="Arial" w:hAnsi="Arial" w:cs="Arial"/>
          <w:bCs/>
          <w:i/>
          <w:iCs/>
        </w:rPr>
      </w:pPr>
      <w:r w:rsidRPr="004E4F81">
        <w:rPr>
          <w:rFonts w:ascii="Arial" w:hAnsi="Arial" w:cs="Arial"/>
          <w:i/>
          <w:iCs/>
        </w:rPr>
        <w:t>N/A</w:t>
      </w:r>
      <w:r w:rsidR="00A75CB6">
        <w:rPr>
          <w:rFonts w:ascii="Arial" w:hAnsi="Arial" w:cs="Arial"/>
          <w:i/>
          <w:iCs/>
        </w:rPr>
        <w:t>.</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5E12C455"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A75CB6">
        <w:rPr>
          <w:rFonts w:ascii="Arial" w:hAnsi="Arial"/>
        </w:rPr>
        <w:t>August 3</w:t>
      </w:r>
      <w:r w:rsidR="004E4F81">
        <w:rPr>
          <w:rFonts w:ascii="Arial" w:hAnsi="Arial"/>
        </w:rPr>
        <w:t>,</w:t>
      </w:r>
      <w:r w:rsidR="005F4DD8">
        <w:rPr>
          <w:rFonts w:ascii="Arial" w:hAnsi="Arial"/>
        </w:rPr>
        <w:t xml:space="preserve"> </w:t>
      </w:r>
      <w:r w:rsidR="00F21064">
        <w:rPr>
          <w:rFonts w:ascii="Arial" w:hAnsi="Arial"/>
        </w:rPr>
        <w:t>2021</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39D0DB27" w:rsidR="007736E2" w:rsidRDefault="00A75CB6">
            <w:pPr>
              <w:pStyle w:val="BodyText"/>
              <w:spacing w:before="0"/>
              <w:rPr>
                <w:rFonts w:ascii="Arial" w:hAnsi="Arial"/>
              </w:rPr>
            </w:pPr>
            <w:r>
              <w:rPr>
                <w:rFonts w:ascii="Arial" w:hAnsi="Arial"/>
              </w:rPr>
              <w:t>July</w:t>
            </w:r>
            <w:r w:rsidR="0093703B">
              <w:rPr>
                <w:rFonts w:ascii="Arial" w:hAnsi="Arial"/>
              </w:rPr>
              <w:t xml:space="preserve"> 2021</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6DC7013F" w:rsidR="007736E2" w:rsidRDefault="0047210C" w:rsidP="00D708C2">
            <w:pPr>
              <w:pStyle w:val="BodyText"/>
              <w:spacing w:before="0"/>
              <w:rPr>
                <w:rFonts w:ascii="Arial" w:hAnsi="Arial"/>
              </w:rPr>
            </w:pPr>
            <w:r>
              <w:rPr>
                <w:rFonts w:ascii="Arial" w:hAnsi="Arial"/>
              </w:rPr>
              <w:t>20</w:t>
            </w:r>
            <w:r w:rsidR="001E25F7">
              <w:rPr>
                <w:rFonts w:ascii="Arial" w:hAnsi="Arial"/>
              </w:rPr>
              <w:t>2</w:t>
            </w:r>
            <w:r w:rsidR="00F21064">
              <w:rPr>
                <w:rFonts w:ascii="Arial" w:hAnsi="Arial"/>
              </w:rPr>
              <w:t>1</w:t>
            </w:r>
            <w:r w:rsidR="001E25F7">
              <w:rPr>
                <w:rFonts w:ascii="Arial" w:hAnsi="Arial"/>
              </w:rPr>
              <w:t>/</w:t>
            </w:r>
            <w:r w:rsidR="00F21064">
              <w:rPr>
                <w:rFonts w:ascii="Arial" w:hAnsi="Arial"/>
              </w:rPr>
              <w:t>0</w:t>
            </w:r>
            <w:r w:rsidR="00A75CB6">
              <w:rPr>
                <w:rFonts w:ascii="Arial" w:hAnsi="Arial"/>
              </w:rPr>
              <w:t>8</w:t>
            </w:r>
            <w:r w:rsidR="00842030">
              <w:rPr>
                <w:rFonts w:ascii="Arial" w:hAnsi="Arial"/>
              </w:rPr>
              <w:t>/</w:t>
            </w:r>
            <w:r w:rsidR="00A364F7">
              <w:rPr>
                <w:rFonts w:ascii="Arial" w:hAnsi="Arial"/>
              </w:rPr>
              <w:t>0</w:t>
            </w:r>
            <w:r w:rsidR="00A75CB6">
              <w:rPr>
                <w:rFonts w:ascii="Arial" w:hAnsi="Arial"/>
              </w:rPr>
              <w:t>3</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A6BC" w14:textId="77777777" w:rsidR="00B83197" w:rsidRDefault="00B83197">
      <w:r>
        <w:separator/>
      </w:r>
    </w:p>
  </w:endnote>
  <w:endnote w:type="continuationSeparator" w:id="0">
    <w:p w14:paraId="5A9D11CD" w14:textId="77777777" w:rsidR="00B83197" w:rsidRDefault="00B8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3AC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7E8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86BB" w14:textId="77777777" w:rsidR="00B83197" w:rsidRDefault="00B83197">
      <w:r>
        <w:separator/>
      </w:r>
    </w:p>
  </w:footnote>
  <w:footnote w:type="continuationSeparator" w:id="0">
    <w:p w14:paraId="38AABCCF" w14:textId="77777777" w:rsidR="00B83197" w:rsidRDefault="00B8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5"/>
  </w:num>
  <w:num w:numId="3">
    <w:abstractNumId w:val="19"/>
  </w:num>
  <w:num w:numId="4">
    <w:abstractNumId w:val="15"/>
  </w:num>
  <w:num w:numId="5">
    <w:abstractNumId w:val="4"/>
  </w:num>
  <w:num w:numId="6">
    <w:abstractNumId w:val="27"/>
  </w:num>
  <w:num w:numId="7">
    <w:abstractNumId w:val="10"/>
  </w:num>
  <w:num w:numId="8">
    <w:abstractNumId w:val="31"/>
  </w:num>
  <w:num w:numId="9">
    <w:abstractNumId w:val="23"/>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4"/>
  </w:num>
  <w:num w:numId="17">
    <w:abstractNumId w:val="21"/>
  </w:num>
  <w:num w:numId="18">
    <w:abstractNumId w:val="3"/>
  </w:num>
  <w:num w:numId="19">
    <w:abstractNumId w:val="9"/>
  </w:num>
  <w:num w:numId="20">
    <w:abstractNumId w:val="30"/>
  </w:num>
  <w:num w:numId="21">
    <w:abstractNumId w:val="1"/>
  </w:num>
  <w:num w:numId="22">
    <w:abstractNumId w:val="0"/>
  </w:num>
  <w:num w:numId="23">
    <w:abstractNumId w:val="26"/>
  </w:num>
  <w:num w:numId="24">
    <w:abstractNumId w:val="22"/>
  </w:num>
  <w:num w:numId="25">
    <w:abstractNumId w:val="6"/>
  </w:num>
  <w:num w:numId="26">
    <w:abstractNumId w:val="32"/>
  </w:num>
  <w:num w:numId="27">
    <w:abstractNumId w:val="34"/>
  </w:num>
  <w:num w:numId="28">
    <w:abstractNumId w:val="7"/>
  </w:num>
  <w:num w:numId="29">
    <w:abstractNumId w:val="13"/>
  </w:num>
  <w:num w:numId="30">
    <w:abstractNumId w:val="17"/>
  </w:num>
  <w:num w:numId="31">
    <w:abstractNumId w:val="5"/>
  </w:num>
  <w:num w:numId="32">
    <w:abstractNumId w:val="24"/>
  </w:num>
  <w:num w:numId="33">
    <w:abstractNumId w:val="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74550"/>
    <w:rsid w:val="00094394"/>
    <w:rsid w:val="00094955"/>
    <w:rsid w:val="000A1679"/>
    <w:rsid w:val="000A1AB1"/>
    <w:rsid w:val="000B0D70"/>
    <w:rsid w:val="000B1BCE"/>
    <w:rsid w:val="000B2461"/>
    <w:rsid w:val="000B5711"/>
    <w:rsid w:val="000B6D2A"/>
    <w:rsid w:val="000C008E"/>
    <w:rsid w:val="000C1488"/>
    <w:rsid w:val="000C228A"/>
    <w:rsid w:val="000C2C22"/>
    <w:rsid w:val="000C4603"/>
    <w:rsid w:val="000E548E"/>
    <w:rsid w:val="000F7CC4"/>
    <w:rsid w:val="001224F6"/>
    <w:rsid w:val="00126180"/>
    <w:rsid w:val="0014081F"/>
    <w:rsid w:val="0014406D"/>
    <w:rsid w:val="00152273"/>
    <w:rsid w:val="00165CB6"/>
    <w:rsid w:val="00166158"/>
    <w:rsid w:val="001740BD"/>
    <w:rsid w:val="00185EC3"/>
    <w:rsid w:val="00196ACD"/>
    <w:rsid w:val="001A5AA6"/>
    <w:rsid w:val="001B28AF"/>
    <w:rsid w:val="001B67EA"/>
    <w:rsid w:val="001C2D52"/>
    <w:rsid w:val="001D0265"/>
    <w:rsid w:val="001D23CE"/>
    <w:rsid w:val="001D6115"/>
    <w:rsid w:val="001E25F7"/>
    <w:rsid w:val="001F49A4"/>
    <w:rsid w:val="00215CEC"/>
    <w:rsid w:val="00220054"/>
    <w:rsid w:val="00223C6F"/>
    <w:rsid w:val="002377E3"/>
    <w:rsid w:val="00244B2C"/>
    <w:rsid w:val="00245BA2"/>
    <w:rsid w:val="00253AD3"/>
    <w:rsid w:val="0025435B"/>
    <w:rsid w:val="002601A7"/>
    <w:rsid w:val="00260EF9"/>
    <w:rsid w:val="00263DC1"/>
    <w:rsid w:val="00267035"/>
    <w:rsid w:val="00284B6B"/>
    <w:rsid w:val="00292B6D"/>
    <w:rsid w:val="002A1DC9"/>
    <w:rsid w:val="002B127E"/>
    <w:rsid w:val="002B63BD"/>
    <w:rsid w:val="002C281E"/>
    <w:rsid w:val="002D76E9"/>
    <w:rsid w:val="002E34E0"/>
    <w:rsid w:val="002F00EB"/>
    <w:rsid w:val="002F2114"/>
    <w:rsid w:val="002F72D5"/>
    <w:rsid w:val="003031CE"/>
    <w:rsid w:val="003058BE"/>
    <w:rsid w:val="00311869"/>
    <w:rsid w:val="003138E2"/>
    <w:rsid w:val="00315ED8"/>
    <w:rsid w:val="00327E49"/>
    <w:rsid w:val="00347220"/>
    <w:rsid w:val="00347A87"/>
    <w:rsid w:val="003669A9"/>
    <w:rsid w:val="00371A64"/>
    <w:rsid w:val="00375D16"/>
    <w:rsid w:val="00387FA8"/>
    <w:rsid w:val="003B53F8"/>
    <w:rsid w:val="003B7A52"/>
    <w:rsid w:val="003C02A4"/>
    <w:rsid w:val="003C15A9"/>
    <w:rsid w:val="003C51C5"/>
    <w:rsid w:val="003D3F52"/>
    <w:rsid w:val="003E5061"/>
    <w:rsid w:val="003F1389"/>
    <w:rsid w:val="003F6706"/>
    <w:rsid w:val="00400696"/>
    <w:rsid w:val="004016FD"/>
    <w:rsid w:val="0040580F"/>
    <w:rsid w:val="004177D4"/>
    <w:rsid w:val="0042595D"/>
    <w:rsid w:val="00436BA3"/>
    <w:rsid w:val="00442270"/>
    <w:rsid w:val="00445648"/>
    <w:rsid w:val="00462376"/>
    <w:rsid w:val="0047210C"/>
    <w:rsid w:val="00472CA2"/>
    <w:rsid w:val="00474991"/>
    <w:rsid w:val="004822FC"/>
    <w:rsid w:val="004A0A0F"/>
    <w:rsid w:val="004A1C7B"/>
    <w:rsid w:val="004A2915"/>
    <w:rsid w:val="004A3B17"/>
    <w:rsid w:val="004A5891"/>
    <w:rsid w:val="004A59B5"/>
    <w:rsid w:val="004B3D99"/>
    <w:rsid w:val="004C07A1"/>
    <w:rsid w:val="004E4F81"/>
    <w:rsid w:val="004E5AD5"/>
    <w:rsid w:val="004E5AFC"/>
    <w:rsid w:val="004F119A"/>
    <w:rsid w:val="004F66AB"/>
    <w:rsid w:val="00522B71"/>
    <w:rsid w:val="00542A53"/>
    <w:rsid w:val="00545268"/>
    <w:rsid w:val="005453C8"/>
    <w:rsid w:val="00554B84"/>
    <w:rsid w:val="005568F1"/>
    <w:rsid w:val="005625B1"/>
    <w:rsid w:val="00566B1E"/>
    <w:rsid w:val="005762A4"/>
    <w:rsid w:val="00576D3E"/>
    <w:rsid w:val="00584732"/>
    <w:rsid w:val="00590CBD"/>
    <w:rsid w:val="005A1DED"/>
    <w:rsid w:val="005B2B8E"/>
    <w:rsid w:val="005B3DB7"/>
    <w:rsid w:val="005C629E"/>
    <w:rsid w:val="005C7EC2"/>
    <w:rsid w:val="005D11CD"/>
    <w:rsid w:val="005E15E0"/>
    <w:rsid w:val="005E7FD4"/>
    <w:rsid w:val="005F4DD8"/>
    <w:rsid w:val="005F6D8F"/>
    <w:rsid w:val="0061199A"/>
    <w:rsid w:val="006124C1"/>
    <w:rsid w:val="00620E7F"/>
    <w:rsid w:val="006210E6"/>
    <w:rsid w:val="00621E6A"/>
    <w:rsid w:val="006222DD"/>
    <w:rsid w:val="00633ED3"/>
    <w:rsid w:val="00635E9A"/>
    <w:rsid w:val="00640E94"/>
    <w:rsid w:val="00645202"/>
    <w:rsid w:val="00650B94"/>
    <w:rsid w:val="006729E5"/>
    <w:rsid w:val="0067500B"/>
    <w:rsid w:val="00692C83"/>
    <w:rsid w:val="0069326C"/>
    <w:rsid w:val="00694CC7"/>
    <w:rsid w:val="006A0B2A"/>
    <w:rsid w:val="006B36FB"/>
    <w:rsid w:val="006B458A"/>
    <w:rsid w:val="006C1E0C"/>
    <w:rsid w:val="006C62F7"/>
    <w:rsid w:val="006C7370"/>
    <w:rsid w:val="006C7657"/>
    <w:rsid w:val="006D1A06"/>
    <w:rsid w:val="006D4439"/>
    <w:rsid w:val="006E08F1"/>
    <w:rsid w:val="006E26FE"/>
    <w:rsid w:val="006E3ACF"/>
    <w:rsid w:val="006F67D3"/>
    <w:rsid w:val="00724D53"/>
    <w:rsid w:val="0072797B"/>
    <w:rsid w:val="00732D30"/>
    <w:rsid w:val="00732E24"/>
    <w:rsid w:val="007345E3"/>
    <w:rsid w:val="0075799B"/>
    <w:rsid w:val="007613A6"/>
    <w:rsid w:val="00763A9D"/>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A1BFD"/>
    <w:rsid w:val="008B2474"/>
    <w:rsid w:val="008B7E92"/>
    <w:rsid w:val="008C26E9"/>
    <w:rsid w:val="008C73C8"/>
    <w:rsid w:val="008D270C"/>
    <w:rsid w:val="008D5122"/>
    <w:rsid w:val="008E3B35"/>
    <w:rsid w:val="008F0D4D"/>
    <w:rsid w:val="008F19CC"/>
    <w:rsid w:val="008F30A1"/>
    <w:rsid w:val="00900A38"/>
    <w:rsid w:val="0090315D"/>
    <w:rsid w:val="009055C8"/>
    <w:rsid w:val="00910E5D"/>
    <w:rsid w:val="00912C13"/>
    <w:rsid w:val="00922A46"/>
    <w:rsid w:val="00922FC1"/>
    <w:rsid w:val="00923162"/>
    <w:rsid w:val="00930B9E"/>
    <w:rsid w:val="0093703B"/>
    <w:rsid w:val="00943782"/>
    <w:rsid w:val="009547B8"/>
    <w:rsid w:val="00972C40"/>
    <w:rsid w:val="00984D1E"/>
    <w:rsid w:val="0098583F"/>
    <w:rsid w:val="00993477"/>
    <w:rsid w:val="00994923"/>
    <w:rsid w:val="00997F6C"/>
    <w:rsid w:val="009A55A6"/>
    <w:rsid w:val="009B5585"/>
    <w:rsid w:val="009D16F2"/>
    <w:rsid w:val="009D6A8C"/>
    <w:rsid w:val="009E14BB"/>
    <w:rsid w:val="009E16F8"/>
    <w:rsid w:val="009E6418"/>
    <w:rsid w:val="00A017A6"/>
    <w:rsid w:val="00A0532E"/>
    <w:rsid w:val="00A2251A"/>
    <w:rsid w:val="00A23C08"/>
    <w:rsid w:val="00A241EF"/>
    <w:rsid w:val="00A33D53"/>
    <w:rsid w:val="00A35B7D"/>
    <w:rsid w:val="00A364F7"/>
    <w:rsid w:val="00A37A50"/>
    <w:rsid w:val="00A37FA3"/>
    <w:rsid w:val="00A47914"/>
    <w:rsid w:val="00A66377"/>
    <w:rsid w:val="00A670A4"/>
    <w:rsid w:val="00A6779D"/>
    <w:rsid w:val="00A6786C"/>
    <w:rsid w:val="00A67EA2"/>
    <w:rsid w:val="00A73C0A"/>
    <w:rsid w:val="00A75CB6"/>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78A3"/>
    <w:rsid w:val="00B00844"/>
    <w:rsid w:val="00B17AEE"/>
    <w:rsid w:val="00B234CB"/>
    <w:rsid w:val="00B24671"/>
    <w:rsid w:val="00B249ED"/>
    <w:rsid w:val="00B30351"/>
    <w:rsid w:val="00B3075C"/>
    <w:rsid w:val="00B45744"/>
    <w:rsid w:val="00B61330"/>
    <w:rsid w:val="00B6661A"/>
    <w:rsid w:val="00B77573"/>
    <w:rsid w:val="00B83197"/>
    <w:rsid w:val="00B85C1C"/>
    <w:rsid w:val="00B926A7"/>
    <w:rsid w:val="00B97A23"/>
    <w:rsid w:val="00BA59F9"/>
    <w:rsid w:val="00BA6077"/>
    <w:rsid w:val="00BB29A2"/>
    <w:rsid w:val="00BB7B06"/>
    <w:rsid w:val="00BC20AB"/>
    <w:rsid w:val="00BC51E5"/>
    <w:rsid w:val="00BD671E"/>
    <w:rsid w:val="00BE06CE"/>
    <w:rsid w:val="00BF1A4D"/>
    <w:rsid w:val="00BF49FB"/>
    <w:rsid w:val="00C05A86"/>
    <w:rsid w:val="00C17B54"/>
    <w:rsid w:val="00C27A18"/>
    <w:rsid w:val="00C34CF9"/>
    <w:rsid w:val="00C358BE"/>
    <w:rsid w:val="00C429D7"/>
    <w:rsid w:val="00C463A8"/>
    <w:rsid w:val="00C46579"/>
    <w:rsid w:val="00C518E4"/>
    <w:rsid w:val="00C6383E"/>
    <w:rsid w:val="00C701F8"/>
    <w:rsid w:val="00C8589C"/>
    <w:rsid w:val="00C934D3"/>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90C9A"/>
    <w:rsid w:val="00DA25CF"/>
    <w:rsid w:val="00DD1AB4"/>
    <w:rsid w:val="00DD50CB"/>
    <w:rsid w:val="00DF5F05"/>
    <w:rsid w:val="00E018A5"/>
    <w:rsid w:val="00E02B18"/>
    <w:rsid w:val="00E24293"/>
    <w:rsid w:val="00E24ABB"/>
    <w:rsid w:val="00E27E4F"/>
    <w:rsid w:val="00E351EE"/>
    <w:rsid w:val="00E36141"/>
    <w:rsid w:val="00E3730E"/>
    <w:rsid w:val="00E43BC0"/>
    <w:rsid w:val="00E60542"/>
    <w:rsid w:val="00E61B41"/>
    <w:rsid w:val="00E63ACF"/>
    <w:rsid w:val="00E63CFA"/>
    <w:rsid w:val="00E67F38"/>
    <w:rsid w:val="00E7727D"/>
    <w:rsid w:val="00E83E58"/>
    <w:rsid w:val="00E84EBC"/>
    <w:rsid w:val="00E965C9"/>
    <w:rsid w:val="00EE4168"/>
    <w:rsid w:val="00F0055B"/>
    <w:rsid w:val="00F1359E"/>
    <w:rsid w:val="00F1704B"/>
    <w:rsid w:val="00F21064"/>
    <w:rsid w:val="00F30EE0"/>
    <w:rsid w:val="00F411CB"/>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FKJuHmrH9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6286</TotalTime>
  <Pages>1</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155</cp:revision>
  <cp:lastPrinted>2004-05-10T18:28:00Z</cp:lastPrinted>
  <dcterms:created xsi:type="dcterms:W3CDTF">2018-02-01T18:59:00Z</dcterms:created>
  <dcterms:modified xsi:type="dcterms:W3CDTF">2021-08-03T20:08:00Z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