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DB43" w14:textId="549EA109" w:rsidR="004968E1" w:rsidRDefault="004968E1" w:rsidP="004968E1">
      <w:pPr>
        <w:outlineLvl w:val="2"/>
        <w:rPr>
          <w:rFonts w:eastAsia="Times New Roman" w:cstheme="minorHAnsi"/>
          <w:color w:val="2F5C88"/>
          <w:sz w:val="36"/>
          <w:szCs w:val="36"/>
        </w:rPr>
      </w:pPr>
      <w:r>
        <w:rPr>
          <w:noProof/>
          <w:lang w:val="en-GB" w:eastAsia="en-GB"/>
        </w:rPr>
        <w:drawing>
          <wp:inline distT="0" distB="0" distL="0" distR="0" wp14:anchorId="4E7C450B" wp14:editId="10718573">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10">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494A731" w14:textId="77777777" w:rsidR="004968E1" w:rsidRDefault="004968E1" w:rsidP="004968E1">
      <w:pPr>
        <w:outlineLvl w:val="2"/>
        <w:rPr>
          <w:rFonts w:eastAsia="Times New Roman" w:cstheme="minorHAnsi"/>
          <w:color w:val="2F5C88"/>
          <w:sz w:val="36"/>
          <w:szCs w:val="36"/>
        </w:rPr>
      </w:pPr>
    </w:p>
    <w:p w14:paraId="2A891EFC" w14:textId="55F5F35F" w:rsidR="60A09384" w:rsidRPr="004968E1" w:rsidRDefault="00E93607" w:rsidP="004968E1">
      <w:pPr>
        <w:spacing w:after="100" w:afterAutospacing="1"/>
        <w:jc w:val="center"/>
        <w:outlineLvl w:val="2"/>
        <w:rPr>
          <w:rFonts w:eastAsia="Times New Roman" w:cstheme="minorHAnsi"/>
          <w:color w:val="2F5C88"/>
          <w:sz w:val="36"/>
          <w:szCs w:val="36"/>
        </w:rPr>
      </w:pPr>
      <w:r w:rsidRPr="004968E1">
        <w:rPr>
          <w:rFonts w:eastAsia="Times New Roman" w:cstheme="minorHAnsi"/>
          <w:color w:val="2F5C88"/>
          <w:sz w:val="36"/>
          <w:szCs w:val="36"/>
        </w:rPr>
        <w:t xml:space="preserve">Early </w:t>
      </w:r>
      <w:r w:rsidR="00001792" w:rsidRPr="004968E1">
        <w:rPr>
          <w:rFonts w:eastAsia="Times New Roman" w:cstheme="minorHAnsi"/>
          <w:color w:val="2F5C88"/>
          <w:sz w:val="36"/>
          <w:szCs w:val="36"/>
        </w:rPr>
        <w:t>R</w:t>
      </w:r>
      <w:r w:rsidRPr="004968E1">
        <w:rPr>
          <w:rFonts w:eastAsia="Times New Roman" w:cstheme="minorHAnsi"/>
          <w:color w:val="2F5C88"/>
          <w:sz w:val="36"/>
          <w:szCs w:val="36"/>
        </w:rPr>
        <w:t xml:space="preserve">esults of </w:t>
      </w:r>
      <w:proofErr w:type="spellStart"/>
      <w:r w:rsidRPr="004968E1">
        <w:rPr>
          <w:rFonts w:eastAsia="Times New Roman" w:cstheme="minorHAnsi"/>
          <w:color w:val="2F5C88"/>
          <w:sz w:val="36"/>
          <w:szCs w:val="36"/>
        </w:rPr>
        <w:t>BetterLife</w:t>
      </w:r>
      <w:proofErr w:type="spellEnd"/>
      <w:r w:rsidRPr="004968E1">
        <w:rPr>
          <w:rFonts w:eastAsia="Times New Roman" w:cstheme="minorHAnsi"/>
          <w:color w:val="2F5C88"/>
          <w:sz w:val="36"/>
          <w:szCs w:val="36"/>
        </w:rPr>
        <w:t xml:space="preserve"> </w:t>
      </w:r>
      <w:r w:rsidR="00001792" w:rsidRPr="004968E1">
        <w:rPr>
          <w:rFonts w:eastAsia="Times New Roman" w:cstheme="minorHAnsi"/>
          <w:color w:val="2F5C88"/>
          <w:sz w:val="36"/>
          <w:szCs w:val="36"/>
        </w:rPr>
        <w:t>P</w:t>
      </w:r>
      <w:r w:rsidRPr="004968E1">
        <w:rPr>
          <w:rFonts w:eastAsia="Times New Roman" w:cstheme="minorHAnsi"/>
          <w:color w:val="2F5C88"/>
          <w:sz w:val="36"/>
          <w:szCs w:val="36"/>
        </w:rPr>
        <w:t xml:space="preserve">reclinical </w:t>
      </w:r>
      <w:r w:rsidR="00001792" w:rsidRPr="004968E1">
        <w:rPr>
          <w:rFonts w:eastAsia="Times New Roman" w:cstheme="minorHAnsi"/>
          <w:color w:val="2F5C88"/>
          <w:sz w:val="36"/>
          <w:szCs w:val="36"/>
        </w:rPr>
        <w:t>S</w:t>
      </w:r>
      <w:r w:rsidRPr="004968E1">
        <w:rPr>
          <w:rFonts w:eastAsia="Times New Roman" w:cstheme="minorHAnsi"/>
          <w:color w:val="2F5C88"/>
          <w:sz w:val="36"/>
          <w:szCs w:val="36"/>
        </w:rPr>
        <w:t>tudy</w:t>
      </w:r>
      <w:r w:rsidR="002C0CAB" w:rsidRPr="004968E1">
        <w:rPr>
          <w:rFonts w:eastAsia="Times New Roman" w:cstheme="minorHAnsi"/>
          <w:color w:val="2F5C88"/>
          <w:sz w:val="36"/>
          <w:szCs w:val="36"/>
        </w:rPr>
        <w:t xml:space="preserve"> </w:t>
      </w:r>
      <w:r w:rsidR="00001792" w:rsidRPr="004968E1">
        <w:rPr>
          <w:rFonts w:eastAsia="Times New Roman" w:cstheme="minorHAnsi"/>
          <w:color w:val="2F5C88"/>
          <w:sz w:val="36"/>
          <w:szCs w:val="36"/>
        </w:rPr>
        <w:t>S</w:t>
      </w:r>
      <w:r w:rsidRPr="004968E1">
        <w:rPr>
          <w:rFonts w:eastAsia="Times New Roman" w:cstheme="minorHAnsi"/>
          <w:color w:val="2F5C88"/>
          <w:sz w:val="36"/>
          <w:szCs w:val="36"/>
        </w:rPr>
        <w:t>how</w:t>
      </w:r>
      <w:r w:rsidR="006D44E0" w:rsidRPr="004968E1">
        <w:rPr>
          <w:rFonts w:eastAsia="Times New Roman" w:cstheme="minorHAnsi"/>
          <w:color w:val="2F5C88"/>
          <w:sz w:val="36"/>
          <w:szCs w:val="36"/>
        </w:rPr>
        <w:t>ing</w:t>
      </w:r>
      <w:r w:rsidRPr="004968E1">
        <w:rPr>
          <w:rFonts w:eastAsia="Times New Roman" w:cstheme="minorHAnsi"/>
          <w:color w:val="2F5C88"/>
          <w:sz w:val="36"/>
          <w:szCs w:val="36"/>
        </w:rPr>
        <w:t xml:space="preserve"> AP-003 (rhIFNa2b) </w:t>
      </w:r>
      <w:r w:rsidR="002C0CAB" w:rsidRPr="004968E1">
        <w:rPr>
          <w:rFonts w:eastAsia="Times New Roman" w:cstheme="minorHAnsi"/>
          <w:color w:val="2F5C88"/>
          <w:sz w:val="36"/>
          <w:szCs w:val="36"/>
        </w:rPr>
        <w:t xml:space="preserve">has </w:t>
      </w:r>
      <w:r w:rsidR="00001792" w:rsidRPr="004968E1">
        <w:rPr>
          <w:rFonts w:eastAsia="Times New Roman" w:cstheme="minorHAnsi"/>
          <w:color w:val="2F5C88"/>
          <w:sz w:val="36"/>
          <w:szCs w:val="36"/>
        </w:rPr>
        <w:t>S</w:t>
      </w:r>
      <w:r w:rsidR="002C0CAB" w:rsidRPr="004968E1">
        <w:rPr>
          <w:rFonts w:eastAsia="Times New Roman" w:cstheme="minorHAnsi"/>
          <w:color w:val="2F5C88"/>
          <w:sz w:val="36"/>
          <w:szCs w:val="36"/>
        </w:rPr>
        <w:t xml:space="preserve">imilar </w:t>
      </w:r>
      <w:r w:rsidR="00C9130F" w:rsidRPr="004968E1">
        <w:rPr>
          <w:rFonts w:eastAsia="Times New Roman" w:cstheme="minorHAnsi"/>
          <w:color w:val="2F5C88"/>
          <w:sz w:val="36"/>
          <w:szCs w:val="36"/>
        </w:rPr>
        <w:t xml:space="preserve">Potent </w:t>
      </w:r>
      <w:r w:rsidR="00001792" w:rsidRPr="004968E1">
        <w:rPr>
          <w:rFonts w:eastAsia="Times New Roman" w:cstheme="minorHAnsi"/>
          <w:color w:val="2F5C88"/>
          <w:sz w:val="36"/>
          <w:szCs w:val="36"/>
        </w:rPr>
        <w:t>E</w:t>
      </w:r>
      <w:r w:rsidR="002C0CAB" w:rsidRPr="004968E1">
        <w:rPr>
          <w:rFonts w:eastAsia="Times New Roman" w:cstheme="minorHAnsi"/>
          <w:color w:val="2F5C88"/>
          <w:sz w:val="36"/>
          <w:szCs w:val="36"/>
        </w:rPr>
        <w:t xml:space="preserve">fficacy </w:t>
      </w:r>
      <w:r w:rsidR="00001792" w:rsidRPr="004968E1">
        <w:rPr>
          <w:rFonts w:eastAsia="Times New Roman" w:cstheme="minorHAnsi"/>
          <w:color w:val="2F5C88"/>
          <w:sz w:val="36"/>
          <w:szCs w:val="36"/>
        </w:rPr>
        <w:t>A</w:t>
      </w:r>
      <w:r w:rsidRPr="004968E1">
        <w:rPr>
          <w:rFonts w:eastAsia="Times New Roman" w:cstheme="minorHAnsi"/>
          <w:color w:val="2F5C88"/>
          <w:sz w:val="36"/>
          <w:szCs w:val="36"/>
        </w:rPr>
        <w:t xml:space="preserve">gainst </w:t>
      </w:r>
      <w:r w:rsidR="00001792" w:rsidRPr="004968E1">
        <w:rPr>
          <w:rFonts w:eastAsia="Times New Roman" w:cstheme="minorHAnsi"/>
          <w:color w:val="2F5C88"/>
          <w:sz w:val="36"/>
          <w:szCs w:val="36"/>
        </w:rPr>
        <w:t>D</w:t>
      </w:r>
      <w:r w:rsidR="002C0CAB" w:rsidRPr="004968E1">
        <w:rPr>
          <w:rFonts w:eastAsia="Times New Roman" w:cstheme="minorHAnsi"/>
          <w:color w:val="2F5C88"/>
          <w:sz w:val="36"/>
          <w:szCs w:val="36"/>
        </w:rPr>
        <w:t xml:space="preserve">ifferent </w:t>
      </w:r>
      <w:r w:rsidR="00001792" w:rsidRPr="004968E1">
        <w:rPr>
          <w:rFonts w:eastAsia="Times New Roman" w:cstheme="minorHAnsi"/>
          <w:color w:val="2F5C88"/>
          <w:sz w:val="36"/>
          <w:szCs w:val="36"/>
        </w:rPr>
        <w:t>V</w:t>
      </w:r>
      <w:r w:rsidRPr="004968E1">
        <w:rPr>
          <w:rFonts w:eastAsia="Times New Roman" w:cstheme="minorHAnsi"/>
          <w:color w:val="2F5C88"/>
          <w:sz w:val="36"/>
          <w:szCs w:val="36"/>
        </w:rPr>
        <w:t xml:space="preserve">ariants of </w:t>
      </w:r>
      <w:r w:rsidR="00B06CC8">
        <w:rPr>
          <w:rFonts w:eastAsia="Times New Roman" w:cstheme="minorHAnsi"/>
          <w:color w:val="2F5C88"/>
          <w:sz w:val="36"/>
          <w:szCs w:val="36"/>
        </w:rPr>
        <w:t>COVID</w:t>
      </w:r>
      <w:r w:rsidR="006D44E0" w:rsidRPr="004968E1">
        <w:rPr>
          <w:rFonts w:eastAsia="Times New Roman" w:cstheme="minorHAnsi"/>
          <w:color w:val="2F5C88"/>
          <w:sz w:val="36"/>
          <w:szCs w:val="36"/>
        </w:rPr>
        <w:t>-19</w:t>
      </w:r>
    </w:p>
    <w:p w14:paraId="0E763F3E" w14:textId="344697DE" w:rsidR="002B459C" w:rsidRPr="004968E1" w:rsidRDefault="00231C8C"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 xml:space="preserve">VANCOUVER, </w:t>
      </w:r>
      <w:r w:rsidR="00E93607" w:rsidRPr="004968E1">
        <w:rPr>
          <w:rFonts w:eastAsia="Times New Roman" w:cstheme="minorHAnsi"/>
          <w:color w:val="383838"/>
          <w:sz w:val="22"/>
          <w:szCs w:val="22"/>
        </w:rPr>
        <w:t>July</w:t>
      </w:r>
      <w:r w:rsidRPr="004968E1">
        <w:rPr>
          <w:rFonts w:eastAsia="Times New Roman" w:cstheme="minorHAnsi"/>
          <w:color w:val="383838"/>
          <w:sz w:val="22"/>
          <w:szCs w:val="22"/>
        </w:rPr>
        <w:t xml:space="preserve"> </w:t>
      </w:r>
      <w:r w:rsidR="00C93205" w:rsidRPr="004968E1">
        <w:rPr>
          <w:rFonts w:eastAsia="Times New Roman" w:cstheme="minorHAnsi"/>
          <w:color w:val="383838"/>
          <w:sz w:val="22"/>
          <w:szCs w:val="22"/>
        </w:rPr>
        <w:t>15</w:t>
      </w:r>
      <w:r w:rsidRPr="004968E1">
        <w:rPr>
          <w:rFonts w:eastAsia="Times New Roman" w:cstheme="minorHAnsi"/>
          <w:color w:val="383838"/>
          <w:sz w:val="22"/>
          <w:szCs w:val="22"/>
        </w:rPr>
        <w:t xml:space="preserve">, 2021 - </w:t>
      </w:r>
      <w:proofErr w:type="spellStart"/>
      <w:r w:rsidRPr="004968E1">
        <w:rPr>
          <w:rFonts w:eastAsia="Times New Roman" w:cstheme="minorHAnsi"/>
          <w:color w:val="383838"/>
          <w:sz w:val="22"/>
          <w:szCs w:val="22"/>
        </w:rPr>
        <w:t>BetterLife</w:t>
      </w:r>
      <w:proofErr w:type="spellEnd"/>
      <w:r w:rsidRPr="004968E1">
        <w:rPr>
          <w:rFonts w:eastAsia="Times New Roman" w:cstheme="minorHAnsi"/>
          <w:color w:val="383838"/>
          <w:sz w:val="22"/>
          <w:szCs w:val="22"/>
        </w:rPr>
        <w:t xml:space="preserve"> Pharma Inc. (“</w:t>
      </w:r>
      <w:proofErr w:type="spellStart"/>
      <w:r w:rsidRPr="004968E1">
        <w:rPr>
          <w:rFonts w:eastAsia="Times New Roman" w:cstheme="minorHAnsi"/>
          <w:color w:val="383838"/>
          <w:sz w:val="22"/>
          <w:szCs w:val="22"/>
        </w:rPr>
        <w:t>BetterLife</w:t>
      </w:r>
      <w:proofErr w:type="spellEnd"/>
      <w:r w:rsidRPr="004968E1">
        <w:rPr>
          <w:rFonts w:eastAsia="Times New Roman" w:cstheme="minorHAnsi"/>
          <w:color w:val="383838"/>
          <w:sz w:val="22"/>
          <w:szCs w:val="22"/>
        </w:rPr>
        <w:t>” or the “Company”) (CSE: </w:t>
      </w:r>
      <w:hyperlink r:id="rId11" w:tgtFrame="_blank" w:history="1">
        <w:r w:rsidRPr="004968E1">
          <w:rPr>
            <w:rFonts w:eastAsia="Times New Roman" w:cstheme="minorHAnsi"/>
            <w:color w:val="0B73BE"/>
            <w:sz w:val="22"/>
            <w:szCs w:val="22"/>
            <w:u w:val="single"/>
          </w:rPr>
          <w:t>BETR</w:t>
        </w:r>
        <w:r w:rsidRPr="004968E1">
          <w:rPr>
            <w:rFonts w:eastAsia="Times New Roman" w:cstheme="minorHAnsi"/>
            <w:color w:val="0B73BE"/>
            <w:sz w:val="22"/>
            <w:szCs w:val="22"/>
          </w:rPr>
          <w:t> </w:t>
        </w:r>
      </w:hyperlink>
      <w:r w:rsidRPr="004968E1">
        <w:rPr>
          <w:rFonts w:eastAsia="Times New Roman" w:cstheme="minorHAnsi"/>
          <w:color w:val="383838"/>
          <w:sz w:val="22"/>
          <w:szCs w:val="22"/>
        </w:rPr>
        <w:t>/ OTCQB: </w:t>
      </w:r>
      <w:hyperlink r:id="rId12" w:tgtFrame="_blank" w:history="1">
        <w:r w:rsidRPr="004968E1">
          <w:rPr>
            <w:rFonts w:eastAsia="Times New Roman" w:cstheme="minorHAnsi"/>
            <w:color w:val="0B73BE"/>
            <w:sz w:val="22"/>
            <w:szCs w:val="22"/>
            <w:u w:val="single"/>
          </w:rPr>
          <w:t>BETRF</w:t>
        </w:r>
        <w:r w:rsidRPr="004968E1">
          <w:rPr>
            <w:rFonts w:eastAsia="Times New Roman" w:cstheme="minorHAnsi"/>
            <w:color w:val="0B73BE"/>
            <w:sz w:val="22"/>
            <w:szCs w:val="22"/>
          </w:rPr>
          <w:t> </w:t>
        </w:r>
      </w:hyperlink>
      <w:r w:rsidRPr="004968E1">
        <w:rPr>
          <w:rFonts w:eastAsia="Times New Roman" w:cstheme="minorHAnsi"/>
          <w:color w:val="383838"/>
          <w:sz w:val="22"/>
          <w:szCs w:val="22"/>
        </w:rPr>
        <w:t>/ FRA:</w:t>
      </w:r>
      <w:r w:rsidR="004968E1">
        <w:rPr>
          <w:rFonts w:eastAsia="Times New Roman" w:cstheme="minorHAnsi"/>
          <w:color w:val="383838"/>
          <w:sz w:val="22"/>
          <w:szCs w:val="22"/>
        </w:rPr>
        <w:t xml:space="preserve"> </w:t>
      </w:r>
      <w:hyperlink r:id="rId13" w:tgtFrame="_blank" w:history="1">
        <w:r w:rsidRPr="004968E1">
          <w:rPr>
            <w:rFonts w:eastAsia="Times New Roman" w:cstheme="minorHAnsi"/>
            <w:color w:val="0B73BE"/>
            <w:sz w:val="22"/>
            <w:szCs w:val="22"/>
            <w:u w:val="single"/>
          </w:rPr>
          <w:t>NPAU</w:t>
        </w:r>
        <w:r w:rsidRPr="004968E1">
          <w:rPr>
            <w:rFonts w:eastAsia="Times New Roman" w:cstheme="minorHAnsi"/>
            <w:color w:val="0B73BE"/>
            <w:sz w:val="22"/>
            <w:szCs w:val="22"/>
          </w:rPr>
          <w:t> </w:t>
        </w:r>
      </w:hyperlink>
      <w:r w:rsidRPr="004968E1">
        <w:rPr>
          <w:rFonts w:eastAsia="Times New Roman" w:cstheme="minorHAnsi"/>
          <w:color w:val="383838"/>
          <w:sz w:val="22"/>
          <w:szCs w:val="22"/>
        </w:rPr>
        <w:t xml:space="preserve">), </w:t>
      </w:r>
      <w:r w:rsidR="0043252A" w:rsidRPr="004968E1">
        <w:rPr>
          <w:rFonts w:eastAsia="Times New Roman" w:cstheme="minorHAnsi"/>
          <w:color w:val="383838"/>
          <w:sz w:val="22"/>
          <w:szCs w:val="22"/>
        </w:rPr>
        <w:t>an emerging biotechnology company primarily focused on developing compounds to treat neurological conditions</w:t>
      </w:r>
      <w:r w:rsidRPr="004968E1">
        <w:rPr>
          <w:rFonts w:eastAsia="Times New Roman" w:cstheme="minorHAnsi"/>
          <w:color w:val="383838"/>
          <w:sz w:val="22"/>
          <w:szCs w:val="22"/>
        </w:rPr>
        <w:t xml:space="preserve">, </w:t>
      </w:r>
      <w:r w:rsidR="00D4714D" w:rsidRPr="004968E1">
        <w:rPr>
          <w:rFonts w:eastAsia="Times New Roman" w:cstheme="minorHAnsi"/>
          <w:color w:val="383838"/>
          <w:sz w:val="22"/>
          <w:szCs w:val="22"/>
        </w:rPr>
        <w:t xml:space="preserve">is pleased to announce </w:t>
      </w:r>
      <w:r w:rsidR="00760E00" w:rsidRPr="004968E1">
        <w:rPr>
          <w:rFonts w:eastAsia="Times New Roman" w:cstheme="minorHAnsi"/>
          <w:color w:val="383838"/>
          <w:sz w:val="22"/>
          <w:szCs w:val="22"/>
        </w:rPr>
        <w:t xml:space="preserve">early positive </w:t>
      </w:r>
      <w:r w:rsidR="00C64B1E" w:rsidRPr="004968E1">
        <w:rPr>
          <w:rFonts w:eastAsia="Times New Roman" w:cstheme="minorHAnsi"/>
          <w:color w:val="383838"/>
          <w:sz w:val="22"/>
          <w:szCs w:val="22"/>
        </w:rPr>
        <w:t xml:space="preserve">in vitro </w:t>
      </w:r>
      <w:r w:rsidR="00760E00" w:rsidRPr="004968E1">
        <w:rPr>
          <w:rFonts w:eastAsia="Times New Roman" w:cstheme="minorHAnsi"/>
          <w:color w:val="383838"/>
          <w:sz w:val="22"/>
          <w:szCs w:val="22"/>
        </w:rPr>
        <w:t xml:space="preserve">results </w:t>
      </w:r>
      <w:r w:rsidR="00220D75" w:rsidRPr="004968E1">
        <w:rPr>
          <w:rFonts w:eastAsia="Times New Roman" w:cstheme="minorHAnsi"/>
          <w:color w:val="383838"/>
          <w:sz w:val="22"/>
          <w:szCs w:val="22"/>
        </w:rPr>
        <w:t xml:space="preserve">of its </w:t>
      </w:r>
      <w:r w:rsidR="0022687E" w:rsidRPr="004968E1">
        <w:rPr>
          <w:rFonts w:eastAsia="Times New Roman" w:cstheme="minorHAnsi"/>
          <w:color w:val="383838"/>
          <w:sz w:val="22"/>
          <w:szCs w:val="22"/>
        </w:rPr>
        <w:t>SARS-CoV-2 (“</w:t>
      </w:r>
      <w:r w:rsidR="00220D75" w:rsidRPr="004968E1">
        <w:rPr>
          <w:rFonts w:eastAsia="Times New Roman" w:cstheme="minorHAnsi"/>
          <w:color w:val="383838"/>
          <w:sz w:val="22"/>
          <w:szCs w:val="22"/>
        </w:rPr>
        <w:t>COVID-19</w:t>
      </w:r>
      <w:r w:rsidR="0022687E" w:rsidRPr="004968E1">
        <w:rPr>
          <w:rFonts w:eastAsia="Times New Roman" w:cstheme="minorHAnsi"/>
          <w:color w:val="383838"/>
          <w:sz w:val="22"/>
          <w:szCs w:val="22"/>
        </w:rPr>
        <w:t>”)</w:t>
      </w:r>
      <w:r w:rsidR="00220D75" w:rsidRPr="004968E1">
        <w:rPr>
          <w:rFonts w:eastAsia="Times New Roman" w:cstheme="minorHAnsi"/>
          <w:color w:val="383838"/>
          <w:sz w:val="22"/>
          <w:szCs w:val="22"/>
        </w:rPr>
        <w:t xml:space="preserve"> anti-viral</w:t>
      </w:r>
      <w:r w:rsidR="002B459C" w:rsidRPr="004968E1">
        <w:rPr>
          <w:rFonts w:eastAsia="Times New Roman" w:cstheme="minorHAnsi"/>
          <w:color w:val="383838"/>
          <w:sz w:val="22"/>
          <w:szCs w:val="22"/>
        </w:rPr>
        <w:t>, recombinant human interferon alpha-2b (</w:t>
      </w:r>
      <w:r w:rsidR="004968E1">
        <w:rPr>
          <w:rFonts w:eastAsia="Times New Roman" w:cstheme="minorHAnsi"/>
          <w:color w:val="383838"/>
          <w:sz w:val="22"/>
          <w:szCs w:val="22"/>
        </w:rPr>
        <w:t>“</w:t>
      </w:r>
      <w:r w:rsidR="002B459C" w:rsidRPr="004968E1">
        <w:rPr>
          <w:rFonts w:eastAsia="Times New Roman" w:cstheme="minorHAnsi"/>
          <w:color w:val="383838"/>
          <w:sz w:val="22"/>
          <w:szCs w:val="22"/>
        </w:rPr>
        <w:t>rhIFN</w:t>
      </w:r>
      <w:r w:rsidR="002B459C" w:rsidRPr="004968E1">
        <w:rPr>
          <w:rFonts w:ascii="Cambria Math" w:eastAsia="Times New Roman" w:hAnsi="Cambria Math" w:cs="Cambria Math"/>
          <w:color w:val="383838"/>
          <w:sz w:val="22"/>
          <w:szCs w:val="22"/>
        </w:rPr>
        <w:t>⍺</w:t>
      </w:r>
      <w:r w:rsidR="002B459C" w:rsidRPr="004968E1">
        <w:rPr>
          <w:rFonts w:eastAsia="Times New Roman" w:cstheme="minorHAnsi"/>
          <w:color w:val="383838"/>
          <w:sz w:val="22"/>
          <w:szCs w:val="22"/>
        </w:rPr>
        <w:t>2b</w:t>
      </w:r>
      <w:r w:rsidR="004968E1">
        <w:rPr>
          <w:rFonts w:eastAsia="Times New Roman" w:cstheme="minorHAnsi"/>
          <w:color w:val="383838"/>
          <w:sz w:val="22"/>
          <w:szCs w:val="22"/>
        </w:rPr>
        <w:t>”</w:t>
      </w:r>
      <w:r w:rsidR="002B459C" w:rsidRPr="004968E1" w:rsidDel="00C9130F">
        <w:rPr>
          <w:rFonts w:eastAsia="Times New Roman" w:cstheme="minorHAnsi"/>
          <w:color w:val="383838"/>
          <w:sz w:val="22"/>
          <w:szCs w:val="22"/>
        </w:rPr>
        <w:t xml:space="preserve"> </w:t>
      </w:r>
      <w:r w:rsidR="002B459C" w:rsidRPr="004968E1">
        <w:rPr>
          <w:rFonts w:eastAsia="Times New Roman" w:cstheme="minorHAnsi"/>
          <w:color w:val="383838"/>
          <w:sz w:val="22"/>
          <w:szCs w:val="22"/>
        </w:rPr>
        <w:t xml:space="preserve">or </w:t>
      </w:r>
      <w:r w:rsidR="004968E1">
        <w:rPr>
          <w:rFonts w:eastAsia="Times New Roman" w:cstheme="minorHAnsi"/>
          <w:color w:val="383838"/>
          <w:sz w:val="22"/>
          <w:szCs w:val="22"/>
        </w:rPr>
        <w:t>“</w:t>
      </w:r>
      <w:r w:rsidR="002B459C" w:rsidRPr="004968E1">
        <w:rPr>
          <w:rFonts w:eastAsia="Times New Roman" w:cstheme="minorHAnsi"/>
          <w:color w:val="383838"/>
          <w:sz w:val="22"/>
          <w:szCs w:val="22"/>
        </w:rPr>
        <w:t>AP-003</w:t>
      </w:r>
      <w:r w:rsidR="004968E1">
        <w:rPr>
          <w:rFonts w:eastAsia="Times New Roman" w:cstheme="minorHAnsi"/>
          <w:color w:val="383838"/>
          <w:sz w:val="22"/>
          <w:szCs w:val="22"/>
        </w:rPr>
        <w:t>”</w:t>
      </w:r>
      <w:r w:rsidR="002B459C" w:rsidRPr="004968E1">
        <w:rPr>
          <w:rFonts w:eastAsia="Times New Roman" w:cstheme="minorHAnsi"/>
          <w:color w:val="383838"/>
          <w:sz w:val="22"/>
          <w:szCs w:val="22"/>
        </w:rPr>
        <w:t>)</w:t>
      </w:r>
      <w:r w:rsidR="005F0628" w:rsidRPr="004968E1">
        <w:rPr>
          <w:rFonts w:eastAsia="Times New Roman" w:cstheme="minorHAnsi"/>
          <w:color w:val="383838"/>
          <w:sz w:val="22"/>
          <w:szCs w:val="22"/>
        </w:rPr>
        <w:t>,</w:t>
      </w:r>
      <w:r w:rsidR="002B459C" w:rsidRPr="004968E1">
        <w:rPr>
          <w:rFonts w:eastAsia="Times New Roman" w:cstheme="minorHAnsi"/>
          <w:color w:val="383838"/>
          <w:sz w:val="22"/>
          <w:szCs w:val="22"/>
        </w:rPr>
        <w:t xml:space="preserve"> from the </w:t>
      </w:r>
      <w:r w:rsidR="00C64B1E" w:rsidRPr="004968E1">
        <w:rPr>
          <w:rFonts w:eastAsia="Times New Roman" w:cstheme="minorHAnsi"/>
          <w:color w:val="383838"/>
          <w:sz w:val="22"/>
          <w:szCs w:val="22"/>
        </w:rPr>
        <w:t xml:space="preserve">Dr. Stephen Barr  Laboratory and state-of-the-art </w:t>
      </w:r>
      <w:proofErr w:type="spellStart"/>
      <w:r w:rsidR="00C64B1E" w:rsidRPr="004968E1">
        <w:rPr>
          <w:rFonts w:eastAsia="Times New Roman" w:cstheme="minorHAnsi"/>
          <w:color w:val="383838"/>
          <w:sz w:val="22"/>
          <w:szCs w:val="22"/>
        </w:rPr>
        <w:t>ImPaKT</w:t>
      </w:r>
      <w:proofErr w:type="spellEnd"/>
      <w:r w:rsidR="00C64B1E" w:rsidRPr="004968E1">
        <w:rPr>
          <w:rFonts w:eastAsia="Times New Roman" w:cstheme="minorHAnsi"/>
          <w:color w:val="383838"/>
          <w:sz w:val="22"/>
          <w:szCs w:val="22"/>
        </w:rPr>
        <w:t xml:space="preserve"> Facility at </w:t>
      </w:r>
      <w:r w:rsidR="000B476C" w:rsidRPr="004968E1">
        <w:rPr>
          <w:rFonts w:eastAsia="Times New Roman" w:cstheme="minorHAnsi"/>
          <w:color w:val="383838"/>
          <w:sz w:val="22"/>
          <w:szCs w:val="22"/>
        </w:rPr>
        <w:t>Western University</w:t>
      </w:r>
      <w:r w:rsidR="00C64B1E" w:rsidRPr="004968E1">
        <w:rPr>
          <w:rFonts w:eastAsia="Times New Roman" w:cstheme="minorHAnsi"/>
          <w:color w:val="383838"/>
          <w:sz w:val="22"/>
          <w:szCs w:val="22"/>
        </w:rPr>
        <w:t xml:space="preserve"> (</w:t>
      </w:r>
      <w:r w:rsidR="0043252A" w:rsidRPr="004968E1">
        <w:rPr>
          <w:rFonts w:eastAsia="Times New Roman" w:cstheme="minorHAnsi"/>
          <w:color w:val="383838"/>
          <w:sz w:val="22"/>
          <w:szCs w:val="22"/>
        </w:rPr>
        <w:t>“</w:t>
      </w:r>
      <w:r w:rsidR="00C64B1E" w:rsidRPr="004968E1">
        <w:rPr>
          <w:rFonts w:eastAsia="Times New Roman" w:cstheme="minorHAnsi"/>
          <w:color w:val="383838"/>
          <w:sz w:val="22"/>
          <w:szCs w:val="22"/>
        </w:rPr>
        <w:t>UWO</w:t>
      </w:r>
      <w:r w:rsidR="0043252A" w:rsidRPr="004968E1">
        <w:rPr>
          <w:rFonts w:eastAsia="Times New Roman" w:cstheme="minorHAnsi"/>
          <w:color w:val="383838"/>
          <w:sz w:val="22"/>
          <w:szCs w:val="22"/>
        </w:rPr>
        <w:t>”</w:t>
      </w:r>
      <w:r w:rsidR="00C64B1E" w:rsidRPr="004968E1">
        <w:rPr>
          <w:rFonts w:eastAsia="Times New Roman" w:cstheme="minorHAnsi"/>
          <w:color w:val="383838"/>
          <w:sz w:val="22"/>
          <w:szCs w:val="22"/>
        </w:rPr>
        <w:t xml:space="preserve">). </w:t>
      </w:r>
      <w:r w:rsidR="004968E1">
        <w:rPr>
          <w:rFonts w:eastAsia="Times New Roman" w:cstheme="minorHAnsi"/>
          <w:color w:val="383838"/>
          <w:sz w:val="22"/>
          <w:szCs w:val="22"/>
        </w:rPr>
        <w:t xml:space="preserve"> </w:t>
      </w:r>
      <w:r w:rsidR="005766B1" w:rsidRPr="004968E1">
        <w:rPr>
          <w:rFonts w:eastAsia="Times New Roman" w:cstheme="minorHAnsi"/>
          <w:color w:val="383838"/>
          <w:sz w:val="22"/>
          <w:szCs w:val="22"/>
        </w:rPr>
        <w:t>AP-003’s first proposed target indication is for people at higher risk to develop severe COVID-19 disease.</w:t>
      </w:r>
    </w:p>
    <w:p w14:paraId="5EA28876" w14:textId="77777777" w:rsidR="002B459C" w:rsidRPr="004968E1" w:rsidRDefault="002B459C" w:rsidP="004968E1">
      <w:pPr>
        <w:spacing w:line="247" w:lineRule="auto"/>
        <w:jc w:val="both"/>
        <w:rPr>
          <w:rFonts w:eastAsia="Times New Roman" w:cstheme="minorHAnsi"/>
          <w:color w:val="383838"/>
          <w:sz w:val="22"/>
          <w:szCs w:val="22"/>
        </w:rPr>
      </w:pPr>
    </w:p>
    <w:p w14:paraId="02793CDC" w14:textId="0897D298" w:rsidR="00C64B1E" w:rsidRPr="004968E1" w:rsidRDefault="00C64B1E"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 xml:space="preserve">Early data show potent </w:t>
      </w:r>
      <w:r w:rsidR="002C0CAB" w:rsidRPr="004968E1">
        <w:rPr>
          <w:rFonts w:eastAsia="Times New Roman" w:cstheme="minorHAnsi"/>
          <w:color w:val="383838"/>
          <w:sz w:val="22"/>
          <w:szCs w:val="22"/>
        </w:rPr>
        <w:t xml:space="preserve">and similar </w:t>
      </w:r>
      <w:r w:rsidRPr="004968E1">
        <w:rPr>
          <w:rFonts w:eastAsia="Times New Roman" w:cstheme="minorHAnsi"/>
          <w:color w:val="383838"/>
          <w:sz w:val="22"/>
          <w:szCs w:val="22"/>
        </w:rPr>
        <w:t xml:space="preserve">anti-viral activity against </w:t>
      </w:r>
      <w:r w:rsidR="005F0628" w:rsidRPr="004968E1">
        <w:rPr>
          <w:rFonts w:eastAsia="Times New Roman" w:cstheme="minorHAnsi"/>
          <w:color w:val="383838"/>
          <w:sz w:val="22"/>
          <w:szCs w:val="22"/>
        </w:rPr>
        <w:t xml:space="preserve">the </w:t>
      </w:r>
      <w:r w:rsidR="0022687E" w:rsidRPr="004968E1">
        <w:rPr>
          <w:rFonts w:eastAsia="Times New Roman" w:cstheme="minorHAnsi"/>
          <w:color w:val="383838"/>
          <w:sz w:val="22"/>
          <w:szCs w:val="22"/>
        </w:rPr>
        <w:t xml:space="preserve">COVID-19 </w:t>
      </w:r>
      <w:r w:rsidR="00BA3F78" w:rsidRPr="004968E1">
        <w:rPr>
          <w:rFonts w:eastAsia="Times New Roman" w:cstheme="minorHAnsi"/>
          <w:color w:val="383838"/>
          <w:sz w:val="22"/>
          <w:szCs w:val="22"/>
        </w:rPr>
        <w:t xml:space="preserve">Wuhan reference strain </w:t>
      </w:r>
      <w:r w:rsidR="00C9130F" w:rsidRPr="004968E1">
        <w:rPr>
          <w:rFonts w:eastAsia="Times New Roman" w:cstheme="minorHAnsi"/>
          <w:color w:val="383838"/>
          <w:sz w:val="22"/>
          <w:szCs w:val="22"/>
        </w:rPr>
        <w:t>(EC</w:t>
      </w:r>
      <w:r w:rsidR="00C9130F" w:rsidRPr="004968E1">
        <w:rPr>
          <w:rFonts w:eastAsia="Times New Roman" w:cstheme="minorHAnsi"/>
          <w:color w:val="383838"/>
          <w:sz w:val="22"/>
          <w:szCs w:val="22"/>
          <w:vertAlign w:val="subscript"/>
        </w:rPr>
        <w:t>50</w:t>
      </w:r>
      <w:r w:rsidR="00C9130F" w:rsidRPr="004968E1">
        <w:rPr>
          <w:rFonts w:eastAsia="Times New Roman" w:cstheme="minorHAnsi"/>
          <w:color w:val="383838"/>
          <w:sz w:val="22"/>
          <w:szCs w:val="22"/>
        </w:rPr>
        <w:t>=0.51)</w:t>
      </w:r>
      <w:r w:rsidR="0043252A" w:rsidRPr="004968E1">
        <w:rPr>
          <w:rFonts w:eastAsia="Times New Roman" w:cstheme="minorHAnsi"/>
          <w:color w:val="383838"/>
          <w:sz w:val="22"/>
          <w:szCs w:val="22"/>
        </w:rPr>
        <w:t xml:space="preserve">, </w:t>
      </w:r>
      <w:r w:rsidR="00DE3D5C" w:rsidRPr="004968E1">
        <w:rPr>
          <w:rFonts w:eastAsia="Times New Roman" w:cstheme="minorHAnsi"/>
          <w:color w:val="383838"/>
          <w:sz w:val="22"/>
          <w:szCs w:val="22"/>
        </w:rPr>
        <w:t>Alpha (</w:t>
      </w:r>
      <w:r w:rsidR="00BA3F78" w:rsidRPr="004968E1">
        <w:rPr>
          <w:rFonts w:eastAsia="Times New Roman" w:cstheme="minorHAnsi"/>
          <w:color w:val="383838"/>
          <w:sz w:val="22"/>
          <w:szCs w:val="22"/>
        </w:rPr>
        <w:t>B.1.1.7</w:t>
      </w:r>
      <w:r w:rsidR="00DE3D5C" w:rsidRPr="004968E1">
        <w:rPr>
          <w:rFonts w:eastAsia="Times New Roman" w:cstheme="minorHAnsi"/>
          <w:color w:val="383838"/>
          <w:sz w:val="22"/>
          <w:szCs w:val="22"/>
        </w:rPr>
        <w:t xml:space="preserve">, </w:t>
      </w:r>
      <w:r w:rsidR="00BA3F78" w:rsidRPr="004968E1">
        <w:rPr>
          <w:rFonts w:eastAsia="Times New Roman" w:cstheme="minorHAnsi"/>
          <w:color w:val="383838"/>
          <w:sz w:val="22"/>
          <w:szCs w:val="22"/>
        </w:rPr>
        <w:t>UK</w:t>
      </w:r>
      <w:r w:rsidR="00C9130F" w:rsidRPr="004968E1">
        <w:rPr>
          <w:rFonts w:eastAsia="Times New Roman" w:cstheme="minorHAnsi"/>
          <w:color w:val="383838"/>
          <w:sz w:val="22"/>
          <w:szCs w:val="22"/>
        </w:rPr>
        <w:t>, EC</w:t>
      </w:r>
      <w:r w:rsidR="00C9130F" w:rsidRPr="004968E1">
        <w:rPr>
          <w:rFonts w:eastAsia="Times New Roman" w:cstheme="minorHAnsi"/>
          <w:color w:val="383838"/>
          <w:sz w:val="22"/>
          <w:szCs w:val="22"/>
          <w:vertAlign w:val="subscript"/>
        </w:rPr>
        <w:t>50</w:t>
      </w:r>
      <w:r w:rsidR="00C9130F" w:rsidRPr="004968E1">
        <w:rPr>
          <w:rFonts w:eastAsia="Times New Roman" w:cstheme="minorHAnsi"/>
          <w:color w:val="383838"/>
          <w:sz w:val="22"/>
          <w:szCs w:val="22"/>
        </w:rPr>
        <w:t>=1.26</w:t>
      </w:r>
      <w:r w:rsidR="00BA3F78" w:rsidRPr="004968E1">
        <w:rPr>
          <w:rFonts w:eastAsia="Times New Roman" w:cstheme="minorHAnsi"/>
          <w:color w:val="383838"/>
          <w:sz w:val="22"/>
          <w:szCs w:val="22"/>
        </w:rPr>
        <w:t xml:space="preserve">) </w:t>
      </w:r>
      <w:r w:rsidR="00682A7F" w:rsidRPr="004968E1">
        <w:rPr>
          <w:rFonts w:eastAsia="Times New Roman" w:cstheme="minorHAnsi"/>
          <w:color w:val="383838"/>
          <w:sz w:val="22"/>
          <w:szCs w:val="22"/>
        </w:rPr>
        <w:t xml:space="preserve">and </w:t>
      </w:r>
      <w:r w:rsidR="00DE3D5C" w:rsidRPr="004968E1">
        <w:rPr>
          <w:rFonts w:eastAsia="Times New Roman" w:cstheme="minorHAnsi"/>
          <w:color w:val="383838"/>
          <w:sz w:val="22"/>
          <w:szCs w:val="22"/>
        </w:rPr>
        <w:t>Beta (</w:t>
      </w:r>
      <w:r w:rsidR="004361D7" w:rsidRPr="004968E1">
        <w:rPr>
          <w:rFonts w:eastAsia="Times New Roman" w:cstheme="minorHAnsi"/>
          <w:color w:val="383838"/>
          <w:sz w:val="22"/>
          <w:szCs w:val="22"/>
        </w:rPr>
        <w:t xml:space="preserve">B.1.351, </w:t>
      </w:r>
      <w:r w:rsidR="00FB13AB" w:rsidRPr="004968E1">
        <w:rPr>
          <w:rFonts w:eastAsia="Times New Roman" w:cstheme="minorHAnsi"/>
          <w:color w:val="383838"/>
          <w:sz w:val="22"/>
          <w:szCs w:val="22"/>
        </w:rPr>
        <w:t>South Africa</w:t>
      </w:r>
      <w:r w:rsidR="00C9130F" w:rsidRPr="004968E1">
        <w:rPr>
          <w:rFonts w:eastAsia="Times New Roman" w:cstheme="minorHAnsi"/>
          <w:color w:val="383838"/>
          <w:sz w:val="22"/>
          <w:szCs w:val="22"/>
        </w:rPr>
        <w:t>, EC</w:t>
      </w:r>
      <w:r w:rsidR="00C9130F" w:rsidRPr="004968E1">
        <w:rPr>
          <w:rFonts w:eastAsia="Times New Roman" w:cstheme="minorHAnsi"/>
          <w:color w:val="383838"/>
          <w:sz w:val="22"/>
          <w:szCs w:val="22"/>
          <w:vertAlign w:val="subscript"/>
        </w:rPr>
        <w:t>50</w:t>
      </w:r>
      <w:r w:rsidR="00C9130F" w:rsidRPr="004968E1">
        <w:rPr>
          <w:rFonts w:eastAsia="Times New Roman" w:cstheme="minorHAnsi"/>
          <w:color w:val="383838"/>
          <w:sz w:val="22"/>
          <w:szCs w:val="22"/>
        </w:rPr>
        <w:t>=0.25</w:t>
      </w:r>
      <w:r w:rsidR="00682A7F" w:rsidRPr="004968E1">
        <w:rPr>
          <w:rFonts w:eastAsia="Times New Roman" w:cstheme="minorHAnsi"/>
          <w:color w:val="383838"/>
          <w:sz w:val="22"/>
          <w:szCs w:val="22"/>
        </w:rPr>
        <w:t xml:space="preserve">) </w:t>
      </w:r>
      <w:r w:rsidR="00DE3D5C" w:rsidRPr="004968E1">
        <w:rPr>
          <w:rFonts w:eastAsia="Times New Roman" w:cstheme="minorHAnsi"/>
          <w:color w:val="383838"/>
          <w:sz w:val="22"/>
          <w:szCs w:val="22"/>
        </w:rPr>
        <w:t>variants</w:t>
      </w:r>
      <w:r w:rsidR="00BA3F78" w:rsidRPr="004968E1">
        <w:rPr>
          <w:rFonts w:eastAsia="Times New Roman" w:cstheme="minorHAnsi"/>
          <w:color w:val="383838"/>
          <w:sz w:val="22"/>
          <w:szCs w:val="22"/>
        </w:rPr>
        <w:t>. Further studies are ongoing to validate the</w:t>
      </w:r>
      <w:r w:rsidR="00C9130F" w:rsidRPr="004968E1">
        <w:rPr>
          <w:rFonts w:eastAsia="Times New Roman" w:cstheme="minorHAnsi"/>
          <w:color w:val="383838"/>
          <w:sz w:val="22"/>
          <w:szCs w:val="22"/>
        </w:rPr>
        <w:t>se</w:t>
      </w:r>
      <w:r w:rsidR="00BA3F78" w:rsidRPr="004968E1">
        <w:rPr>
          <w:rFonts w:eastAsia="Times New Roman" w:cstheme="minorHAnsi"/>
          <w:color w:val="383838"/>
          <w:sz w:val="22"/>
          <w:szCs w:val="22"/>
        </w:rPr>
        <w:t xml:space="preserve"> early results and to test </w:t>
      </w:r>
      <w:r w:rsidR="00C9130F" w:rsidRPr="004968E1">
        <w:rPr>
          <w:rFonts w:eastAsia="Times New Roman" w:cstheme="minorHAnsi"/>
          <w:color w:val="383838"/>
          <w:sz w:val="22"/>
          <w:szCs w:val="22"/>
        </w:rPr>
        <w:t>AP-003</w:t>
      </w:r>
      <w:r w:rsidR="00BA3F78" w:rsidRPr="004968E1">
        <w:rPr>
          <w:rFonts w:eastAsia="Times New Roman" w:cstheme="minorHAnsi"/>
          <w:color w:val="383838"/>
          <w:sz w:val="22"/>
          <w:szCs w:val="22"/>
        </w:rPr>
        <w:t xml:space="preserve"> activity against </w:t>
      </w:r>
      <w:r w:rsidR="004361D7" w:rsidRPr="004968E1">
        <w:rPr>
          <w:rFonts w:eastAsia="Times New Roman" w:cstheme="minorHAnsi"/>
          <w:color w:val="383838"/>
          <w:sz w:val="22"/>
          <w:szCs w:val="22"/>
        </w:rPr>
        <w:t xml:space="preserve">Gamma </w:t>
      </w:r>
      <w:r w:rsidR="00FB13AB" w:rsidRPr="004968E1">
        <w:rPr>
          <w:rFonts w:eastAsia="Times New Roman" w:cstheme="minorHAnsi"/>
          <w:color w:val="383838"/>
          <w:sz w:val="22"/>
          <w:szCs w:val="22"/>
        </w:rPr>
        <w:t>(</w:t>
      </w:r>
      <w:r w:rsidR="00BA3F78" w:rsidRPr="004968E1">
        <w:rPr>
          <w:rFonts w:eastAsia="Times New Roman" w:cstheme="minorHAnsi"/>
          <w:color w:val="383838"/>
          <w:sz w:val="22"/>
          <w:szCs w:val="22"/>
        </w:rPr>
        <w:t>Brazil</w:t>
      </w:r>
      <w:r w:rsidR="00FB13AB" w:rsidRPr="004968E1">
        <w:rPr>
          <w:rFonts w:eastAsia="Times New Roman" w:cstheme="minorHAnsi"/>
          <w:color w:val="383838"/>
          <w:sz w:val="22"/>
          <w:szCs w:val="22"/>
        </w:rPr>
        <w:t>)</w:t>
      </w:r>
      <w:r w:rsidR="00BA3F78" w:rsidRPr="004968E1">
        <w:rPr>
          <w:rFonts w:eastAsia="Times New Roman" w:cstheme="minorHAnsi"/>
          <w:color w:val="383838"/>
          <w:sz w:val="22"/>
          <w:szCs w:val="22"/>
        </w:rPr>
        <w:t>, Delta (India)</w:t>
      </w:r>
      <w:r w:rsidR="00DE3D5C" w:rsidRPr="004968E1">
        <w:rPr>
          <w:rFonts w:eastAsia="Times New Roman" w:cstheme="minorHAnsi"/>
          <w:color w:val="383838"/>
          <w:sz w:val="22"/>
          <w:szCs w:val="22"/>
        </w:rPr>
        <w:t xml:space="preserve"> and </w:t>
      </w:r>
      <w:r w:rsidR="003A1AEF" w:rsidRPr="004968E1">
        <w:rPr>
          <w:rFonts w:eastAsia="Times New Roman" w:cstheme="minorHAnsi"/>
          <w:color w:val="383838"/>
          <w:sz w:val="22"/>
          <w:szCs w:val="22"/>
        </w:rPr>
        <w:t>Lambda (Peru)</w:t>
      </w:r>
      <w:r w:rsidR="00BA3F78" w:rsidRPr="004968E1">
        <w:rPr>
          <w:rFonts w:eastAsia="Times New Roman" w:cstheme="minorHAnsi"/>
          <w:color w:val="383838"/>
          <w:sz w:val="22"/>
          <w:szCs w:val="22"/>
        </w:rPr>
        <w:t xml:space="preserve"> variants. </w:t>
      </w:r>
    </w:p>
    <w:p w14:paraId="23F35183" w14:textId="786433E1" w:rsidR="000B530D" w:rsidRPr="004968E1" w:rsidRDefault="000B530D" w:rsidP="004968E1">
      <w:pPr>
        <w:spacing w:line="247" w:lineRule="auto"/>
        <w:jc w:val="both"/>
        <w:rPr>
          <w:rFonts w:eastAsia="Times New Roman" w:cstheme="minorHAnsi"/>
          <w:color w:val="383838"/>
          <w:sz w:val="22"/>
          <w:szCs w:val="22"/>
        </w:rPr>
      </w:pPr>
    </w:p>
    <w:p w14:paraId="727F4107" w14:textId="1B555399" w:rsidR="002F3AFA" w:rsidRPr="004968E1" w:rsidRDefault="002F3AFA"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The rhIFN</w:t>
      </w:r>
      <w:r w:rsidRPr="004968E1">
        <w:rPr>
          <w:rFonts w:ascii="Cambria Math" w:eastAsia="Times New Roman" w:hAnsi="Cambria Math" w:cs="Cambria Math"/>
          <w:color w:val="383838"/>
          <w:sz w:val="22"/>
          <w:szCs w:val="22"/>
        </w:rPr>
        <w:t>⍺</w:t>
      </w:r>
      <w:r w:rsidRPr="004968E1">
        <w:rPr>
          <w:rFonts w:eastAsia="Times New Roman" w:cstheme="minorHAnsi"/>
          <w:color w:val="383838"/>
          <w:sz w:val="22"/>
          <w:szCs w:val="22"/>
        </w:rPr>
        <w:t>2b, a Type I interferon, is a naturally occurring protein integral to the body’s first line of anti-viral defenses. There is evidence that coronaviruses, such as COVID-19, have mechanisms which suppress IFN</w:t>
      </w:r>
      <w:r w:rsidRPr="004968E1">
        <w:rPr>
          <w:rFonts w:ascii="Cambria Math" w:eastAsia="Times New Roman" w:hAnsi="Cambria Math" w:cs="Cambria Math"/>
          <w:color w:val="383838"/>
          <w:sz w:val="22"/>
          <w:szCs w:val="22"/>
        </w:rPr>
        <w:t>⍺</w:t>
      </w:r>
      <w:r w:rsidRPr="004968E1">
        <w:rPr>
          <w:rFonts w:eastAsia="Times New Roman" w:cstheme="minorHAnsi"/>
          <w:color w:val="383838"/>
          <w:sz w:val="22"/>
          <w:szCs w:val="22"/>
        </w:rPr>
        <w:t>2b production, allowing the virus to evade the innate immune system and replicate unabated. Multiple clinical analyses show a significant link between deficiency in Type 1 interferon and development of severe COVID-19 disease. There is also accumulating evidence from preclinical studies that coronavirus replication is blocked by the addition of exogenous IFN</w:t>
      </w:r>
      <w:r w:rsidRPr="004968E1">
        <w:rPr>
          <w:rFonts w:ascii="Cambria Math" w:eastAsia="Times New Roman" w:hAnsi="Cambria Math" w:cs="Cambria Math"/>
          <w:color w:val="383838"/>
          <w:sz w:val="22"/>
          <w:szCs w:val="22"/>
        </w:rPr>
        <w:t>⍺</w:t>
      </w:r>
      <w:r w:rsidRPr="004968E1">
        <w:rPr>
          <w:rFonts w:eastAsia="Times New Roman" w:cstheme="minorHAnsi"/>
          <w:color w:val="383838"/>
          <w:sz w:val="22"/>
          <w:szCs w:val="22"/>
        </w:rPr>
        <w:t>2b, thereby allowing cells to restore their normal anti-viral activity. An exploratory study in Wuhan, China, in COVID-19 patients, showed that patients treated with inhaled rhIFN</w:t>
      </w:r>
      <w:r w:rsidRPr="004968E1">
        <w:rPr>
          <w:rFonts w:ascii="Cambria Math" w:eastAsia="Times New Roman" w:hAnsi="Cambria Math" w:cs="Cambria Math"/>
          <w:color w:val="383838"/>
          <w:sz w:val="22"/>
          <w:szCs w:val="22"/>
        </w:rPr>
        <w:t>⍺</w:t>
      </w:r>
      <w:r w:rsidRPr="004968E1">
        <w:rPr>
          <w:rFonts w:eastAsia="Times New Roman" w:cstheme="minorHAnsi"/>
          <w:color w:val="383838"/>
          <w:sz w:val="22"/>
          <w:szCs w:val="22"/>
        </w:rPr>
        <w:t>2b had a more rapid rate of viral clearance than patients in the comparator arm who did not receive inhaled rhIFN</w:t>
      </w:r>
      <w:r w:rsidRPr="004968E1">
        <w:rPr>
          <w:rFonts w:ascii="Cambria Math" w:eastAsia="Times New Roman" w:hAnsi="Cambria Math" w:cs="Cambria Math"/>
          <w:color w:val="383838"/>
          <w:sz w:val="22"/>
          <w:szCs w:val="22"/>
        </w:rPr>
        <w:t>⍺</w:t>
      </w:r>
      <w:r w:rsidRPr="004968E1">
        <w:rPr>
          <w:rFonts w:eastAsia="Times New Roman" w:cstheme="minorHAnsi"/>
          <w:color w:val="383838"/>
          <w:sz w:val="22"/>
          <w:szCs w:val="22"/>
        </w:rPr>
        <w:t>2b.</w:t>
      </w:r>
    </w:p>
    <w:p w14:paraId="03178A8C" w14:textId="77777777" w:rsidR="002F3AFA" w:rsidRPr="004968E1" w:rsidRDefault="002F3AFA" w:rsidP="004968E1">
      <w:pPr>
        <w:spacing w:line="247" w:lineRule="auto"/>
        <w:jc w:val="both"/>
        <w:rPr>
          <w:rFonts w:eastAsia="Times New Roman" w:cstheme="minorHAnsi"/>
          <w:color w:val="383838"/>
          <w:sz w:val="22"/>
          <w:szCs w:val="22"/>
        </w:rPr>
      </w:pPr>
    </w:p>
    <w:p w14:paraId="05EE2320" w14:textId="28257343" w:rsidR="002E109B" w:rsidRPr="004968E1" w:rsidRDefault="00857DB7"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 xml:space="preserve">Ahmad Doroudian, CEO of </w:t>
      </w:r>
      <w:proofErr w:type="spellStart"/>
      <w:r w:rsidRPr="004968E1">
        <w:rPr>
          <w:rFonts w:eastAsia="Times New Roman" w:cstheme="minorHAnsi"/>
          <w:color w:val="383838"/>
          <w:sz w:val="22"/>
          <w:szCs w:val="22"/>
        </w:rPr>
        <w:t>BetterLife</w:t>
      </w:r>
      <w:proofErr w:type="spellEnd"/>
      <w:r w:rsidRPr="004968E1">
        <w:rPr>
          <w:rFonts w:eastAsia="Times New Roman" w:cstheme="minorHAnsi"/>
          <w:color w:val="383838"/>
          <w:sz w:val="22"/>
          <w:szCs w:val="22"/>
        </w:rPr>
        <w:t xml:space="preserve">, said, </w:t>
      </w:r>
      <w:r w:rsidR="002C0CAB" w:rsidRPr="004968E1">
        <w:rPr>
          <w:rFonts w:eastAsia="Times New Roman" w:cstheme="minorHAnsi"/>
          <w:color w:val="383838"/>
          <w:sz w:val="22"/>
          <w:szCs w:val="22"/>
        </w:rPr>
        <w:t>“</w:t>
      </w:r>
      <w:r w:rsidR="006A3E17" w:rsidRPr="004968E1">
        <w:rPr>
          <w:rFonts w:eastAsia="Times New Roman" w:cstheme="minorHAnsi"/>
          <w:color w:val="383838"/>
          <w:sz w:val="22"/>
          <w:szCs w:val="22"/>
        </w:rPr>
        <w:t xml:space="preserve">COVID-19 is very much still a threat to the global population and its </w:t>
      </w:r>
      <w:r w:rsidR="000D730F" w:rsidRPr="004968E1">
        <w:rPr>
          <w:rFonts w:eastAsia="Times New Roman" w:cstheme="minorHAnsi"/>
          <w:color w:val="383838"/>
          <w:sz w:val="22"/>
          <w:szCs w:val="22"/>
        </w:rPr>
        <w:t xml:space="preserve">variants </w:t>
      </w:r>
      <w:r w:rsidR="006A3E17" w:rsidRPr="004968E1">
        <w:rPr>
          <w:rFonts w:eastAsia="Times New Roman" w:cstheme="minorHAnsi"/>
          <w:color w:val="383838"/>
          <w:sz w:val="22"/>
          <w:szCs w:val="22"/>
        </w:rPr>
        <w:t>are</w:t>
      </w:r>
      <w:r w:rsidR="002C0CAB" w:rsidRPr="004968E1">
        <w:rPr>
          <w:rFonts w:eastAsia="Times New Roman" w:cstheme="minorHAnsi"/>
          <w:color w:val="383838"/>
          <w:sz w:val="22"/>
          <w:szCs w:val="22"/>
        </w:rPr>
        <w:t xml:space="preserve"> </w:t>
      </w:r>
      <w:r w:rsidR="00D520FC" w:rsidRPr="004968E1">
        <w:rPr>
          <w:rFonts w:eastAsia="Times New Roman" w:cstheme="minorHAnsi"/>
          <w:color w:val="383838"/>
          <w:sz w:val="22"/>
          <w:szCs w:val="22"/>
        </w:rPr>
        <w:t>a key challenge</w:t>
      </w:r>
      <w:r w:rsidR="002C0CAB" w:rsidRPr="004968E1">
        <w:rPr>
          <w:rFonts w:eastAsia="Times New Roman" w:cstheme="minorHAnsi"/>
          <w:color w:val="383838"/>
          <w:sz w:val="22"/>
          <w:szCs w:val="22"/>
        </w:rPr>
        <w:t xml:space="preserve"> when developing therapeutics</w:t>
      </w:r>
      <w:r w:rsidR="006A3E17" w:rsidRPr="004968E1">
        <w:rPr>
          <w:rFonts w:eastAsia="Times New Roman" w:cstheme="minorHAnsi"/>
          <w:color w:val="383838"/>
          <w:sz w:val="22"/>
          <w:szCs w:val="22"/>
        </w:rPr>
        <w:t xml:space="preserve"> to protect </w:t>
      </w:r>
      <w:r w:rsidR="002C0CAB" w:rsidRPr="004968E1">
        <w:rPr>
          <w:rFonts w:eastAsia="Times New Roman" w:cstheme="minorHAnsi"/>
          <w:color w:val="383838"/>
          <w:sz w:val="22"/>
          <w:szCs w:val="22"/>
        </w:rPr>
        <w:t xml:space="preserve">against </w:t>
      </w:r>
      <w:r w:rsidR="002F3AFA" w:rsidRPr="004968E1">
        <w:rPr>
          <w:rFonts w:eastAsia="Times New Roman" w:cstheme="minorHAnsi"/>
          <w:color w:val="383838"/>
          <w:sz w:val="22"/>
          <w:szCs w:val="22"/>
        </w:rPr>
        <w:t>it</w:t>
      </w:r>
      <w:r w:rsidR="00A244A1" w:rsidRPr="004968E1">
        <w:rPr>
          <w:rFonts w:eastAsia="Times New Roman" w:cstheme="minorHAnsi"/>
          <w:color w:val="383838"/>
          <w:sz w:val="22"/>
          <w:szCs w:val="22"/>
        </w:rPr>
        <w:t>.</w:t>
      </w:r>
      <w:r w:rsidR="003C1095" w:rsidRPr="004968E1">
        <w:rPr>
          <w:rFonts w:eastAsia="Times New Roman" w:cstheme="minorHAnsi"/>
          <w:color w:val="383838"/>
          <w:sz w:val="22"/>
          <w:szCs w:val="22"/>
        </w:rPr>
        <w:t xml:space="preserve"> T</w:t>
      </w:r>
      <w:r w:rsidR="002C0CAB" w:rsidRPr="004968E1">
        <w:rPr>
          <w:rFonts w:eastAsia="Times New Roman" w:cstheme="minorHAnsi"/>
          <w:color w:val="383838"/>
          <w:sz w:val="22"/>
          <w:szCs w:val="22"/>
        </w:rPr>
        <w:t xml:space="preserve">he </w:t>
      </w:r>
      <w:r w:rsidR="000D730F" w:rsidRPr="004968E1">
        <w:rPr>
          <w:rFonts w:eastAsia="Times New Roman" w:cstheme="minorHAnsi"/>
          <w:color w:val="383838"/>
          <w:sz w:val="22"/>
          <w:szCs w:val="22"/>
        </w:rPr>
        <w:t xml:space="preserve">broad </w:t>
      </w:r>
      <w:r w:rsidR="002C0CAB" w:rsidRPr="004968E1">
        <w:rPr>
          <w:rFonts w:eastAsia="Times New Roman" w:cstheme="minorHAnsi"/>
          <w:color w:val="383838"/>
          <w:sz w:val="22"/>
          <w:szCs w:val="22"/>
        </w:rPr>
        <w:t xml:space="preserve">mechanism of action of </w:t>
      </w:r>
      <w:r w:rsidR="002E109B" w:rsidRPr="004968E1">
        <w:rPr>
          <w:rFonts w:eastAsia="Times New Roman" w:cstheme="minorHAnsi"/>
          <w:color w:val="383838"/>
          <w:sz w:val="22"/>
          <w:szCs w:val="22"/>
        </w:rPr>
        <w:t xml:space="preserve">interferon </w:t>
      </w:r>
      <w:r w:rsidR="002C0CAB" w:rsidRPr="004968E1">
        <w:rPr>
          <w:rFonts w:eastAsia="Times New Roman" w:cstheme="minorHAnsi"/>
          <w:color w:val="383838"/>
          <w:sz w:val="22"/>
          <w:szCs w:val="22"/>
        </w:rPr>
        <w:t>is such that</w:t>
      </w:r>
      <w:r w:rsidR="002F3AFA" w:rsidRPr="004968E1">
        <w:rPr>
          <w:rFonts w:eastAsia="Times New Roman" w:cstheme="minorHAnsi"/>
          <w:color w:val="383838"/>
          <w:sz w:val="22"/>
          <w:szCs w:val="22"/>
        </w:rPr>
        <w:t xml:space="preserve"> our</w:t>
      </w:r>
      <w:r w:rsidR="002C0CAB" w:rsidRPr="004968E1">
        <w:rPr>
          <w:rFonts w:eastAsia="Times New Roman" w:cstheme="minorHAnsi"/>
          <w:color w:val="383838"/>
          <w:sz w:val="22"/>
          <w:szCs w:val="22"/>
        </w:rPr>
        <w:t xml:space="preserve"> scientists </w:t>
      </w:r>
      <w:r w:rsidRPr="004968E1">
        <w:rPr>
          <w:rFonts w:eastAsia="Times New Roman" w:cstheme="minorHAnsi"/>
          <w:color w:val="383838"/>
          <w:sz w:val="22"/>
          <w:szCs w:val="22"/>
        </w:rPr>
        <w:t xml:space="preserve">hypothesized </w:t>
      </w:r>
      <w:r w:rsidR="002C0CAB" w:rsidRPr="004968E1">
        <w:rPr>
          <w:rFonts w:eastAsia="Times New Roman" w:cstheme="minorHAnsi"/>
          <w:color w:val="383838"/>
          <w:sz w:val="22"/>
          <w:szCs w:val="22"/>
        </w:rPr>
        <w:t xml:space="preserve">it </w:t>
      </w:r>
      <w:r w:rsidRPr="004968E1">
        <w:rPr>
          <w:rFonts w:eastAsia="Times New Roman" w:cstheme="minorHAnsi"/>
          <w:color w:val="383838"/>
          <w:sz w:val="22"/>
          <w:szCs w:val="22"/>
        </w:rPr>
        <w:t>could</w:t>
      </w:r>
      <w:r w:rsidR="002C0CAB" w:rsidRPr="004968E1">
        <w:rPr>
          <w:rFonts w:eastAsia="Times New Roman" w:cstheme="minorHAnsi"/>
          <w:color w:val="383838"/>
          <w:sz w:val="22"/>
          <w:szCs w:val="22"/>
        </w:rPr>
        <w:t xml:space="preserve"> be equally effective against different variants. We are very pleased to see </w:t>
      </w:r>
      <w:r w:rsidR="00933573" w:rsidRPr="004968E1">
        <w:rPr>
          <w:rFonts w:eastAsia="Times New Roman" w:cstheme="minorHAnsi"/>
          <w:color w:val="383838"/>
          <w:sz w:val="22"/>
          <w:szCs w:val="22"/>
        </w:rPr>
        <w:t xml:space="preserve">that </w:t>
      </w:r>
      <w:r w:rsidR="002C0CAB" w:rsidRPr="004968E1">
        <w:rPr>
          <w:rFonts w:eastAsia="Times New Roman" w:cstheme="minorHAnsi"/>
          <w:color w:val="383838"/>
          <w:sz w:val="22"/>
          <w:szCs w:val="22"/>
        </w:rPr>
        <w:t>early preclinical data confirm</w:t>
      </w:r>
      <w:r w:rsidR="0031067C" w:rsidRPr="004968E1">
        <w:rPr>
          <w:rFonts w:eastAsia="Times New Roman" w:cstheme="minorHAnsi"/>
          <w:color w:val="383838"/>
          <w:sz w:val="22"/>
          <w:szCs w:val="22"/>
        </w:rPr>
        <w:t>s</w:t>
      </w:r>
      <w:r w:rsidR="002C0CAB" w:rsidRPr="004968E1">
        <w:rPr>
          <w:rFonts w:eastAsia="Times New Roman" w:cstheme="minorHAnsi"/>
          <w:color w:val="383838"/>
          <w:sz w:val="22"/>
          <w:szCs w:val="22"/>
        </w:rPr>
        <w:t xml:space="preserve"> this</w:t>
      </w:r>
      <w:r w:rsidR="002E109B" w:rsidRPr="004968E1">
        <w:rPr>
          <w:rFonts w:eastAsia="Times New Roman" w:cstheme="minorHAnsi"/>
          <w:color w:val="383838"/>
          <w:sz w:val="22"/>
          <w:szCs w:val="22"/>
        </w:rPr>
        <w:t xml:space="preserve"> as this takes us one step closer to the potential result of reducing overall hospitalization rate, long-term tissue damage and death by reducing the overall severity of the disease.</w:t>
      </w:r>
      <w:r w:rsidR="004968E1">
        <w:rPr>
          <w:rFonts w:eastAsia="Times New Roman" w:cstheme="minorHAnsi"/>
          <w:color w:val="383838"/>
          <w:sz w:val="22"/>
          <w:szCs w:val="22"/>
        </w:rPr>
        <w:t>”</w:t>
      </w:r>
    </w:p>
    <w:p w14:paraId="1DD15839" w14:textId="77777777" w:rsidR="002E109B" w:rsidRPr="004968E1" w:rsidRDefault="002E109B" w:rsidP="004968E1">
      <w:pPr>
        <w:spacing w:line="247" w:lineRule="auto"/>
        <w:jc w:val="both"/>
        <w:rPr>
          <w:rFonts w:eastAsia="Times New Roman" w:cstheme="minorHAnsi"/>
          <w:color w:val="383838"/>
          <w:sz w:val="22"/>
          <w:szCs w:val="22"/>
        </w:rPr>
      </w:pPr>
    </w:p>
    <w:p w14:paraId="46A36F11" w14:textId="4855A655" w:rsidR="002C0CAB" w:rsidRPr="004968E1" w:rsidRDefault="002E109B"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w:t>
      </w:r>
      <w:proofErr w:type="spellStart"/>
      <w:r w:rsidR="0031067C" w:rsidRPr="004968E1">
        <w:rPr>
          <w:rFonts w:eastAsia="Times New Roman" w:cstheme="minorHAnsi"/>
          <w:color w:val="383838"/>
          <w:sz w:val="22"/>
          <w:szCs w:val="22"/>
        </w:rPr>
        <w:t>BetterLife</w:t>
      </w:r>
      <w:proofErr w:type="spellEnd"/>
      <w:r w:rsidR="0031067C" w:rsidRPr="004968E1">
        <w:rPr>
          <w:rFonts w:eastAsia="Times New Roman" w:cstheme="minorHAnsi"/>
          <w:color w:val="383838"/>
          <w:sz w:val="22"/>
          <w:szCs w:val="22"/>
        </w:rPr>
        <w:t xml:space="preserve"> will </w:t>
      </w:r>
      <w:r w:rsidR="00C00823" w:rsidRPr="004968E1">
        <w:rPr>
          <w:rFonts w:eastAsia="Times New Roman" w:cstheme="minorHAnsi"/>
          <w:color w:val="383838"/>
          <w:sz w:val="22"/>
          <w:szCs w:val="22"/>
        </w:rPr>
        <w:t xml:space="preserve">continue to </w:t>
      </w:r>
      <w:r w:rsidR="0031067C" w:rsidRPr="004968E1">
        <w:rPr>
          <w:rFonts w:eastAsia="Times New Roman" w:cstheme="minorHAnsi"/>
          <w:color w:val="383838"/>
          <w:sz w:val="22"/>
          <w:szCs w:val="22"/>
        </w:rPr>
        <w:t xml:space="preserve">work to </w:t>
      </w:r>
      <w:r w:rsidR="002C0CAB" w:rsidRPr="004968E1">
        <w:rPr>
          <w:rFonts w:eastAsia="Times New Roman" w:cstheme="minorHAnsi"/>
          <w:color w:val="383838"/>
          <w:sz w:val="22"/>
          <w:szCs w:val="22"/>
        </w:rPr>
        <w:t>extend th</w:t>
      </w:r>
      <w:r w:rsidR="00A244A1" w:rsidRPr="004968E1">
        <w:rPr>
          <w:rFonts w:eastAsia="Times New Roman" w:cstheme="minorHAnsi"/>
          <w:color w:val="383838"/>
          <w:sz w:val="22"/>
          <w:szCs w:val="22"/>
        </w:rPr>
        <w:t>e</w:t>
      </w:r>
      <w:r w:rsidR="002C0CAB" w:rsidRPr="004968E1">
        <w:rPr>
          <w:rFonts w:eastAsia="Times New Roman" w:cstheme="minorHAnsi"/>
          <w:color w:val="383838"/>
          <w:sz w:val="22"/>
          <w:szCs w:val="22"/>
        </w:rPr>
        <w:t xml:space="preserve"> </w:t>
      </w:r>
      <w:r w:rsidR="000D730F" w:rsidRPr="004968E1">
        <w:rPr>
          <w:rFonts w:eastAsia="Times New Roman" w:cstheme="minorHAnsi"/>
          <w:color w:val="383838"/>
          <w:sz w:val="22"/>
          <w:szCs w:val="22"/>
        </w:rPr>
        <w:t>broad</w:t>
      </w:r>
      <w:r w:rsidR="00D520FC" w:rsidRPr="004968E1">
        <w:rPr>
          <w:rFonts w:eastAsia="Times New Roman" w:cstheme="minorHAnsi"/>
          <w:color w:val="383838"/>
          <w:sz w:val="22"/>
          <w:szCs w:val="22"/>
        </w:rPr>
        <w:t xml:space="preserve"> acting anti-viral efficacy of </w:t>
      </w:r>
      <w:r w:rsidR="00C9130F" w:rsidRPr="004968E1">
        <w:rPr>
          <w:rFonts w:eastAsia="Times New Roman" w:cstheme="minorHAnsi"/>
          <w:color w:val="383838"/>
          <w:sz w:val="22"/>
          <w:szCs w:val="22"/>
        </w:rPr>
        <w:t xml:space="preserve">AP-003 </w:t>
      </w:r>
      <w:r w:rsidR="002C0CAB" w:rsidRPr="004968E1">
        <w:rPr>
          <w:rFonts w:eastAsia="Times New Roman" w:cstheme="minorHAnsi"/>
          <w:color w:val="383838"/>
          <w:sz w:val="22"/>
          <w:szCs w:val="22"/>
        </w:rPr>
        <w:t xml:space="preserve">to </w:t>
      </w:r>
      <w:r w:rsidR="00D520FC" w:rsidRPr="004968E1">
        <w:rPr>
          <w:rFonts w:eastAsia="Times New Roman" w:cstheme="minorHAnsi"/>
          <w:color w:val="383838"/>
          <w:sz w:val="22"/>
          <w:szCs w:val="22"/>
        </w:rPr>
        <w:t xml:space="preserve">other emerging </w:t>
      </w:r>
      <w:r w:rsidR="0022687E" w:rsidRPr="004968E1">
        <w:rPr>
          <w:rFonts w:eastAsia="Times New Roman" w:cstheme="minorHAnsi"/>
          <w:color w:val="383838"/>
          <w:sz w:val="22"/>
          <w:szCs w:val="22"/>
        </w:rPr>
        <w:t>COVID-19</w:t>
      </w:r>
      <w:r w:rsidR="00D520FC" w:rsidRPr="004968E1">
        <w:rPr>
          <w:rFonts w:eastAsia="Times New Roman" w:cstheme="minorHAnsi"/>
          <w:color w:val="383838"/>
          <w:sz w:val="22"/>
          <w:szCs w:val="22"/>
        </w:rPr>
        <w:t xml:space="preserve"> variants</w:t>
      </w:r>
      <w:r w:rsidR="0031067C" w:rsidRPr="004968E1">
        <w:rPr>
          <w:rFonts w:eastAsia="Times New Roman" w:cstheme="minorHAnsi"/>
          <w:color w:val="383838"/>
          <w:sz w:val="22"/>
          <w:szCs w:val="22"/>
        </w:rPr>
        <w:t xml:space="preserve"> while </w:t>
      </w:r>
      <w:r w:rsidR="005F0628" w:rsidRPr="004968E1">
        <w:rPr>
          <w:rFonts w:eastAsia="Times New Roman" w:cstheme="minorHAnsi"/>
          <w:color w:val="383838"/>
          <w:sz w:val="22"/>
          <w:szCs w:val="22"/>
        </w:rPr>
        <w:t xml:space="preserve">simultaneously </w:t>
      </w:r>
      <w:r w:rsidR="0031067C" w:rsidRPr="004968E1">
        <w:rPr>
          <w:rFonts w:eastAsia="Times New Roman" w:cstheme="minorHAnsi"/>
          <w:color w:val="383838"/>
          <w:sz w:val="22"/>
          <w:szCs w:val="22"/>
        </w:rPr>
        <w:t>seek</w:t>
      </w:r>
      <w:r w:rsidR="005F0628" w:rsidRPr="004968E1">
        <w:rPr>
          <w:rFonts w:eastAsia="Times New Roman" w:cstheme="minorHAnsi"/>
          <w:color w:val="383838"/>
          <w:sz w:val="22"/>
          <w:szCs w:val="22"/>
        </w:rPr>
        <w:t>ing</w:t>
      </w:r>
      <w:r w:rsidR="0031067C" w:rsidRPr="004968E1">
        <w:rPr>
          <w:rFonts w:eastAsia="Times New Roman" w:cstheme="minorHAnsi"/>
          <w:color w:val="383838"/>
          <w:sz w:val="22"/>
          <w:szCs w:val="22"/>
        </w:rPr>
        <w:t xml:space="preserve"> strategic partners</w:t>
      </w:r>
      <w:r w:rsidR="005F0628" w:rsidRPr="004968E1">
        <w:rPr>
          <w:rFonts w:eastAsia="Times New Roman" w:cstheme="minorHAnsi"/>
          <w:color w:val="383838"/>
          <w:sz w:val="22"/>
          <w:szCs w:val="22"/>
        </w:rPr>
        <w:t xml:space="preserve"> that </w:t>
      </w:r>
      <w:r w:rsidR="00C00823" w:rsidRPr="004968E1">
        <w:rPr>
          <w:rFonts w:eastAsia="Times New Roman" w:cstheme="minorHAnsi"/>
          <w:color w:val="383838"/>
          <w:sz w:val="22"/>
          <w:szCs w:val="22"/>
        </w:rPr>
        <w:t>can push forward</w:t>
      </w:r>
      <w:r w:rsidR="0031067C" w:rsidRPr="004968E1">
        <w:rPr>
          <w:rFonts w:eastAsia="Times New Roman" w:cstheme="minorHAnsi"/>
          <w:color w:val="383838"/>
          <w:sz w:val="22"/>
          <w:szCs w:val="22"/>
        </w:rPr>
        <w:t xml:space="preserve"> the development of this promising treatment</w:t>
      </w:r>
      <w:r w:rsidR="00D520FC" w:rsidRPr="004968E1">
        <w:rPr>
          <w:rFonts w:eastAsia="Times New Roman" w:cstheme="minorHAnsi"/>
          <w:color w:val="383838"/>
          <w:sz w:val="22"/>
          <w:szCs w:val="22"/>
        </w:rPr>
        <w:t>.”</w:t>
      </w:r>
    </w:p>
    <w:p w14:paraId="78A4D734" w14:textId="7400F34A" w:rsidR="00D520FC" w:rsidRPr="004968E1" w:rsidRDefault="00D520FC" w:rsidP="004968E1">
      <w:pPr>
        <w:spacing w:line="247" w:lineRule="auto"/>
        <w:jc w:val="both"/>
        <w:rPr>
          <w:rFonts w:eastAsia="Times New Roman" w:cstheme="minorHAnsi"/>
          <w:color w:val="383838"/>
          <w:sz w:val="22"/>
          <w:szCs w:val="22"/>
        </w:rPr>
      </w:pPr>
    </w:p>
    <w:p w14:paraId="29A1750E" w14:textId="3D2047E7" w:rsidR="00825368" w:rsidRDefault="00825368"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lastRenderedPageBreak/>
        <w:t xml:space="preserve">Separately, </w:t>
      </w:r>
      <w:proofErr w:type="spellStart"/>
      <w:r w:rsidRPr="004968E1">
        <w:rPr>
          <w:rFonts w:eastAsia="Times New Roman" w:cstheme="minorHAnsi"/>
          <w:color w:val="383838"/>
          <w:sz w:val="22"/>
          <w:szCs w:val="22"/>
        </w:rPr>
        <w:t>BetterLife</w:t>
      </w:r>
      <w:proofErr w:type="spellEnd"/>
      <w:r w:rsidRPr="004968E1">
        <w:rPr>
          <w:rFonts w:eastAsia="Times New Roman" w:cstheme="minorHAnsi"/>
          <w:color w:val="383838"/>
          <w:sz w:val="22"/>
          <w:szCs w:val="22"/>
        </w:rPr>
        <w:t xml:space="preserve"> has entered into a clinical research agreement with the Pontificia Universidad </w:t>
      </w:r>
      <w:proofErr w:type="spellStart"/>
      <w:r w:rsidRPr="004968E1">
        <w:rPr>
          <w:rFonts w:eastAsia="Times New Roman" w:cstheme="minorHAnsi"/>
          <w:color w:val="383838"/>
          <w:sz w:val="22"/>
          <w:szCs w:val="22"/>
        </w:rPr>
        <w:t>Católica</w:t>
      </w:r>
      <w:proofErr w:type="spellEnd"/>
      <w:r w:rsidRPr="004968E1">
        <w:rPr>
          <w:rFonts w:eastAsia="Times New Roman" w:cstheme="minorHAnsi"/>
          <w:color w:val="383838"/>
          <w:sz w:val="22"/>
          <w:szCs w:val="22"/>
        </w:rPr>
        <w:t xml:space="preserve"> de Chile to conduct a randomized placebo-controlled trial in COVID-19 patients to test the Company’s proprietary inhaled AP-003. </w:t>
      </w:r>
    </w:p>
    <w:p w14:paraId="1A734E26" w14:textId="5489CA7D" w:rsidR="00B06CC8" w:rsidRDefault="00B06CC8" w:rsidP="004968E1">
      <w:pPr>
        <w:spacing w:line="247" w:lineRule="auto"/>
        <w:jc w:val="both"/>
        <w:rPr>
          <w:rFonts w:eastAsia="Times New Roman" w:cstheme="minorHAnsi"/>
          <w:color w:val="383838"/>
          <w:sz w:val="22"/>
          <w:szCs w:val="22"/>
        </w:rPr>
      </w:pPr>
    </w:p>
    <w:p w14:paraId="452A1093" w14:textId="57713FB5" w:rsidR="00B06CC8" w:rsidRPr="004968E1" w:rsidRDefault="00B06CC8" w:rsidP="004968E1">
      <w:pPr>
        <w:spacing w:line="247" w:lineRule="auto"/>
        <w:jc w:val="both"/>
        <w:rPr>
          <w:rFonts w:eastAsia="Times New Roman" w:cstheme="minorHAnsi"/>
          <w:color w:val="383838"/>
          <w:sz w:val="22"/>
          <w:szCs w:val="22"/>
        </w:rPr>
      </w:pPr>
      <w:r w:rsidRPr="00B06CC8">
        <w:rPr>
          <w:rFonts w:eastAsia="Times New Roman" w:cstheme="minorHAnsi"/>
          <w:color w:val="383838"/>
          <w:sz w:val="22"/>
          <w:szCs w:val="22"/>
        </w:rPr>
        <w:t xml:space="preserve">Dr. Ahmad Doroudian shared additional information in an interview with Proactive Investors which can be viewed at: </w:t>
      </w:r>
      <w:hyperlink r:id="rId14" w:history="1">
        <w:r w:rsidRPr="002D66F8">
          <w:rPr>
            <w:rStyle w:val="Hyperlink"/>
            <w:rFonts w:eastAsia="Times New Roman" w:cstheme="minorHAnsi"/>
            <w:sz w:val="22"/>
            <w:szCs w:val="22"/>
          </w:rPr>
          <w:t>https://youtu.be/FKJuHmrH9cI</w:t>
        </w:r>
      </w:hyperlink>
      <w:r>
        <w:rPr>
          <w:rFonts w:eastAsia="Times New Roman" w:cstheme="minorHAnsi"/>
          <w:color w:val="383838"/>
          <w:sz w:val="22"/>
          <w:szCs w:val="22"/>
        </w:rPr>
        <w:t xml:space="preserve">. </w:t>
      </w:r>
    </w:p>
    <w:p w14:paraId="6382643A" w14:textId="77777777" w:rsidR="00825368" w:rsidRPr="004968E1" w:rsidRDefault="00825368" w:rsidP="004968E1">
      <w:pPr>
        <w:spacing w:line="247" w:lineRule="auto"/>
        <w:jc w:val="both"/>
        <w:rPr>
          <w:rFonts w:eastAsia="Times New Roman" w:cstheme="minorHAnsi"/>
          <w:color w:val="383838"/>
          <w:sz w:val="22"/>
          <w:szCs w:val="22"/>
        </w:rPr>
      </w:pPr>
    </w:p>
    <w:p w14:paraId="53D6750F" w14:textId="77777777" w:rsidR="004968E1" w:rsidRDefault="004968E1" w:rsidP="004968E1">
      <w:pPr>
        <w:spacing w:line="247" w:lineRule="auto"/>
        <w:jc w:val="both"/>
        <w:rPr>
          <w:rFonts w:eastAsia="Times New Roman" w:cstheme="minorHAnsi"/>
          <w:b/>
          <w:bCs/>
          <w:color w:val="383838"/>
          <w:sz w:val="22"/>
          <w:szCs w:val="22"/>
        </w:rPr>
      </w:pPr>
    </w:p>
    <w:p w14:paraId="10C061AF" w14:textId="2D4F3CA6" w:rsidR="000B530D" w:rsidRPr="004968E1" w:rsidRDefault="00231C8C" w:rsidP="004968E1">
      <w:pPr>
        <w:spacing w:line="247" w:lineRule="auto"/>
        <w:jc w:val="both"/>
        <w:rPr>
          <w:rFonts w:eastAsia="Times New Roman" w:cstheme="minorHAnsi"/>
          <w:b/>
          <w:bCs/>
          <w:color w:val="383838"/>
          <w:sz w:val="22"/>
          <w:szCs w:val="22"/>
        </w:rPr>
      </w:pPr>
      <w:r w:rsidRPr="004968E1">
        <w:rPr>
          <w:rFonts w:eastAsia="Times New Roman" w:cstheme="minorHAnsi"/>
          <w:b/>
          <w:bCs/>
          <w:color w:val="383838"/>
          <w:sz w:val="22"/>
          <w:szCs w:val="22"/>
        </w:rPr>
        <w:t xml:space="preserve">About </w:t>
      </w:r>
      <w:proofErr w:type="spellStart"/>
      <w:r w:rsidRPr="004968E1">
        <w:rPr>
          <w:rFonts w:eastAsia="Times New Roman" w:cstheme="minorHAnsi"/>
          <w:b/>
          <w:bCs/>
          <w:color w:val="383838"/>
          <w:sz w:val="22"/>
          <w:szCs w:val="22"/>
        </w:rPr>
        <w:t>BetterLife</w:t>
      </w:r>
      <w:proofErr w:type="spellEnd"/>
      <w:r w:rsidRPr="004968E1">
        <w:rPr>
          <w:rFonts w:eastAsia="Times New Roman" w:cstheme="minorHAnsi"/>
          <w:b/>
          <w:bCs/>
          <w:color w:val="383838"/>
          <w:sz w:val="22"/>
          <w:szCs w:val="22"/>
        </w:rPr>
        <w:t xml:space="preserve"> Pharma</w:t>
      </w:r>
    </w:p>
    <w:p w14:paraId="3B094569" w14:textId="77777777" w:rsidR="004968E1" w:rsidRDefault="004968E1" w:rsidP="004968E1">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257EF550" w14:textId="6DB88DCE" w:rsidR="00FB2C0D" w:rsidRDefault="00FB2C0D" w:rsidP="004968E1">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roofErr w:type="spellStart"/>
      <w:r w:rsidRPr="004968E1">
        <w:rPr>
          <w:rFonts w:asciiTheme="minorHAnsi" w:hAnsiTheme="minorHAnsi" w:cstheme="minorHAnsi"/>
          <w:color w:val="000000" w:themeColor="text1"/>
          <w:sz w:val="22"/>
          <w:szCs w:val="22"/>
        </w:rPr>
        <w:t>BetterLife</w:t>
      </w:r>
      <w:proofErr w:type="spellEnd"/>
      <w:r w:rsidRPr="004968E1">
        <w:rPr>
          <w:rFonts w:asciiTheme="minorHAnsi" w:hAnsiTheme="minorHAnsi" w:cstheme="minorHAnsi"/>
          <w:color w:val="000000" w:themeColor="text1"/>
          <w:sz w:val="22"/>
          <w:szCs w:val="22"/>
        </w:rPr>
        <w:t xml:space="preserve"> Pharma Inc. is an emerging biotechnology company primarily focused on developing and commercializing two compounds, TD-0148A and TD-010, to treat neurological disorders such as depression, cluster headaches and anxiety.</w:t>
      </w:r>
    </w:p>
    <w:p w14:paraId="5C250EAC" w14:textId="77777777" w:rsidR="004968E1" w:rsidRPr="004968E1" w:rsidRDefault="004968E1" w:rsidP="004968E1">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58C93994" w14:textId="49E84D4C" w:rsidR="00FB2C0D" w:rsidRDefault="00FB2C0D" w:rsidP="004968E1">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r w:rsidRPr="004968E1">
        <w:rPr>
          <w:rFonts w:asciiTheme="minorHAnsi" w:hAnsiTheme="minorHAnsi" w:cstheme="minorHAnsi"/>
          <w:color w:val="000000" w:themeColor="text1"/>
          <w:sz w:val="22"/>
          <w:szCs w:val="22"/>
        </w:rPr>
        <w:t xml:space="preserve">The global depression drugs market reached US$12.41 billion in 2019 and it is projected to reach near US$25 billion by 2030. According to the WHO, depression is one of the leading causes of disability, impacting approximately 265 million people in the world. TD-0148A is being developed for the treatment of major depressive disorder. It has been synthesized using </w:t>
      </w:r>
      <w:proofErr w:type="spellStart"/>
      <w:r w:rsidRPr="004968E1">
        <w:rPr>
          <w:rFonts w:asciiTheme="minorHAnsi" w:hAnsiTheme="minorHAnsi" w:cstheme="minorHAnsi"/>
          <w:color w:val="000000" w:themeColor="text1"/>
          <w:sz w:val="22"/>
          <w:szCs w:val="22"/>
        </w:rPr>
        <w:t>BetterLife’s</w:t>
      </w:r>
      <w:proofErr w:type="spellEnd"/>
      <w:r w:rsidRPr="004968E1">
        <w:rPr>
          <w:rFonts w:asciiTheme="minorHAnsi" w:hAnsiTheme="minorHAnsi" w:cstheme="minorHAnsi"/>
          <w:color w:val="000000" w:themeColor="text1"/>
          <w:sz w:val="22"/>
          <w:szCs w:val="22"/>
        </w:rPr>
        <w:t xml:space="preserve"> patented manufacturing process and is the only non-hallucinogenic and non-controlled psychedelic candidate on the market. It is unique in that it is not regulated and therefore can be self-administered. TD-010 is a treatment of anxiety without the addictive potential of benzodiazepines. TD-0148A and TD-010 are both in Preclinical and IND-enabling studies. </w:t>
      </w:r>
      <w:proofErr w:type="spellStart"/>
      <w:r w:rsidRPr="004968E1">
        <w:rPr>
          <w:rFonts w:asciiTheme="minorHAnsi" w:hAnsiTheme="minorHAnsi" w:cstheme="minorHAnsi"/>
          <w:color w:val="000000" w:themeColor="text1"/>
          <w:sz w:val="22"/>
          <w:szCs w:val="22"/>
        </w:rPr>
        <w:t>BetterLife</w:t>
      </w:r>
      <w:proofErr w:type="spellEnd"/>
      <w:r w:rsidRPr="004968E1">
        <w:rPr>
          <w:rFonts w:asciiTheme="minorHAnsi" w:hAnsiTheme="minorHAnsi" w:cstheme="minorHAnsi"/>
          <w:color w:val="000000" w:themeColor="text1"/>
          <w:sz w:val="22"/>
          <w:szCs w:val="22"/>
        </w:rPr>
        <w:t xml:space="preserve"> also owns a drug candidate </w:t>
      </w:r>
      <w:r w:rsidR="00864368" w:rsidRPr="004968E1">
        <w:rPr>
          <w:rFonts w:asciiTheme="minorHAnsi" w:hAnsiTheme="minorHAnsi" w:cstheme="minorHAnsi"/>
          <w:color w:val="000000" w:themeColor="text1"/>
          <w:sz w:val="22"/>
          <w:szCs w:val="22"/>
        </w:rPr>
        <w:t xml:space="preserve">for the treatment of viral infections such as </w:t>
      </w:r>
      <w:r w:rsidR="004968E1">
        <w:rPr>
          <w:rFonts w:asciiTheme="minorHAnsi" w:hAnsiTheme="minorHAnsi" w:cstheme="minorHAnsi"/>
          <w:color w:val="000000" w:themeColor="text1"/>
          <w:sz w:val="22"/>
          <w:szCs w:val="22"/>
        </w:rPr>
        <w:t>COVID</w:t>
      </w:r>
      <w:r w:rsidR="00864368" w:rsidRPr="004968E1">
        <w:rPr>
          <w:rFonts w:asciiTheme="minorHAnsi" w:hAnsiTheme="minorHAnsi" w:cstheme="minorHAnsi"/>
          <w:color w:val="000000" w:themeColor="text1"/>
          <w:sz w:val="22"/>
          <w:szCs w:val="22"/>
        </w:rPr>
        <w:t>-19</w:t>
      </w:r>
      <w:r w:rsidRPr="004968E1">
        <w:rPr>
          <w:rFonts w:asciiTheme="minorHAnsi" w:hAnsiTheme="minorHAnsi" w:cstheme="minorHAnsi"/>
          <w:color w:val="000000" w:themeColor="text1"/>
          <w:sz w:val="22"/>
          <w:szCs w:val="22"/>
        </w:rPr>
        <w:t xml:space="preserve"> and is in the process of seeking strategic </w:t>
      </w:r>
      <w:r w:rsidR="00864368" w:rsidRPr="004968E1">
        <w:rPr>
          <w:rFonts w:asciiTheme="minorHAnsi" w:hAnsiTheme="minorHAnsi" w:cstheme="minorHAnsi"/>
          <w:color w:val="000000" w:themeColor="text1"/>
          <w:sz w:val="22"/>
          <w:szCs w:val="22"/>
        </w:rPr>
        <w:t>alternatives</w:t>
      </w:r>
      <w:r w:rsidRPr="004968E1">
        <w:rPr>
          <w:rFonts w:asciiTheme="minorHAnsi" w:hAnsiTheme="minorHAnsi" w:cstheme="minorHAnsi"/>
          <w:color w:val="000000" w:themeColor="text1"/>
          <w:sz w:val="22"/>
          <w:szCs w:val="22"/>
        </w:rPr>
        <w:t xml:space="preserve"> </w:t>
      </w:r>
      <w:r w:rsidR="00864368" w:rsidRPr="004968E1">
        <w:rPr>
          <w:rFonts w:asciiTheme="minorHAnsi" w:hAnsiTheme="minorHAnsi" w:cstheme="minorHAnsi"/>
          <w:color w:val="000000" w:themeColor="text1"/>
          <w:sz w:val="22"/>
          <w:szCs w:val="22"/>
        </w:rPr>
        <w:t>for further development</w:t>
      </w:r>
      <w:r w:rsidRPr="004968E1">
        <w:rPr>
          <w:rFonts w:asciiTheme="minorHAnsi" w:hAnsiTheme="minorHAnsi" w:cstheme="minorHAnsi"/>
          <w:color w:val="000000" w:themeColor="text1"/>
          <w:sz w:val="22"/>
          <w:szCs w:val="22"/>
        </w:rPr>
        <w:t xml:space="preserve">. </w:t>
      </w:r>
    </w:p>
    <w:p w14:paraId="6FEA3792" w14:textId="77777777" w:rsidR="004968E1" w:rsidRPr="004968E1" w:rsidRDefault="004968E1" w:rsidP="004968E1">
      <w:pPr>
        <w:pStyle w:val="NormalWeb"/>
        <w:shd w:val="clear" w:color="auto" w:fill="FFFFFF"/>
        <w:spacing w:before="0" w:beforeAutospacing="0" w:after="0" w:afterAutospacing="0" w:line="247" w:lineRule="auto"/>
        <w:jc w:val="both"/>
        <w:rPr>
          <w:rFonts w:asciiTheme="minorHAnsi" w:hAnsiTheme="minorHAnsi" w:cstheme="minorHAnsi"/>
          <w:color w:val="000000" w:themeColor="text1"/>
          <w:sz w:val="22"/>
          <w:szCs w:val="22"/>
        </w:rPr>
      </w:pPr>
    </w:p>
    <w:p w14:paraId="4A49CF16" w14:textId="361B1F09" w:rsidR="00147830" w:rsidRPr="004968E1" w:rsidRDefault="00147830" w:rsidP="004968E1">
      <w:pPr>
        <w:pStyle w:val="NormalWeb"/>
        <w:shd w:val="clear" w:color="auto" w:fill="FFFFFF"/>
        <w:spacing w:before="0" w:beforeAutospacing="0" w:after="0" w:afterAutospacing="0" w:line="247" w:lineRule="auto"/>
        <w:jc w:val="both"/>
        <w:rPr>
          <w:rFonts w:asciiTheme="minorHAnsi" w:hAnsiTheme="minorHAnsi" w:cstheme="minorHAnsi"/>
          <w:color w:val="383838"/>
          <w:sz w:val="22"/>
          <w:szCs w:val="22"/>
        </w:rPr>
      </w:pPr>
      <w:r w:rsidRPr="004968E1">
        <w:rPr>
          <w:rFonts w:asciiTheme="minorHAnsi" w:hAnsiTheme="minorHAnsi" w:cstheme="minorHAnsi"/>
          <w:color w:val="000000" w:themeColor="text1"/>
          <w:sz w:val="22"/>
          <w:szCs w:val="22"/>
        </w:rPr>
        <w:t>For further information please visit</w:t>
      </w:r>
      <w:r w:rsidRPr="004968E1">
        <w:rPr>
          <w:rFonts w:asciiTheme="minorHAnsi" w:hAnsiTheme="minorHAnsi" w:cstheme="minorHAnsi"/>
          <w:color w:val="383838"/>
          <w:sz w:val="22"/>
          <w:szCs w:val="22"/>
        </w:rPr>
        <w:t> </w:t>
      </w:r>
      <w:hyperlink r:id="rId15" w:tgtFrame="_blank" w:history="1">
        <w:r w:rsidRPr="004968E1">
          <w:rPr>
            <w:rStyle w:val="Hyperlink"/>
            <w:rFonts w:asciiTheme="minorHAnsi" w:eastAsia="Rawline" w:hAnsiTheme="minorHAnsi" w:cstheme="minorHAnsi"/>
            <w:color w:val="0B73BE"/>
            <w:sz w:val="22"/>
            <w:szCs w:val="22"/>
          </w:rPr>
          <w:t>www.abetterlifepharma.com</w:t>
        </w:r>
      </w:hyperlink>
      <w:r w:rsidRPr="004968E1">
        <w:rPr>
          <w:rFonts w:asciiTheme="minorHAnsi" w:hAnsiTheme="minorHAnsi" w:cstheme="minorHAnsi"/>
          <w:color w:val="383838"/>
          <w:sz w:val="22"/>
          <w:szCs w:val="22"/>
        </w:rPr>
        <w:t>.</w:t>
      </w:r>
    </w:p>
    <w:p w14:paraId="5C559B2E" w14:textId="77777777" w:rsidR="000B530D" w:rsidRPr="004968E1" w:rsidRDefault="000B530D" w:rsidP="004968E1">
      <w:pPr>
        <w:spacing w:line="247" w:lineRule="auto"/>
        <w:jc w:val="both"/>
        <w:rPr>
          <w:rFonts w:eastAsia="Times New Roman" w:cstheme="minorHAnsi"/>
          <w:b/>
          <w:bCs/>
          <w:color w:val="383838"/>
          <w:sz w:val="22"/>
          <w:szCs w:val="22"/>
        </w:rPr>
      </w:pPr>
    </w:p>
    <w:p w14:paraId="768EB6C1" w14:textId="77777777" w:rsidR="004968E1" w:rsidRDefault="004968E1" w:rsidP="004968E1">
      <w:pPr>
        <w:spacing w:line="247" w:lineRule="auto"/>
        <w:jc w:val="both"/>
        <w:rPr>
          <w:rFonts w:eastAsia="Times New Roman" w:cstheme="minorHAnsi"/>
          <w:b/>
          <w:bCs/>
          <w:color w:val="383838"/>
          <w:sz w:val="22"/>
          <w:szCs w:val="22"/>
        </w:rPr>
      </w:pPr>
    </w:p>
    <w:p w14:paraId="71D0B4FD" w14:textId="73D96899" w:rsidR="000B530D" w:rsidRPr="004968E1" w:rsidRDefault="00231C8C" w:rsidP="004968E1">
      <w:pPr>
        <w:spacing w:line="247" w:lineRule="auto"/>
        <w:jc w:val="both"/>
        <w:rPr>
          <w:rFonts w:eastAsia="Times New Roman" w:cstheme="minorHAnsi"/>
          <w:color w:val="383838"/>
          <w:sz w:val="22"/>
          <w:szCs w:val="22"/>
        </w:rPr>
      </w:pPr>
      <w:r w:rsidRPr="004968E1">
        <w:rPr>
          <w:rFonts w:eastAsia="Times New Roman" w:cstheme="minorHAnsi"/>
          <w:b/>
          <w:bCs/>
          <w:color w:val="383838"/>
          <w:sz w:val="22"/>
          <w:szCs w:val="22"/>
        </w:rPr>
        <w:t xml:space="preserve">About </w:t>
      </w:r>
      <w:r w:rsidR="00C50D41" w:rsidRPr="004968E1">
        <w:rPr>
          <w:rFonts w:eastAsia="Times New Roman" w:cstheme="minorHAnsi"/>
          <w:b/>
          <w:bCs/>
          <w:color w:val="383838"/>
          <w:sz w:val="22"/>
          <w:szCs w:val="22"/>
        </w:rPr>
        <w:t xml:space="preserve">Western </w:t>
      </w:r>
      <w:r w:rsidRPr="004968E1">
        <w:rPr>
          <w:rFonts w:eastAsia="Times New Roman" w:cstheme="minorHAnsi"/>
          <w:b/>
          <w:bCs/>
          <w:color w:val="383838"/>
          <w:sz w:val="22"/>
          <w:szCs w:val="22"/>
        </w:rPr>
        <w:t>University</w:t>
      </w:r>
      <w:r w:rsidR="00C50D41" w:rsidRPr="004968E1">
        <w:rPr>
          <w:rFonts w:eastAsia="Times New Roman" w:cstheme="minorHAnsi"/>
          <w:b/>
          <w:bCs/>
          <w:color w:val="383838"/>
          <w:sz w:val="22"/>
          <w:szCs w:val="22"/>
        </w:rPr>
        <w:t xml:space="preserve"> - </w:t>
      </w:r>
      <w:r w:rsidR="00BA3F78" w:rsidRPr="004968E1">
        <w:rPr>
          <w:rFonts w:eastAsia="Times New Roman" w:cstheme="minorHAnsi"/>
          <w:b/>
          <w:bCs/>
          <w:color w:val="383838"/>
          <w:sz w:val="22"/>
          <w:szCs w:val="22"/>
        </w:rPr>
        <w:t>Dr. Stephen Barr Laboratory</w:t>
      </w:r>
    </w:p>
    <w:p w14:paraId="45C905D7" w14:textId="7D9ECAF8" w:rsidR="000B530D" w:rsidRPr="004968E1" w:rsidRDefault="000B530D" w:rsidP="004968E1">
      <w:pPr>
        <w:spacing w:line="247" w:lineRule="auto"/>
        <w:jc w:val="both"/>
        <w:rPr>
          <w:rFonts w:eastAsia="Times New Roman" w:cstheme="minorHAnsi"/>
          <w:color w:val="383838"/>
          <w:sz w:val="22"/>
          <w:szCs w:val="22"/>
        </w:rPr>
      </w:pPr>
    </w:p>
    <w:p w14:paraId="04CD9E32" w14:textId="64505D0A" w:rsidR="00094BB5" w:rsidRPr="004968E1" w:rsidRDefault="00094BB5"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 xml:space="preserve">Dr. Stephen Barr, PhD, is an Associate Professor in the Department of Microbiology &amp; Immunology at Western University. His research focuses on the complex virus-host interactions of emerging viral pathogens, with a focus on the host interferon response. His team studies Containment Level 2 and Level 3 viruses such as HIV, Ebola-like viruses, and SARS-CoV-2, in the new state-of-the-art </w:t>
      </w:r>
      <w:proofErr w:type="spellStart"/>
      <w:r w:rsidRPr="004968E1">
        <w:rPr>
          <w:rFonts w:eastAsia="Times New Roman" w:cstheme="minorHAnsi"/>
          <w:color w:val="383838"/>
          <w:sz w:val="22"/>
          <w:szCs w:val="22"/>
        </w:rPr>
        <w:t>ImPaKT</w:t>
      </w:r>
      <w:proofErr w:type="spellEnd"/>
      <w:r w:rsidRPr="004968E1">
        <w:rPr>
          <w:rFonts w:eastAsia="Times New Roman" w:cstheme="minorHAnsi"/>
          <w:color w:val="383838"/>
          <w:sz w:val="22"/>
          <w:szCs w:val="22"/>
        </w:rPr>
        <w:t xml:space="preserve"> Facility featuring barrier-enclosed imaging scanners and instrumentation. This high-tech equipment allows Dr. Barr and his team to develop tools and methods to better understand the progression of emerging infectious diseases (in vitro and in vivo), identify/test novel antiviral agents, develop diagnostic reagents to characterize hidden reservoirs of pathogens, and for the early and accurate detection of infections. Dr. Barr is </w:t>
      </w:r>
      <w:r w:rsidR="004D38B5" w:rsidRPr="004968E1">
        <w:rPr>
          <w:rFonts w:eastAsia="Times New Roman" w:cstheme="minorHAnsi"/>
          <w:color w:val="383838"/>
          <w:sz w:val="22"/>
          <w:szCs w:val="22"/>
        </w:rPr>
        <w:t xml:space="preserve">also </w:t>
      </w:r>
      <w:r w:rsidRPr="004968E1">
        <w:rPr>
          <w:rFonts w:eastAsia="Times New Roman" w:cstheme="minorHAnsi"/>
          <w:color w:val="383838"/>
          <w:sz w:val="22"/>
          <w:szCs w:val="22"/>
        </w:rPr>
        <w:t>part of Canada’s Coronavirus Variants Rapid Response Network (</w:t>
      </w:r>
      <w:proofErr w:type="spellStart"/>
      <w:r w:rsidRPr="004968E1">
        <w:rPr>
          <w:rFonts w:eastAsia="Times New Roman" w:cstheme="minorHAnsi"/>
          <w:color w:val="383838"/>
          <w:sz w:val="22"/>
          <w:szCs w:val="22"/>
        </w:rPr>
        <w:t>CoVaRR</w:t>
      </w:r>
      <w:proofErr w:type="spellEnd"/>
      <w:r w:rsidRPr="004968E1">
        <w:rPr>
          <w:rFonts w:eastAsia="Times New Roman" w:cstheme="minorHAnsi"/>
          <w:color w:val="383838"/>
          <w:sz w:val="22"/>
          <w:szCs w:val="22"/>
        </w:rPr>
        <w:t xml:space="preserve">-Net), whose goal is to rapidly answer critical and immediate questions regarding </w:t>
      </w:r>
      <w:r w:rsidR="004D38B5" w:rsidRPr="004968E1">
        <w:rPr>
          <w:rFonts w:eastAsia="Times New Roman" w:cstheme="minorHAnsi"/>
          <w:color w:val="383838"/>
          <w:sz w:val="22"/>
          <w:szCs w:val="22"/>
        </w:rPr>
        <w:t xml:space="preserve">SARS-CoV-2 </w:t>
      </w:r>
      <w:r w:rsidRPr="004968E1">
        <w:rPr>
          <w:rFonts w:eastAsia="Times New Roman" w:cstheme="minorHAnsi"/>
          <w:color w:val="383838"/>
          <w:sz w:val="22"/>
          <w:szCs w:val="22"/>
        </w:rPr>
        <w:t xml:space="preserve">variants, such as their increased transmissibility, likelihood to cause severe cases of COVID-19, and resistance to vaccines. </w:t>
      </w:r>
    </w:p>
    <w:p w14:paraId="1E6B07D9" w14:textId="77777777" w:rsidR="00BA3F78" w:rsidRPr="004968E1" w:rsidRDefault="00BA3F78" w:rsidP="004968E1">
      <w:pPr>
        <w:spacing w:line="247" w:lineRule="auto"/>
        <w:jc w:val="both"/>
        <w:rPr>
          <w:rFonts w:eastAsia="Times New Roman" w:cstheme="minorHAnsi"/>
          <w:color w:val="383838"/>
          <w:sz w:val="22"/>
          <w:szCs w:val="22"/>
        </w:rPr>
      </w:pPr>
    </w:p>
    <w:p w14:paraId="74C7E462" w14:textId="7B820A90" w:rsidR="000B530D" w:rsidRPr="004968E1" w:rsidRDefault="00231C8C" w:rsidP="004968E1">
      <w:pPr>
        <w:spacing w:line="247" w:lineRule="auto"/>
        <w:jc w:val="both"/>
        <w:rPr>
          <w:rFonts w:cstheme="minorHAnsi"/>
          <w:sz w:val="22"/>
          <w:szCs w:val="22"/>
        </w:rPr>
      </w:pPr>
      <w:bookmarkStart w:id="0" w:name="_Hlk74556868"/>
      <w:r w:rsidRPr="004968E1">
        <w:rPr>
          <w:rFonts w:eastAsia="Times New Roman" w:cstheme="minorHAnsi"/>
          <w:color w:val="383838"/>
          <w:sz w:val="22"/>
          <w:szCs w:val="22"/>
        </w:rPr>
        <w:t>For more information, please visit</w:t>
      </w:r>
      <w:r w:rsidR="00094BB5" w:rsidRPr="004968E1">
        <w:rPr>
          <w:rFonts w:eastAsia="Times New Roman" w:cstheme="minorHAnsi"/>
          <w:color w:val="383838"/>
          <w:sz w:val="22"/>
          <w:szCs w:val="22"/>
        </w:rPr>
        <w:t xml:space="preserve"> the Barr Lab</w:t>
      </w:r>
      <w:r w:rsidR="000B530D" w:rsidRPr="004968E1">
        <w:rPr>
          <w:rFonts w:cstheme="minorHAnsi"/>
          <w:sz w:val="22"/>
          <w:szCs w:val="22"/>
        </w:rPr>
        <w:t xml:space="preserve"> </w:t>
      </w:r>
      <w:r w:rsidR="00094BB5" w:rsidRPr="004968E1">
        <w:rPr>
          <w:rFonts w:cstheme="minorHAnsi"/>
          <w:sz w:val="22"/>
          <w:szCs w:val="22"/>
        </w:rPr>
        <w:t>(</w:t>
      </w:r>
      <w:hyperlink r:id="rId16" w:history="1">
        <w:r w:rsidR="00094BB5" w:rsidRPr="004968E1">
          <w:rPr>
            <w:rStyle w:val="Hyperlink"/>
            <w:rFonts w:cstheme="minorHAnsi"/>
            <w:sz w:val="22"/>
            <w:szCs w:val="22"/>
          </w:rPr>
          <w:t>https://publish.uwo.ca/~sbarr9/</w:t>
        </w:r>
      </w:hyperlink>
      <w:r w:rsidR="00094BB5" w:rsidRPr="004968E1">
        <w:rPr>
          <w:rFonts w:cstheme="minorHAnsi"/>
          <w:sz w:val="22"/>
          <w:szCs w:val="22"/>
        </w:rPr>
        <w:t xml:space="preserve">) and </w:t>
      </w:r>
      <w:proofErr w:type="spellStart"/>
      <w:r w:rsidR="00094BB5" w:rsidRPr="004968E1">
        <w:rPr>
          <w:rFonts w:cstheme="minorHAnsi"/>
          <w:sz w:val="22"/>
          <w:szCs w:val="22"/>
        </w:rPr>
        <w:t>CoVaRR</w:t>
      </w:r>
      <w:proofErr w:type="spellEnd"/>
      <w:r w:rsidR="00094BB5" w:rsidRPr="004968E1">
        <w:rPr>
          <w:rFonts w:cstheme="minorHAnsi"/>
          <w:sz w:val="22"/>
          <w:szCs w:val="22"/>
        </w:rPr>
        <w:t>-Net (https://covarrnet.ca)</w:t>
      </w:r>
      <w:r w:rsidR="006F6141" w:rsidRPr="004968E1">
        <w:rPr>
          <w:rFonts w:cstheme="minorHAnsi"/>
          <w:sz w:val="22"/>
          <w:szCs w:val="22"/>
        </w:rPr>
        <w:t>.</w:t>
      </w:r>
    </w:p>
    <w:bookmarkEnd w:id="0"/>
    <w:p w14:paraId="14FAB15B" w14:textId="52DA8BF9" w:rsidR="000B530D" w:rsidRPr="004968E1" w:rsidRDefault="000B530D" w:rsidP="004968E1">
      <w:pPr>
        <w:spacing w:line="247" w:lineRule="auto"/>
        <w:jc w:val="both"/>
        <w:rPr>
          <w:rFonts w:eastAsia="Times New Roman" w:cstheme="minorHAnsi"/>
          <w:b/>
          <w:bCs/>
          <w:color w:val="383838"/>
          <w:sz w:val="22"/>
          <w:szCs w:val="22"/>
        </w:rPr>
      </w:pPr>
    </w:p>
    <w:p w14:paraId="22119B67" w14:textId="754CE6CB" w:rsidR="002C79E0" w:rsidRPr="004968E1" w:rsidRDefault="002C79E0" w:rsidP="004968E1">
      <w:pPr>
        <w:spacing w:line="247" w:lineRule="auto"/>
        <w:jc w:val="both"/>
        <w:rPr>
          <w:rFonts w:eastAsia="Times New Roman" w:cstheme="minorHAnsi"/>
          <w:b/>
          <w:bCs/>
          <w:color w:val="383838"/>
          <w:sz w:val="22"/>
          <w:szCs w:val="22"/>
        </w:rPr>
      </w:pPr>
    </w:p>
    <w:p w14:paraId="0FDFE0E8" w14:textId="77777777" w:rsidR="004968E1" w:rsidRDefault="004968E1">
      <w:pPr>
        <w:rPr>
          <w:rFonts w:eastAsia="Times New Roman" w:cstheme="minorHAnsi"/>
          <w:b/>
          <w:bCs/>
          <w:color w:val="383838"/>
          <w:sz w:val="22"/>
          <w:szCs w:val="22"/>
        </w:rPr>
      </w:pPr>
      <w:r>
        <w:rPr>
          <w:rFonts w:eastAsia="Times New Roman" w:cstheme="minorHAnsi"/>
          <w:b/>
          <w:bCs/>
          <w:color w:val="383838"/>
          <w:sz w:val="22"/>
          <w:szCs w:val="22"/>
        </w:rPr>
        <w:br w:type="page"/>
      </w:r>
    </w:p>
    <w:p w14:paraId="4FE77014" w14:textId="1AC3E386" w:rsidR="00231C8C" w:rsidRPr="004968E1" w:rsidRDefault="000B530D" w:rsidP="004968E1">
      <w:pPr>
        <w:spacing w:line="247" w:lineRule="auto"/>
        <w:jc w:val="both"/>
        <w:rPr>
          <w:rFonts w:eastAsia="Times New Roman" w:cstheme="minorHAnsi"/>
          <w:color w:val="383838"/>
          <w:sz w:val="22"/>
          <w:szCs w:val="22"/>
        </w:rPr>
      </w:pPr>
      <w:r w:rsidRPr="004968E1">
        <w:rPr>
          <w:rFonts w:eastAsia="Times New Roman" w:cstheme="minorHAnsi"/>
          <w:b/>
          <w:bCs/>
          <w:color w:val="383838"/>
          <w:sz w:val="22"/>
          <w:szCs w:val="22"/>
        </w:rPr>
        <w:lastRenderedPageBreak/>
        <w:t>Conta</w:t>
      </w:r>
      <w:r w:rsidR="00231C8C" w:rsidRPr="004968E1">
        <w:rPr>
          <w:rFonts w:eastAsia="Times New Roman" w:cstheme="minorHAnsi"/>
          <w:b/>
          <w:bCs/>
          <w:color w:val="383838"/>
          <w:sz w:val="22"/>
          <w:szCs w:val="22"/>
        </w:rPr>
        <w:t>ct </w:t>
      </w:r>
      <w:r w:rsidR="004968E1">
        <w:rPr>
          <w:rFonts w:eastAsia="Times New Roman" w:cstheme="minorHAnsi"/>
          <w:b/>
          <w:bCs/>
          <w:color w:val="383838"/>
          <w:sz w:val="22"/>
          <w:szCs w:val="22"/>
        </w:rPr>
        <w:t>Information</w:t>
      </w:r>
      <w:r w:rsidR="00231C8C" w:rsidRPr="004968E1">
        <w:rPr>
          <w:rFonts w:eastAsia="Times New Roman" w:cstheme="minorHAnsi"/>
          <w:color w:val="383838"/>
          <w:sz w:val="22"/>
          <w:szCs w:val="22"/>
        </w:rPr>
        <w:br/>
      </w:r>
      <w:r w:rsidR="00231C8C" w:rsidRPr="004968E1">
        <w:rPr>
          <w:rFonts w:eastAsia="Times New Roman" w:cstheme="minorHAnsi"/>
          <w:color w:val="383838"/>
          <w:sz w:val="22"/>
          <w:szCs w:val="22"/>
        </w:rPr>
        <w:br/>
      </w:r>
      <w:proofErr w:type="spellStart"/>
      <w:r w:rsidR="00231C8C" w:rsidRPr="004968E1">
        <w:rPr>
          <w:rFonts w:eastAsia="Times New Roman" w:cstheme="minorHAnsi"/>
          <w:b/>
          <w:bCs/>
          <w:color w:val="383838"/>
          <w:sz w:val="22"/>
          <w:szCs w:val="22"/>
        </w:rPr>
        <w:t>BetterLife</w:t>
      </w:r>
      <w:proofErr w:type="spellEnd"/>
      <w:r w:rsidR="00231C8C" w:rsidRPr="004968E1">
        <w:rPr>
          <w:rFonts w:eastAsia="Times New Roman" w:cstheme="minorHAnsi"/>
          <w:b/>
          <w:bCs/>
          <w:color w:val="383838"/>
          <w:sz w:val="22"/>
          <w:szCs w:val="22"/>
        </w:rPr>
        <w:t xml:space="preserve"> Pharma:</w:t>
      </w:r>
    </w:p>
    <w:p w14:paraId="56D1D448" w14:textId="77777777" w:rsidR="000B530D" w:rsidRPr="004968E1" w:rsidRDefault="000B530D" w:rsidP="004968E1">
      <w:pPr>
        <w:spacing w:line="247" w:lineRule="auto"/>
        <w:jc w:val="both"/>
        <w:rPr>
          <w:rFonts w:eastAsia="Times New Roman" w:cstheme="minorHAnsi"/>
          <w:b/>
          <w:bCs/>
          <w:color w:val="383838"/>
          <w:sz w:val="22"/>
          <w:szCs w:val="22"/>
        </w:rPr>
      </w:pPr>
    </w:p>
    <w:p w14:paraId="7CC389B3" w14:textId="506E9227" w:rsidR="00231C8C" w:rsidRPr="004968E1" w:rsidRDefault="00231C8C" w:rsidP="004968E1">
      <w:pPr>
        <w:spacing w:line="247" w:lineRule="auto"/>
        <w:ind w:left="180"/>
        <w:rPr>
          <w:rFonts w:eastAsia="Times New Roman" w:cstheme="minorHAnsi"/>
          <w:color w:val="383838"/>
          <w:sz w:val="22"/>
          <w:szCs w:val="22"/>
        </w:rPr>
      </w:pPr>
      <w:r w:rsidRPr="004968E1">
        <w:rPr>
          <w:rFonts w:eastAsia="Times New Roman" w:cstheme="minorHAnsi"/>
          <w:b/>
          <w:bCs/>
          <w:color w:val="383838"/>
          <w:sz w:val="22"/>
          <w:szCs w:val="22"/>
        </w:rPr>
        <w:t>Ahmad Doroudian </w:t>
      </w:r>
      <w:r w:rsidRPr="004968E1">
        <w:rPr>
          <w:rFonts w:eastAsia="Times New Roman" w:cstheme="minorHAnsi"/>
          <w:color w:val="383838"/>
          <w:sz w:val="22"/>
          <w:szCs w:val="22"/>
        </w:rPr>
        <w:t>, Chief Executive Officer </w:t>
      </w:r>
      <w:r w:rsidRPr="004968E1">
        <w:rPr>
          <w:rFonts w:eastAsia="Times New Roman" w:cstheme="minorHAnsi"/>
          <w:color w:val="383838"/>
          <w:sz w:val="22"/>
          <w:szCs w:val="22"/>
        </w:rPr>
        <w:br/>
        <w:t>Email: </w:t>
      </w:r>
      <w:hyperlink r:id="rId17" w:tgtFrame="_blank" w:history="1">
        <w:r w:rsidRPr="004968E1">
          <w:rPr>
            <w:rFonts w:eastAsia="Times New Roman" w:cstheme="minorHAnsi"/>
            <w:color w:val="0B73BE"/>
            <w:sz w:val="22"/>
            <w:szCs w:val="22"/>
            <w:u w:val="single"/>
          </w:rPr>
          <w:t>ahmad.doroudian@blifepharma.com</w:t>
        </w:r>
        <w:r w:rsidRPr="004968E1">
          <w:rPr>
            <w:rFonts w:eastAsia="Times New Roman" w:cstheme="minorHAnsi"/>
            <w:color w:val="0B73BE"/>
            <w:sz w:val="22"/>
            <w:szCs w:val="22"/>
          </w:rPr>
          <w:t> </w:t>
        </w:r>
      </w:hyperlink>
      <w:r w:rsidRPr="004968E1">
        <w:rPr>
          <w:rFonts w:eastAsia="Times New Roman" w:cstheme="minorHAnsi"/>
          <w:color w:val="383838"/>
          <w:sz w:val="22"/>
          <w:szCs w:val="22"/>
        </w:rPr>
        <w:br/>
        <w:t xml:space="preserve">Phone:  </w:t>
      </w:r>
      <w:r w:rsidR="00980BF6" w:rsidRPr="004968E1">
        <w:rPr>
          <w:rFonts w:eastAsia="Times New Roman" w:cstheme="minorHAnsi"/>
          <w:color w:val="383838"/>
          <w:sz w:val="22"/>
          <w:szCs w:val="22"/>
        </w:rPr>
        <w:t>1-</w:t>
      </w:r>
      <w:r w:rsidRPr="004968E1">
        <w:rPr>
          <w:rFonts w:eastAsia="Times New Roman" w:cstheme="minorHAnsi"/>
          <w:color w:val="383838"/>
          <w:sz w:val="22"/>
          <w:szCs w:val="22"/>
        </w:rPr>
        <w:t>604-221-0595</w:t>
      </w:r>
    </w:p>
    <w:p w14:paraId="3CE9CC44" w14:textId="704E2E55" w:rsidR="006F6141" w:rsidRPr="004968E1" w:rsidRDefault="006F6141" w:rsidP="004968E1">
      <w:pPr>
        <w:spacing w:line="247" w:lineRule="auto"/>
        <w:ind w:left="180"/>
        <w:rPr>
          <w:rFonts w:eastAsia="Times New Roman" w:cstheme="minorHAnsi"/>
          <w:color w:val="383838"/>
          <w:sz w:val="22"/>
          <w:szCs w:val="22"/>
        </w:rPr>
      </w:pPr>
    </w:p>
    <w:p w14:paraId="7AF573C9" w14:textId="77777777" w:rsidR="006F6141" w:rsidRPr="004968E1" w:rsidRDefault="006F6141" w:rsidP="004968E1">
      <w:pPr>
        <w:spacing w:line="247" w:lineRule="auto"/>
        <w:jc w:val="both"/>
        <w:rPr>
          <w:rFonts w:eastAsia="Times New Roman" w:cstheme="minorHAnsi"/>
          <w:b/>
          <w:sz w:val="22"/>
          <w:szCs w:val="22"/>
          <w:lang w:val="en" w:eastAsia="en-GB"/>
        </w:rPr>
      </w:pPr>
      <w:r w:rsidRPr="004968E1">
        <w:rPr>
          <w:rFonts w:eastAsia="Times New Roman" w:cstheme="minorHAnsi"/>
          <w:b/>
          <w:sz w:val="22"/>
          <w:szCs w:val="22"/>
          <w:lang w:val="en" w:eastAsia="en-GB"/>
        </w:rPr>
        <w:t>Media enquiries:</w:t>
      </w:r>
    </w:p>
    <w:tbl>
      <w:tblPr>
        <w:tblW w:w="8364" w:type="dxa"/>
        <w:tblCellSpacing w:w="0" w:type="dxa"/>
        <w:tblCellMar>
          <w:left w:w="0" w:type="dxa"/>
          <w:right w:w="0" w:type="dxa"/>
        </w:tblCellMar>
        <w:tblLook w:val="04A0" w:firstRow="1" w:lastRow="0" w:firstColumn="1" w:lastColumn="0" w:noHBand="0" w:noVBand="1"/>
      </w:tblPr>
      <w:tblGrid>
        <w:gridCol w:w="5529"/>
        <w:gridCol w:w="2835"/>
      </w:tblGrid>
      <w:tr w:rsidR="006F6141" w:rsidRPr="004968E1" w14:paraId="2B16DE88" w14:textId="77777777" w:rsidTr="00E55FAD">
        <w:trPr>
          <w:tblCellSpacing w:w="0" w:type="dxa"/>
        </w:trPr>
        <w:tc>
          <w:tcPr>
            <w:tcW w:w="5529" w:type="dxa"/>
            <w:hideMark/>
          </w:tcPr>
          <w:p w14:paraId="70B1A279" w14:textId="77777777" w:rsidR="004968E1" w:rsidRDefault="004968E1" w:rsidP="004968E1">
            <w:pPr>
              <w:spacing w:line="247" w:lineRule="auto"/>
              <w:ind w:left="180"/>
              <w:jc w:val="both"/>
              <w:rPr>
                <w:rFonts w:eastAsia="Times New Roman" w:cstheme="minorHAnsi"/>
                <w:b/>
                <w:sz w:val="22"/>
                <w:szCs w:val="22"/>
                <w:lang w:eastAsia="en-GB"/>
              </w:rPr>
            </w:pPr>
          </w:p>
          <w:p w14:paraId="3567E926" w14:textId="3CB1164F" w:rsidR="006F6141" w:rsidRPr="004968E1" w:rsidRDefault="006F6141" w:rsidP="004968E1">
            <w:pPr>
              <w:spacing w:line="247" w:lineRule="auto"/>
              <w:ind w:left="180"/>
              <w:jc w:val="both"/>
              <w:rPr>
                <w:rFonts w:eastAsia="Times New Roman" w:cstheme="minorHAnsi"/>
                <w:b/>
                <w:sz w:val="22"/>
                <w:szCs w:val="22"/>
                <w:lang w:eastAsia="en-GB"/>
              </w:rPr>
            </w:pPr>
            <w:r w:rsidRPr="004968E1">
              <w:rPr>
                <w:rFonts w:eastAsia="Times New Roman" w:cstheme="minorHAnsi"/>
                <w:b/>
                <w:sz w:val="22"/>
                <w:szCs w:val="22"/>
                <w:lang w:eastAsia="en-GB"/>
              </w:rPr>
              <w:t>Buchanan</w:t>
            </w:r>
          </w:p>
        </w:tc>
        <w:tc>
          <w:tcPr>
            <w:tcW w:w="2835" w:type="dxa"/>
            <w:hideMark/>
          </w:tcPr>
          <w:p w14:paraId="6E681C69" w14:textId="77777777" w:rsidR="006F6141" w:rsidRPr="004968E1" w:rsidRDefault="006F6141" w:rsidP="004968E1">
            <w:pPr>
              <w:spacing w:line="247" w:lineRule="auto"/>
              <w:jc w:val="both"/>
              <w:rPr>
                <w:rFonts w:eastAsia="Times New Roman" w:cstheme="minorHAnsi"/>
                <w:b/>
                <w:sz w:val="22"/>
                <w:szCs w:val="22"/>
                <w:lang w:eastAsia="en-GB"/>
              </w:rPr>
            </w:pPr>
          </w:p>
        </w:tc>
      </w:tr>
      <w:tr w:rsidR="006F6141" w:rsidRPr="004968E1" w14:paraId="107342C7" w14:textId="77777777" w:rsidTr="00E55FAD">
        <w:trPr>
          <w:tblCellSpacing w:w="0" w:type="dxa"/>
        </w:trPr>
        <w:tc>
          <w:tcPr>
            <w:tcW w:w="5529" w:type="dxa"/>
            <w:hideMark/>
          </w:tcPr>
          <w:p w14:paraId="2763E0F3" w14:textId="77777777" w:rsidR="006F6141" w:rsidRPr="004968E1" w:rsidRDefault="006F6141" w:rsidP="004968E1">
            <w:pPr>
              <w:spacing w:line="247" w:lineRule="auto"/>
              <w:ind w:left="180"/>
              <w:jc w:val="both"/>
              <w:rPr>
                <w:rFonts w:eastAsia="Times New Roman" w:cstheme="minorHAnsi"/>
                <w:sz w:val="22"/>
                <w:szCs w:val="22"/>
                <w:lang w:eastAsia="en-GB"/>
              </w:rPr>
            </w:pPr>
            <w:r w:rsidRPr="004968E1">
              <w:rPr>
                <w:rFonts w:eastAsia="Times New Roman" w:cstheme="minorHAnsi"/>
                <w:sz w:val="22"/>
                <w:szCs w:val="22"/>
                <w:lang w:eastAsia="en-GB"/>
              </w:rPr>
              <w:t>Henry Harrison-Topham / Jamie Hooper / Ariadna Peretz</w:t>
            </w:r>
          </w:p>
        </w:tc>
        <w:tc>
          <w:tcPr>
            <w:tcW w:w="2835" w:type="dxa"/>
            <w:hideMark/>
          </w:tcPr>
          <w:p w14:paraId="3DB98014" w14:textId="1213E93F" w:rsidR="006F6141" w:rsidRPr="004968E1" w:rsidRDefault="00D34414" w:rsidP="004968E1">
            <w:pPr>
              <w:spacing w:line="247" w:lineRule="auto"/>
              <w:jc w:val="both"/>
              <w:rPr>
                <w:rFonts w:eastAsia="Times New Roman" w:cstheme="minorHAnsi"/>
                <w:sz w:val="22"/>
                <w:szCs w:val="22"/>
                <w:lang w:eastAsia="en-GB"/>
              </w:rPr>
            </w:pPr>
            <w:r>
              <w:rPr>
                <w:rFonts w:eastAsia="Times New Roman" w:cstheme="minorHAnsi"/>
                <w:sz w:val="22"/>
                <w:szCs w:val="22"/>
                <w:lang w:eastAsia="en-GB"/>
              </w:rPr>
              <w:t>Phone</w:t>
            </w:r>
            <w:r w:rsidR="006F6141" w:rsidRPr="004968E1">
              <w:rPr>
                <w:rFonts w:eastAsia="Times New Roman" w:cstheme="minorHAnsi"/>
                <w:sz w:val="22"/>
                <w:szCs w:val="22"/>
                <w:lang w:eastAsia="en-GB"/>
              </w:rPr>
              <w:t>: +44 (0) 20 7466 5000</w:t>
            </w:r>
          </w:p>
        </w:tc>
      </w:tr>
      <w:tr w:rsidR="006F6141" w:rsidRPr="004968E1" w14:paraId="2476B4B5" w14:textId="77777777" w:rsidTr="00E55FAD">
        <w:trPr>
          <w:tblCellSpacing w:w="0" w:type="dxa"/>
        </w:trPr>
        <w:tc>
          <w:tcPr>
            <w:tcW w:w="5529" w:type="dxa"/>
            <w:hideMark/>
          </w:tcPr>
          <w:p w14:paraId="30D59905" w14:textId="5A67449A" w:rsidR="006F6141" w:rsidRPr="004968E1" w:rsidRDefault="006F6141" w:rsidP="004968E1">
            <w:pPr>
              <w:spacing w:line="247" w:lineRule="auto"/>
              <w:ind w:left="180"/>
              <w:jc w:val="both"/>
              <w:rPr>
                <w:rFonts w:eastAsia="Times New Roman" w:cstheme="minorHAnsi"/>
                <w:sz w:val="22"/>
                <w:szCs w:val="22"/>
                <w:lang w:eastAsia="en-GB"/>
              </w:rPr>
            </w:pPr>
            <w:r w:rsidRPr="004968E1">
              <w:rPr>
                <w:rFonts w:eastAsia="Times New Roman" w:cstheme="minorHAnsi"/>
                <w:color w:val="0000FF"/>
                <w:sz w:val="22"/>
                <w:szCs w:val="22"/>
                <w:u w:val="single"/>
                <w:lang w:eastAsia="en-GB"/>
              </w:rPr>
              <w:t>betterlife@buchanan.uk.com</w:t>
            </w:r>
          </w:p>
        </w:tc>
        <w:tc>
          <w:tcPr>
            <w:tcW w:w="2835" w:type="dxa"/>
            <w:hideMark/>
          </w:tcPr>
          <w:p w14:paraId="0D5C2EA9" w14:textId="77777777" w:rsidR="006F6141" w:rsidRPr="004968E1" w:rsidRDefault="006F6141" w:rsidP="004968E1">
            <w:pPr>
              <w:spacing w:line="247" w:lineRule="auto"/>
              <w:jc w:val="both"/>
              <w:rPr>
                <w:rFonts w:eastAsia="Times New Roman" w:cstheme="minorHAnsi"/>
                <w:sz w:val="22"/>
                <w:szCs w:val="22"/>
                <w:lang w:eastAsia="en-GB"/>
              </w:rPr>
            </w:pPr>
            <w:r w:rsidRPr="004968E1">
              <w:rPr>
                <w:rFonts w:eastAsia="Times New Roman" w:cstheme="minorHAnsi"/>
                <w:color w:val="0000FF"/>
                <w:sz w:val="22"/>
                <w:szCs w:val="22"/>
                <w:u w:val="single"/>
                <w:lang w:eastAsia="en-GB"/>
              </w:rPr>
              <w:t>www.buchanan.uk.com</w:t>
            </w:r>
          </w:p>
        </w:tc>
      </w:tr>
    </w:tbl>
    <w:p w14:paraId="025466B9" w14:textId="77777777" w:rsidR="006F6141" w:rsidRPr="004968E1" w:rsidRDefault="006F6141" w:rsidP="004968E1">
      <w:pPr>
        <w:spacing w:line="247" w:lineRule="auto"/>
        <w:jc w:val="both"/>
        <w:rPr>
          <w:rFonts w:eastAsia="Times New Roman" w:cstheme="minorHAnsi"/>
          <w:color w:val="383838"/>
          <w:sz w:val="22"/>
          <w:szCs w:val="22"/>
        </w:rPr>
      </w:pPr>
    </w:p>
    <w:p w14:paraId="7486A171" w14:textId="44DEE25E" w:rsidR="00231C8C" w:rsidRPr="004968E1" w:rsidRDefault="000B476C" w:rsidP="004968E1">
      <w:pPr>
        <w:spacing w:line="247" w:lineRule="auto"/>
        <w:jc w:val="both"/>
        <w:rPr>
          <w:rFonts w:eastAsia="Times New Roman" w:cstheme="minorHAnsi"/>
          <w:color w:val="383838"/>
          <w:sz w:val="22"/>
          <w:szCs w:val="22"/>
        </w:rPr>
      </w:pPr>
      <w:r w:rsidRPr="004968E1">
        <w:rPr>
          <w:rFonts w:eastAsia="Times New Roman" w:cstheme="minorHAnsi"/>
          <w:b/>
          <w:bCs/>
          <w:color w:val="383838"/>
          <w:sz w:val="22"/>
          <w:szCs w:val="22"/>
        </w:rPr>
        <w:t>Western University</w:t>
      </w:r>
      <w:r w:rsidR="00231C8C" w:rsidRPr="004968E1">
        <w:rPr>
          <w:rFonts w:eastAsia="Times New Roman" w:cstheme="minorHAnsi"/>
          <w:b/>
          <w:bCs/>
          <w:color w:val="383838"/>
          <w:sz w:val="22"/>
          <w:szCs w:val="22"/>
        </w:rPr>
        <w:t>:</w:t>
      </w:r>
    </w:p>
    <w:p w14:paraId="27C611C5" w14:textId="77777777" w:rsidR="000B530D" w:rsidRPr="004968E1" w:rsidRDefault="000B530D" w:rsidP="004968E1">
      <w:pPr>
        <w:spacing w:line="247" w:lineRule="auto"/>
        <w:jc w:val="both"/>
        <w:rPr>
          <w:rFonts w:eastAsia="Times New Roman" w:cstheme="minorHAnsi"/>
          <w:b/>
          <w:bCs/>
          <w:color w:val="383838"/>
          <w:sz w:val="22"/>
          <w:szCs w:val="22"/>
        </w:rPr>
      </w:pPr>
    </w:p>
    <w:p w14:paraId="6BEC7159" w14:textId="2216CFB3" w:rsidR="00231C8C" w:rsidRPr="004968E1" w:rsidRDefault="008C3E2F" w:rsidP="004968E1">
      <w:pPr>
        <w:spacing w:line="247" w:lineRule="auto"/>
        <w:ind w:left="180"/>
        <w:rPr>
          <w:rFonts w:eastAsia="Times New Roman" w:cstheme="minorHAnsi"/>
          <w:color w:val="383838"/>
          <w:sz w:val="22"/>
          <w:szCs w:val="22"/>
        </w:rPr>
      </w:pPr>
      <w:r w:rsidRPr="004968E1">
        <w:rPr>
          <w:rFonts w:eastAsia="Times New Roman" w:cstheme="minorHAnsi"/>
          <w:color w:val="383838"/>
          <w:sz w:val="22"/>
          <w:szCs w:val="22"/>
        </w:rPr>
        <w:t xml:space="preserve">Dr. </w:t>
      </w:r>
      <w:r w:rsidR="00357608" w:rsidRPr="004968E1">
        <w:rPr>
          <w:rFonts w:eastAsia="Times New Roman" w:cstheme="minorHAnsi"/>
          <w:color w:val="383838"/>
          <w:sz w:val="22"/>
          <w:szCs w:val="22"/>
        </w:rPr>
        <w:t>Stephen Barr</w:t>
      </w:r>
      <w:r w:rsidRPr="004968E1">
        <w:rPr>
          <w:rFonts w:eastAsia="Times New Roman" w:cstheme="minorHAnsi"/>
          <w:color w:val="383838"/>
          <w:sz w:val="22"/>
          <w:szCs w:val="22"/>
        </w:rPr>
        <w:t>, Associate Professor</w:t>
      </w:r>
      <w:r w:rsidR="00231C8C" w:rsidRPr="004968E1">
        <w:rPr>
          <w:rFonts w:eastAsia="Times New Roman" w:cstheme="minorHAnsi"/>
          <w:color w:val="383838"/>
          <w:sz w:val="22"/>
          <w:szCs w:val="22"/>
        </w:rPr>
        <w:br/>
        <w:t>Email: </w:t>
      </w:r>
      <w:r w:rsidR="000D730F" w:rsidRPr="004968E1" w:rsidDel="000D730F">
        <w:rPr>
          <w:rFonts w:cstheme="minorHAnsi"/>
          <w:sz w:val="22"/>
          <w:szCs w:val="22"/>
        </w:rPr>
        <w:t xml:space="preserve"> </w:t>
      </w:r>
      <w:hyperlink r:id="rId18" w:history="1">
        <w:r w:rsidR="004968E1" w:rsidRPr="00986AC5">
          <w:rPr>
            <w:rStyle w:val="Hyperlink"/>
            <w:rFonts w:cstheme="minorHAnsi"/>
            <w:sz w:val="22"/>
            <w:szCs w:val="22"/>
          </w:rPr>
          <w:t>stephen.barr@uwo.ca</w:t>
        </w:r>
      </w:hyperlink>
      <w:r w:rsidR="004968E1">
        <w:rPr>
          <w:rFonts w:cstheme="minorHAnsi"/>
          <w:sz w:val="22"/>
          <w:szCs w:val="22"/>
        </w:rPr>
        <w:t xml:space="preserve"> </w:t>
      </w:r>
      <w:r w:rsidR="00231C8C" w:rsidRPr="004968E1">
        <w:rPr>
          <w:rFonts w:eastAsia="Times New Roman" w:cstheme="minorHAnsi"/>
          <w:color w:val="383838"/>
          <w:sz w:val="22"/>
          <w:szCs w:val="22"/>
        </w:rPr>
        <w:br/>
        <w:t>Phone:</w:t>
      </w:r>
      <w:r w:rsidR="00357608" w:rsidRPr="004968E1">
        <w:rPr>
          <w:rFonts w:eastAsia="Times New Roman" w:cstheme="minorHAnsi"/>
          <w:color w:val="383838"/>
          <w:sz w:val="22"/>
          <w:szCs w:val="22"/>
        </w:rPr>
        <w:t xml:space="preserve"> </w:t>
      </w:r>
      <w:r w:rsidRPr="004968E1">
        <w:rPr>
          <w:rFonts w:eastAsia="Times New Roman" w:cstheme="minorHAnsi"/>
          <w:color w:val="383838"/>
          <w:sz w:val="22"/>
          <w:szCs w:val="22"/>
        </w:rPr>
        <w:t>1-519-661-3438</w:t>
      </w:r>
    </w:p>
    <w:p w14:paraId="7CA6EF69" w14:textId="77777777" w:rsidR="000B530D" w:rsidRPr="004968E1" w:rsidRDefault="000B530D" w:rsidP="004968E1">
      <w:pPr>
        <w:spacing w:line="247" w:lineRule="auto"/>
        <w:jc w:val="both"/>
        <w:rPr>
          <w:rFonts w:eastAsia="Times New Roman" w:cstheme="minorHAnsi"/>
          <w:b/>
          <w:bCs/>
          <w:color w:val="383838"/>
          <w:sz w:val="22"/>
          <w:szCs w:val="22"/>
        </w:rPr>
      </w:pPr>
    </w:p>
    <w:p w14:paraId="19BB53B6" w14:textId="77777777" w:rsidR="004968E1" w:rsidRDefault="004968E1" w:rsidP="004968E1">
      <w:pPr>
        <w:spacing w:line="247" w:lineRule="auto"/>
        <w:jc w:val="both"/>
        <w:rPr>
          <w:rFonts w:eastAsia="Times New Roman" w:cstheme="minorHAnsi"/>
          <w:b/>
          <w:bCs/>
          <w:color w:val="383838"/>
          <w:sz w:val="22"/>
          <w:szCs w:val="22"/>
        </w:rPr>
      </w:pPr>
    </w:p>
    <w:p w14:paraId="68C54290" w14:textId="36BA076B" w:rsidR="00231C8C" w:rsidRPr="004968E1" w:rsidRDefault="00231C8C" w:rsidP="004968E1">
      <w:pPr>
        <w:spacing w:line="247" w:lineRule="auto"/>
        <w:jc w:val="both"/>
        <w:rPr>
          <w:rFonts w:eastAsia="Times New Roman" w:cstheme="minorHAnsi"/>
          <w:color w:val="383838"/>
          <w:sz w:val="22"/>
          <w:szCs w:val="22"/>
        </w:rPr>
      </w:pPr>
      <w:r w:rsidRPr="004968E1">
        <w:rPr>
          <w:rFonts w:eastAsia="Times New Roman" w:cstheme="minorHAnsi"/>
          <w:b/>
          <w:bCs/>
          <w:color w:val="383838"/>
          <w:sz w:val="22"/>
          <w:szCs w:val="22"/>
        </w:rPr>
        <w:t>Cautionary Note Regarding Forward-Looking Statements</w:t>
      </w:r>
    </w:p>
    <w:p w14:paraId="572B6477" w14:textId="77777777" w:rsidR="004968E1" w:rsidRDefault="004968E1" w:rsidP="004968E1">
      <w:pPr>
        <w:spacing w:line="247" w:lineRule="auto"/>
        <w:jc w:val="both"/>
        <w:rPr>
          <w:rFonts w:eastAsia="Times New Roman" w:cstheme="minorHAnsi"/>
          <w:color w:val="383838"/>
          <w:sz w:val="22"/>
          <w:szCs w:val="22"/>
        </w:rPr>
      </w:pPr>
    </w:p>
    <w:p w14:paraId="5AE174FC" w14:textId="0DE2F706" w:rsidR="00313CBF" w:rsidRPr="004968E1" w:rsidRDefault="00231C8C" w:rsidP="004968E1">
      <w:pPr>
        <w:spacing w:line="247" w:lineRule="auto"/>
        <w:jc w:val="both"/>
        <w:rPr>
          <w:rFonts w:eastAsia="Times New Roman" w:cstheme="minorHAnsi"/>
          <w:color w:val="383838"/>
          <w:sz w:val="22"/>
          <w:szCs w:val="22"/>
        </w:rPr>
      </w:pPr>
      <w:r w:rsidRPr="004968E1">
        <w:rPr>
          <w:rFonts w:eastAsia="Times New Roman" w:cstheme="minorHAnsi"/>
          <w:color w:val="383838"/>
          <w:sz w:val="22"/>
          <w:szCs w:val="22"/>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4968E1">
        <w:rPr>
          <w:rFonts w:eastAsia="Times New Roman" w:cstheme="minorHAnsi"/>
          <w:color w:val="383838"/>
          <w:sz w:val="22"/>
          <w:szCs w:val="22"/>
        </w:rPr>
        <w:t>as a result of</w:t>
      </w:r>
      <w:proofErr w:type="gramEnd"/>
      <w:r w:rsidRPr="004968E1">
        <w:rPr>
          <w:rFonts w:eastAsia="Times New Roman" w:cstheme="minorHAnsi"/>
          <w:color w:val="383838"/>
          <w:sz w:val="22"/>
          <w:szCs w:val="22"/>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313CBF" w:rsidRPr="00496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D785" w14:textId="77777777" w:rsidR="00952215" w:rsidRDefault="00952215" w:rsidP="007E3D94">
      <w:r>
        <w:separator/>
      </w:r>
    </w:p>
  </w:endnote>
  <w:endnote w:type="continuationSeparator" w:id="0">
    <w:p w14:paraId="559B58BC" w14:textId="77777777" w:rsidR="00952215" w:rsidRDefault="00952215" w:rsidP="007E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awline">
    <w:altName w:val="Courier New"/>
    <w:charset w:val="00"/>
    <w:family w:val="auto"/>
    <w:pitch w:val="variable"/>
    <w:sig w:usb0="20000207"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38EA" w14:textId="77777777" w:rsidR="00952215" w:rsidRDefault="00952215" w:rsidP="007E3D94">
      <w:r>
        <w:separator/>
      </w:r>
    </w:p>
  </w:footnote>
  <w:footnote w:type="continuationSeparator" w:id="0">
    <w:p w14:paraId="7F3675BF" w14:textId="77777777" w:rsidR="00952215" w:rsidRDefault="00952215" w:rsidP="007E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4021"/>
    <w:multiLevelType w:val="hybridMultilevel"/>
    <w:tmpl w:val="D6F8937E"/>
    <w:lvl w:ilvl="0" w:tplc="D0B2FD2A">
      <w:start w:val="1"/>
      <w:numFmt w:val="bullet"/>
      <w:lvlText w:val=""/>
      <w:lvlJc w:val="left"/>
      <w:pPr>
        <w:ind w:left="720" w:hanging="360"/>
      </w:pPr>
      <w:rPr>
        <w:rFonts w:ascii="Symbol" w:hAnsi="Symbol" w:hint="default"/>
      </w:rPr>
    </w:lvl>
    <w:lvl w:ilvl="1" w:tplc="C29EBD08">
      <w:start w:val="1"/>
      <w:numFmt w:val="bullet"/>
      <w:lvlText w:val="o"/>
      <w:lvlJc w:val="left"/>
      <w:pPr>
        <w:ind w:left="1440" w:hanging="360"/>
      </w:pPr>
      <w:rPr>
        <w:rFonts w:ascii="Courier New" w:hAnsi="Courier New" w:hint="default"/>
      </w:rPr>
    </w:lvl>
    <w:lvl w:ilvl="2" w:tplc="90327B70">
      <w:start w:val="1"/>
      <w:numFmt w:val="bullet"/>
      <w:lvlText w:val=""/>
      <w:lvlJc w:val="left"/>
      <w:pPr>
        <w:ind w:left="2160" w:hanging="360"/>
      </w:pPr>
      <w:rPr>
        <w:rFonts w:ascii="Wingdings" w:hAnsi="Wingdings" w:hint="default"/>
      </w:rPr>
    </w:lvl>
    <w:lvl w:ilvl="3" w:tplc="D67E3E90">
      <w:start w:val="1"/>
      <w:numFmt w:val="bullet"/>
      <w:lvlText w:val=""/>
      <w:lvlJc w:val="left"/>
      <w:pPr>
        <w:ind w:left="2880" w:hanging="360"/>
      </w:pPr>
      <w:rPr>
        <w:rFonts w:ascii="Symbol" w:hAnsi="Symbol" w:hint="default"/>
      </w:rPr>
    </w:lvl>
    <w:lvl w:ilvl="4" w:tplc="72B89328">
      <w:start w:val="1"/>
      <w:numFmt w:val="bullet"/>
      <w:lvlText w:val="o"/>
      <w:lvlJc w:val="left"/>
      <w:pPr>
        <w:ind w:left="3600" w:hanging="360"/>
      </w:pPr>
      <w:rPr>
        <w:rFonts w:ascii="Courier New" w:hAnsi="Courier New" w:hint="default"/>
      </w:rPr>
    </w:lvl>
    <w:lvl w:ilvl="5" w:tplc="DD129BC4">
      <w:start w:val="1"/>
      <w:numFmt w:val="bullet"/>
      <w:lvlText w:val=""/>
      <w:lvlJc w:val="left"/>
      <w:pPr>
        <w:ind w:left="4320" w:hanging="360"/>
      </w:pPr>
      <w:rPr>
        <w:rFonts w:ascii="Wingdings" w:hAnsi="Wingdings" w:hint="default"/>
      </w:rPr>
    </w:lvl>
    <w:lvl w:ilvl="6" w:tplc="472AA04A">
      <w:start w:val="1"/>
      <w:numFmt w:val="bullet"/>
      <w:lvlText w:val=""/>
      <w:lvlJc w:val="left"/>
      <w:pPr>
        <w:ind w:left="5040" w:hanging="360"/>
      </w:pPr>
      <w:rPr>
        <w:rFonts w:ascii="Symbol" w:hAnsi="Symbol" w:hint="default"/>
      </w:rPr>
    </w:lvl>
    <w:lvl w:ilvl="7" w:tplc="DE842F62">
      <w:start w:val="1"/>
      <w:numFmt w:val="bullet"/>
      <w:lvlText w:val="o"/>
      <w:lvlJc w:val="left"/>
      <w:pPr>
        <w:ind w:left="5760" w:hanging="360"/>
      </w:pPr>
      <w:rPr>
        <w:rFonts w:ascii="Courier New" w:hAnsi="Courier New" w:hint="default"/>
      </w:rPr>
    </w:lvl>
    <w:lvl w:ilvl="8" w:tplc="240438F0">
      <w:start w:val="1"/>
      <w:numFmt w:val="bullet"/>
      <w:lvlText w:val=""/>
      <w:lvlJc w:val="left"/>
      <w:pPr>
        <w:ind w:left="6480" w:hanging="360"/>
      </w:pPr>
      <w:rPr>
        <w:rFonts w:ascii="Wingdings" w:hAnsi="Wingdings" w:hint="default"/>
      </w:rPr>
    </w:lvl>
  </w:abstractNum>
  <w:abstractNum w:abstractNumId="1" w15:restartNumberingAfterBreak="0">
    <w:nsid w:val="71ED5063"/>
    <w:multiLevelType w:val="hybridMultilevel"/>
    <w:tmpl w:val="7BA6F7DE"/>
    <w:lvl w:ilvl="0" w:tplc="0AD8853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8C"/>
    <w:rsid w:val="00001792"/>
    <w:rsid w:val="00003CD4"/>
    <w:rsid w:val="0002354B"/>
    <w:rsid w:val="00027780"/>
    <w:rsid w:val="00054A27"/>
    <w:rsid w:val="000908E4"/>
    <w:rsid w:val="00094BB5"/>
    <w:rsid w:val="000A117B"/>
    <w:rsid w:val="000B476C"/>
    <w:rsid w:val="000B530D"/>
    <w:rsid w:val="000D730F"/>
    <w:rsid w:val="000F06A4"/>
    <w:rsid w:val="00100146"/>
    <w:rsid w:val="0011366C"/>
    <w:rsid w:val="00147830"/>
    <w:rsid w:val="0016779A"/>
    <w:rsid w:val="001710A0"/>
    <w:rsid w:val="00172AAB"/>
    <w:rsid w:val="001859BA"/>
    <w:rsid w:val="001A13D2"/>
    <w:rsid w:val="001B0324"/>
    <w:rsid w:val="001E7868"/>
    <w:rsid w:val="001F3975"/>
    <w:rsid w:val="00220C2D"/>
    <w:rsid w:val="00220D75"/>
    <w:rsid w:val="0022687E"/>
    <w:rsid w:val="00231C8C"/>
    <w:rsid w:val="002331D0"/>
    <w:rsid w:val="00245EE1"/>
    <w:rsid w:val="002712C6"/>
    <w:rsid w:val="00276453"/>
    <w:rsid w:val="00287481"/>
    <w:rsid w:val="002B459C"/>
    <w:rsid w:val="002C0B33"/>
    <w:rsid w:val="002C0CAB"/>
    <w:rsid w:val="002C79E0"/>
    <w:rsid w:val="002E109B"/>
    <w:rsid w:val="002F3AFA"/>
    <w:rsid w:val="0030491F"/>
    <w:rsid w:val="0031067C"/>
    <w:rsid w:val="00313CBF"/>
    <w:rsid w:val="003375B2"/>
    <w:rsid w:val="00356340"/>
    <w:rsid w:val="00357608"/>
    <w:rsid w:val="003662B1"/>
    <w:rsid w:val="00392EF7"/>
    <w:rsid w:val="00394F53"/>
    <w:rsid w:val="00397928"/>
    <w:rsid w:val="003A1AEF"/>
    <w:rsid w:val="003C074C"/>
    <w:rsid w:val="003C1095"/>
    <w:rsid w:val="003E5839"/>
    <w:rsid w:val="00400927"/>
    <w:rsid w:val="00412FE3"/>
    <w:rsid w:val="00431D6E"/>
    <w:rsid w:val="0043252A"/>
    <w:rsid w:val="004361D7"/>
    <w:rsid w:val="00467B15"/>
    <w:rsid w:val="00474217"/>
    <w:rsid w:val="004944E8"/>
    <w:rsid w:val="004968E1"/>
    <w:rsid w:val="004A7F5F"/>
    <w:rsid w:val="004D38B5"/>
    <w:rsid w:val="004F5CA7"/>
    <w:rsid w:val="00527916"/>
    <w:rsid w:val="00555B29"/>
    <w:rsid w:val="00557170"/>
    <w:rsid w:val="00560887"/>
    <w:rsid w:val="0056303C"/>
    <w:rsid w:val="00576174"/>
    <w:rsid w:val="005766B1"/>
    <w:rsid w:val="00593C43"/>
    <w:rsid w:val="005A619D"/>
    <w:rsid w:val="005D1FB4"/>
    <w:rsid w:val="005D5CC0"/>
    <w:rsid w:val="005E7178"/>
    <w:rsid w:val="005F0628"/>
    <w:rsid w:val="005F6CBC"/>
    <w:rsid w:val="00623975"/>
    <w:rsid w:val="00625765"/>
    <w:rsid w:val="006318E1"/>
    <w:rsid w:val="00644885"/>
    <w:rsid w:val="00651DD9"/>
    <w:rsid w:val="0066208D"/>
    <w:rsid w:val="00682A7F"/>
    <w:rsid w:val="006A3E17"/>
    <w:rsid w:val="006A64E5"/>
    <w:rsid w:val="006D44E0"/>
    <w:rsid w:val="006F0A47"/>
    <w:rsid w:val="006F6141"/>
    <w:rsid w:val="00714AD9"/>
    <w:rsid w:val="00746532"/>
    <w:rsid w:val="00760E00"/>
    <w:rsid w:val="00762359"/>
    <w:rsid w:val="007722D8"/>
    <w:rsid w:val="00775AE6"/>
    <w:rsid w:val="00793FFD"/>
    <w:rsid w:val="007E14DA"/>
    <w:rsid w:val="007E1698"/>
    <w:rsid w:val="007E3924"/>
    <w:rsid w:val="007E3D94"/>
    <w:rsid w:val="00825368"/>
    <w:rsid w:val="008440C6"/>
    <w:rsid w:val="00857DB7"/>
    <w:rsid w:val="00864368"/>
    <w:rsid w:val="008678F6"/>
    <w:rsid w:val="008A5E95"/>
    <w:rsid w:val="008B3784"/>
    <w:rsid w:val="008C3E2F"/>
    <w:rsid w:val="008C7398"/>
    <w:rsid w:val="008F2A77"/>
    <w:rsid w:val="00933573"/>
    <w:rsid w:val="009373CE"/>
    <w:rsid w:val="00952215"/>
    <w:rsid w:val="00977AB0"/>
    <w:rsid w:val="00980BF6"/>
    <w:rsid w:val="009952B9"/>
    <w:rsid w:val="009C2C84"/>
    <w:rsid w:val="009D506D"/>
    <w:rsid w:val="009F1A2E"/>
    <w:rsid w:val="009F70BA"/>
    <w:rsid w:val="00A244A1"/>
    <w:rsid w:val="00A72E4D"/>
    <w:rsid w:val="00AA54C0"/>
    <w:rsid w:val="00AB1247"/>
    <w:rsid w:val="00AB7A19"/>
    <w:rsid w:val="00AD64F0"/>
    <w:rsid w:val="00B06504"/>
    <w:rsid w:val="00B06CC8"/>
    <w:rsid w:val="00B3043C"/>
    <w:rsid w:val="00B70C2B"/>
    <w:rsid w:val="00B771DD"/>
    <w:rsid w:val="00B913D9"/>
    <w:rsid w:val="00BA3F78"/>
    <w:rsid w:val="00BE407D"/>
    <w:rsid w:val="00C00823"/>
    <w:rsid w:val="00C10ED5"/>
    <w:rsid w:val="00C50D41"/>
    <w:rsid w:val="00C52B08"/>
    <w:rsid w:val="00C6048B"/>
    <w:rsid w:val="00C64B1E"/>
    <w:rsid w:val="00C70CD6"/>
    <w:rsid w:val="00C712FD"/>
    <w:rsid w:val="00C9130F"/>
    <w:rsid w:val="00C93205"/>
    <w:rsid w:val="00CC4130"/>
    <w:rsid w:val="00D22066"/>
    <w:rsid w:val="00D2706A"/>
    <w:rsid w:val="00D34414"/>
    <w:rsid w:val="00D42461"/>
    <w:rsid w:val="00D45ED5"/>
    <w:rsid w:val="00D461C8"/>
    <w:rsid w:val="00D4714D"/>
    <w:rsid w:val="00D520FC"/>
    <w:rsid w:val="00D65397"/>
    <w:rsid w:val="00D83281"/>
    <w:rsid w:val="00D91BE6"/>
    <w:rsid w:val="00DC257D"/>
    <w:rsid w:val="00DC7BBC"/>
    <w:rsid w:val="00DD0D75"/>
    <w:rsid w:val="00DD25C7"/>
    <w:rsid w:val="00DE3D5C"/>
    <w:rsid w:val="00DE731F"/>
    <w:rsid w:val="00E10955"/>
    <w:rsid w:val="00E3339F"/>
    <w:rsid w:val="00E33A25"/>
    <w:rsid w:val="00E50468"/>
    <w:rsid w:val="00E515BA"/>
    <w:rsid w:val="00E63B76"/>
    <w:rsid w:val="00E72923"/>
    <w:rsid w:val="00E80F8C"/>
    <w:rsid w:val="00E93607"/>
    <w:rsid w:val="00EA7824"/>
    <w:rsid w:val="00EB2124"/>
    <w:rsid w:val="00EB64C1"/>
    <w:rsid w:val="00EC5484"/>
    <w:rsid w:val="00EC7A9A"/>
    <w:rsid w:val="00EE58C9"/>
    <w:rsid w:val="00F01677"/>
    <w:rsid w:val="00F340FB"/>
    <w:rsid w:val="00F708BA"/>
    <w:rsid w:val="00F907DF"/>
    <w:rsid w:val="00F94CB8"/>
    <w:rsid w:val="00FB13AB"/>
    <w:rsid w:val="00FB2C0D"/>
    <w:rsid w:val="00FD0E94"/>
    <w:rsid w:val="22384FCB"/>
    <w:rsid w:val="39439833"/>
    <w:rsid w:val="5A4FD1FE"/>
    <w:rsid w:val="5CF7CE81"/>
    <w:rsid w:val="5F04C323"/>
    <w:rsid w:val="60A09384"/>
    <w:rsid w:val="69C4FB49"/>
    <w:rsid w:val="728DA38A"/>
    <w:rsid w:val="7BE82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6E1A9"/>
  <w15:chartTrackingRefBased/>
  <w15:docId w15:val="{AA6823E2-ECA1-984A-807A-99069ECF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1C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1C8C"/>
    <w:rPr>
      <w:rFonts w:ascii="Times New Roman" w:eastAsia="Times New Roman" w:hAnsi="Times New Roman" w:cs="Times New Roman"/>
      <w:b/>
      <w:bCs/>
      <w:sz w:val="27"/>
      <w:szCs w:val="27"/>
    </w:rPr>
  </w:style>
  <w:style w:type="paragraph" w:styleId="NormalWeb">
    <w:name w:val="Normal (Web)"/>
    <w:basedOn w:val="Normal"/>
    <w:uiPriority w:val="99"/>
    <w:unhideWhenUsed/>
    <w:rsid w:val="00231C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C8C"/>
  </w:style>
  <w:style w:type="character" w:styleId="Hyperlink">
    <w:name w:val="Hyperlink"/>
    <w:basedOn w:val="DefaultParagraphFont"/>
    <w:uiPriority w:val="99"/>
    <w:unhideWhenUsed/>
    <w:rsid w:val="00231C8C"/>
    <w:rPr>
      <w:color w:val="0000FF"/>
      <w:u w:val="single"/>
    </w:rPr>
  </w:style>
  <w:style w:type="character" w:styleId="Strong">
    <w:name w:val="Strong"/>
    <w:basedOn w:val="DefaultParagraphFont"/>
    <w:uiPriority w:val="22"/>
    <w:qFormat/>
    <w:rsid w:val="00231C8C"/>
    <w:rPr>
      <w:b/>
      <w:bCs/>
    </w:rPr>
  </w:style>
  <w:style w:type="character" w:customStyle="1" w:styleId="UnresolvedMention1">
    <w:name w:val="Unresolved Mention1"/>
    <w:basedOn w:val="DefaultParagraphFont"/>
    <w:uiPriority w:val="99"/>
    <w:semiHidden/>
    <w:unhideWhenUsed/>
    <w:rsid w:val="000B530D"/>
    <w:rPr>
      <w:color w:val="605E5C"/>
      <w:shd w:val="clear" w:color="auto" w:fill="E1DFDD"/>
    </w:rPr>
  </w:style>
  <w:style w:type="character" w:styleId="FollowedHyperlink">
    <w:name w:val="FollowedHyperlink"/>
    <w:basedOn w:val="DefaultParagraphFont"/>
    <w:uiPriority w:val="99"/>
    <w:semiHidden/>
    <w:unhideWhenUsed/>
    <w:rsid w:val="000B530D"/>
    <w:rPr>
      <w:color w:val="954F72" w:themeColor="followedHyperlink"/>
      <w:u w:val="single"/>
    </w:rPr>
  </w:style>
  <w:style w:type="character" w:styleId="CommentReference">
    <w:name w:val="annotation reference"/>
    <w:basedOn w:val="DefaultParagraphFont"/>
    <w:uiPriority w:val="99"/>
    <w:semiHidden/>
    <w:unhideWhenUsed/>
    <w:rsid w:val="0016779A"/>
    <w:rPr>
      <w:sz w:val="16"/>
      <w:szCs w:val="16"/>
    </w:rPr>
  </w:style>
  <w:style w:type="paragraph" w:styleId="CommentText">
    <w:name w:val="annotation text"/>
    <w:basedOn w:val="Normal"/>
    <w:link w:val="CommentTextChar"/>
    <w:uiPriority w:val="99"/>
    <w:semiHidden/>
    <w:unhideWhenUsed/>
    <w:rsid w:val="0016779A"/>
    <w:rPr>
      <w:sz w:val="20"/>
      <w:szCs w:val="20"/>
    </w:rPr>
  </w:style>
  <w:style w:type="character" w:customStyle="1" w:styleId="CommentTextChar">
    <w:name w:val="Comment Text Char"/>
    <w:basedOn w:val="DefaultParagraphFont"/>
    <w:link w:val="CommentText"/>
    <w:uiPriority w:val="99"/>
    <w:semiHidden/>
    <w:rsid w:val="0016779A"/>
    <w:rPr>
      <w:sz w:val="20"/>
      <w:szCs w:val="20"/>
    </w:rPr>
  </w:style>
  <w:style w:type="paragraph" w:styleId="CommentSubject">
    <w:name w:val="annotation subject"/>
    <w:basedOn w:val="CommentText"/>
    <w:next w:val="CommentText"/>
    <w:link w:val="CommentSubjectChar"/>
    <w:uiPriority w:val="99"/>
    <w:semiHidden/>
    <w:unhideWhenUsed/>
    <w:rsid w:val="0016779A"/>
    <w:rPr>
      <w:b/>
      <w:bCs/>
    </w:rPr>
  </w:style>
  <w:style w:type="character" w:customStyle="1" w:styleId="CommentSubjectChar">
    <w:name w:val="Comment Subject Char"/>
    <w:basedOn w:val="CommentTextChar"/>
    <w:link w:val="CommentSubject"/>
    <w:uiPriority w:val="99"/>
    <w:semiHidden/>
    <w:rsid w:val="0016779A"/>
    <w:rPr>
      <w:b/>
      <w:bCs/>
      <w:sz w:val="20"/>
      <w:szCs w:val="20"/>
    </w:rPr>
  </w:style>
  <w:style w:type="paragraph" w:styleId="BalloonText">
    <w:name w:val="Balloon Text"/>
    <w:basedOn w:val="Normal"/>
    <w:link w:val="BalloonTextChar"/>
    <w:uiPriority w:val="99"/>
    <w:semiHidden/>
    <w:unhideWhenUsed/>
    <w:rsid w:val="00337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B2"/>
    <w:rPr>
      <w:rFonts w:ascii="Segoe UI" w:hAnsi="Segoe UI" w:cs="Segoe UI"/>
      <w:sz w:val="18"/>
      <w:szCs w:val="18"/>
    </w:rPr>
  </w:style>
  <w:style w:type="character" w:styleId="Emphasis">
    <w:name w:val="Emphasis"/>
    <w:basedOn w:val="DefaultParagraphFont"/>
    <w:uiPriority w:val="20"/>
    <w:qFormat/>
    <w:rsid w:val="00094BB5"/>
    <w:rPr>
      <w:i/>
      <w:iCs/>
    </w:rPr>
  </w:style>
  <w:style w:type="paragraph" w:styleId="Header">
    <w:name w:val="header"/>
    <w:basedOn w:val="Normal"/>
    <w:link w:val="HeaderChar"/>
    <w:uiPriority w:val="99"/>
    <w:unhideWhenUsed/>
    <w:rsid w:val="007E3D94"/>
    <w:pPr>
      <w:tabs>
        <w:tab w:val="center" w:pos="4513"/>
        <w:tab w:val="right" w:pos="9026"/>
      </w:tabs>
    </w:pPr>
  </w:style>
  <w:style w:type="character" w:customStyle="1" w:styleId="HeaderChar">
    <w:name w:val="Header Char"/>
    <w:basedOn w:val="DefaultParagraphFont"/>
    <w:link w:val="Header"/>
    <w:uiPriority w:val="99"/>
    <w:rsid w:val="007E3D94"/>
  </w:style>
  <w:style w:type="paragraph" w:styleId="Footer">
    <w:name w:val="footer"/>
    <w:basedOn w:val="Normal"/>
    <w:link w:val="FooterChar"/>
    <w:uiPriority w:val="99"/>
    <w:unhideWhenUsed/>
    <w:rsid w:val="007E3D94"/>
    <w:pPr>
      <w:tabs>
        <w:tab w:val="center" w:pos="4513"/>
        <w:tab w:val="right" w:pos="9026"/>
      </w:tabs>
    </w:pPr>
  </w:style>
  <w:style w:type="character" w:customStyle="1" w:styleId="FooterChar">
    <w:name w:val="Footer Char"/>
    <w:basedOn w:val="DefaultParagraphFont"/>
    <w:link w:val="Footer"/>
    <w:uiPriority w:val="99"/>
    <w:rsid w:val="007E3D94"/>
  </w:style>
  <w:style w:type="paragraph" w:styleId="ListParagraph">
    <w:name w:val="List Paragraph"/>
    <w:basedOn w:val="Normal"/>
    <w:link w:val="ListParagraphChar"/>
    <w:uiPriority w:val="34"/>
    <w:qFormat/>
    <w:rsid w:val="00825368"/>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locked/>
    <w:rsid w:val="00825368"/>
    <w:rPr>
      <w:sz w:val="22"/>
      <w:szCs w:val="22"/>
    </w:rPr>
  </w:style>
  <w:style w:type="character" w:styleId="UnresolvedMention">
    <w:name w:val="Unresolved Mention"/>
    <w:basedOn w:val="DefaultParagraphFont"/>
    <w:uiPriority w:val="99"/>
    <w:semiHidden/>
    <w:unhideWhenUsed/>
    <w:rsid w:val="0049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2650">
      <w:bodyDiv w:val="1"/>
      <w:marLeft w:val="0"/>
      <w:marRight w:val="0"/>
      <w:marTop w:val="0"/>
      <w:marBottom w:val="0"/>
      <w:divBdr>
        <w:top w:val="none" w:sz="0" w:space="0" w:color="auto"/>
        <w:left w:val="none" w:sz="0" w:space="0" w:color="auto"/>
        <w:bottom w:val="none" w:sz="0" w:space="0" w:color="auto"/>
        <w:right w:val="none" w:sz="0" w:space="0" w:color="auto"/>
      </w:divBdr>
    </w:div>
    <w:div w:id="578976809">
      <w:bodyDiv w:val="1"/>
      <w:marLeft w:val="0"/>
      <w:marRight w:val="0"/>
      <w:marTop w:val="0"/>
      <w:marBottom w:val="0"/>
      <w:divBdr>
        <w:top w:val="none" w:sz="0" w:space="0" w:color="auto"/>
        <w:left w:val="none" w:sz="0" w:space="0" w:color="auto"/>
        <w:bottom w:val="none" w:sz="0" w:space="0" w:color="auto"/>
        <w:right w:val="none" w:sz="0" w:space="0" w:color="auto"/>
      </w:divBdr>
    </w:div>
    <w:div w:id="776561603">
      <w:bodyDiv w:val="1"/>
      <w:marLeft w:val="0"/>
      <w:marRight w:val="0"/>
      <w:marTop w:val="0"/>
      <w:marBottom w:val="0"/>
      <w:divBdr>
        <w:top w:val="none" w:sz="0" w:space="0" w:color="auto"/>
        <w:left w:val="none" w:sz="0" w:space="0" w:color="auto"/>
        <w:bottom w:val="none" w:sz="0" w:space="0" w:color="auto"/>
        <w:right w:val="none" w:sz="0" w:space="0" w:color="auto"/>
      </w:divBdr>
    </w:div>
    <w:div w:id="966085548">
      <w:bodyDiv w:val="1"/>
      <w:marLeft w:val="0"/>
      <w:marRight w:val="0"/>
      <w:marTop w:val="0"/>
      <w:marBottom w:val="0"/>
      <w:divBdr>
        <w:top w:val="none" w:sz="0" w:space="0" w:color="auto"/>
        <w:left w:val="none" w:sz="0" w:space="0" w:color="auto"/>
        <w:bottom w:val="none" w:sz="0" w:space="0" w:color="auto"/>
        <w:right w:val="none" w:sz="0" w:space="0" w:color="auto"/>
      </w:divBdr>
    </w:div>
    <w:div w:id="1016662486">
      <w:bodyDiv w:val="1"/>
      <w:marLeft w:val="0"/>
      <w:marRight w:val="0"/>
      <w:marTop w:val="0"/>
      <w:marBottom w:val="0"/>
      <w:divBdr>
        <w:top w:val="none" w:sz="0" w:space="0" w:color="auto"/>
        <w:left w:val="none" w:sz="0" w:space="0" w:color="auto"/>
        <w:bottom w:val="none" w:sz="0" w:space="0" w:color="auto"/>
        <w:right w:val="none" w:sz="0" w:space="0" w:color="auto"/>
      </w:divBdr>
    </w:div>
    <w:div w:id="1909731147">
      <w:bodyDiv w:val="1"/>
      <w:marLeft w:val="0"/>
      <w:marRight w:val="0"/>
      <w:marTop w:val="0"/>
      <w:marBottom w:val="0"/>
      <w:divBdr>
        <w:top w:val="none" w:sz="0" w:space="0" w:color="auto"/>
        <w:left w:val="none" w:sz="0" w:space="0" w:color="auto"/>
        <w:bottom w:val="none" w:sz="0" w:space="0" w:color="auto"/>
        <w:right w:val="none" w:sz="0" w:space="0" w:color="auto"/>
      </w:divBdr>
    </w:div>
    <w:div w:id="20837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enewswire.com/Tracker?data=X9zd_xnbfKe3D8vDCBkG9A_f5tekh9vmqPYOtTv6dxkJIKCYS0cXlEWFZO3bSdHOEcioml-OIzgExe--ytPGRnauVbFAvQaRMEqkJcvNI6CZX6yBIru7tcOHwr3qkjVZ" TargetMode="External"/><Relationship Id="rId18" Type="http://schemas.openxmlformats.org/officeDocument/2006/relationships/hyperlink" Target="mailto:stephen.barr@uw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lobenewswire.com/Tracker?data=tZxBZogv1sJ47zZ19iVXm7tZGcTXQwokvDq78VjQBu3upsnKM1JB2Rkdv0VP2Y-VUO55d-rxKHNoXZF5eM7tMXWw6rR67RfrRv1Txy8Pe-o=" TargetMode="External"/><Relationship Id="rId17" Type="http://schemas.openxmlformats.org/officeDocument/2006/relationships/hyperlink" Target="https://www.globenewswire.com/Tracker?data=lBILj9migERYNAQwCEbq0GDNEvnKWqK921iZV2c-dRPEbsfJancbGLlvRAT7drP6YPmiEHgkl8HpbO1AaLxxjWw2VABkyNu7KJlZM_ckQcc6NYHiTeGWlo15OYVdI1jC" TargetMode="External"/><Relationship Id="rId2" Type="http://schemas.openxmlformats.org/officeDocument/2006/relationships/customXml" Target="../customXml/item2.xml"/><Relationship Id="rId16" Type="http://schemas.openxmlformats.org/officeDocument/2006/relationships/hyperlink" Target="https://publish.uwo.ca/~sbarr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qOGJlCaUw9sydbDiliscKczL-rlFaT73DpyFTTEew15eNXlcMoydbwDtIBOpyyvsABtqAv1eK20ux3bqN1ZGc3pXFmsNY0LeHUHbRAb7MmeyAhcyXfLImWesRDcdYeH6" TargetMode="External"/><Relationship Id="rId5" Type="http://schemas.openxmlformats.org/officeDocument/2006/relationships/styles" Target="styles.xml"/><Relationship Id="rId15" Type="http://schemas.openxmlformats.org/officeDocument/2006/relationships/hyperlink" Target="https://www.globenewswire.com/Tracker?data=VWIvoIOanD1yUTRbxDHRlQN8ldCGHoO0BpyRGH9zAllh5YYQFMDQLhK8p1S5nH5VUay9qS-sCK4avJ_DGi0DiaZOQ_V6HfvlkkA2l95SJs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FKJuHmrH9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ADCBBCA8A924F8AA2D760858F6A8E" ma:contentTypeVersion="15" ma:contentTypeDescription="Create a new document." ma:contentTypeScope="" ma:versionID="9366d5db5c96134f2e456b73c9d15c13">
  <xsd:schema xmlns:xsd="http://www.w3.org/2001/XMLSchema" xmlns:xs="http://www.w3.org/2001/XMLSchema" xmlns:p="http://schemas.microsoft.com/office/2006/metadata/properties" xmlns:ns2="556aaa2c-5e31-4f32-bdbc-e9233393b0b6" xmlns:ns3="1eabf524-bf56-493c-9846-11497f2ca325" xmlns:ns4="http://schemas.microsoft.com/sharepoint/v3/fields" targetNamespace="http://schemas.microsoft.com/office/2006/metadata/properties" ma:root="true" ma:fieldsID="a5daa354045d12ba3c889cfbe0a49854" ns2:_="" ns3:_="" ns4:_="">
    <xsd:import namespace="556aaa2c-5e31-4f32-bdbc-e9233393b0b6"/>
    <xsd:import namespace="1eabf524-bf56-493c-9846-11497f2ca32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4:_DCDateCreate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aaa2c-5e31-4f32-bdbc-e9233393b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bf524-bf56-493c-9846-11497f2ca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56aaa2c-5e31-4f32-bdbc-e9233393b0b6"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F4C4F-F3F0-4ACD-9673-59DBB71B7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aaa2c-5e31-4f32-bdbc-e9233393b0b6"/>
    <ds:schemaRef ds:uri="1eabf524-bf56-493c-9846-11497f2ca32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7BA29-8282-42DD-BB59-6620959FE9B4}">
  <ds:schemaRefs>
    <ds:schemaRef ds:uri="http://schemas.microsoft.com/office/2006/metadata/properties"/>
    <ds:schemaRef ds:uri="http://schemas.microsoft.com/office/infopath/2007/PartnerControls"/>
    <ds:schemaRef ds:uri="556aaa2c-5e31-4f32-bdbc-e9233393b0b6"/>
    <ds:schemaRef ds:uri="http://schemas.microsoft.com/sharepoint/v3/fields"/>
  </ds:schemaRefs>
</ds:datastoreItem>
</file>

<file path=customXml/itemProps3.xml><?xml version="1.0" encoding="utf-8"?>
<ds:datastoreItem xmlns:ds="http://schemas.openxmlformats.org/officeDocument/2006/customXml" ds:itemID="{B2208E99-723D-4B2F-B76E-506AF4050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 Ghaffari</dc:creator>
  <cp:keywords/>
  <dc:description/>
  <cp:lastModifiedBy>Moira Ong</cp:lastModifiedBy>
  <cp:revision>8</cp:revision>
  <dcterms:created xsi:type="dcterms:W3CDTF">2021-07-14T18:06:00Z</dcterms:created>
  <dcterms:modified xsi:type="dcterms:W3CDTF">2021-07-15T15:32:00Z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0x010100C56ADCBBCA8A924F8AA2D760858F6A8E</vt:lpwstr>
  </property>
</Properties>
</file>