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3F236284"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D2A">
        <w:rPr>
          <w:rFonts w:ascii="Arial" w:hAnsi="Arial"/>
          <w:i/>
          <w:color w:val="000000"/>
        </w:rPr>
        <w:t>84,821,672</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64DCBDAD"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472CA2">
        <w:rPr>
          <w:rFonts w:ascii="Arial" w:hAnsi="Arial"/>
          <w:color w:val="000000"/>
        </w:rPr>
        <w:t>July 5</w:t>
      </w:r>
      <w:r w:rsidR="00FD2A92">
        <w:rPr>
          <w:rFonts w:ascii="Arial" w:hAnsi="Arial"/>
          <w:color w:val="000000"/>
        </w:rPr>
        <w:t>, 2021</w:t>
      </w:r>
    </w:p>
    <w:p w14:paraId="50880B19" w14:textId="77777777"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11E8AE1C" w14:textId="6180D1EB" w:rsidR="00BA59F9" w:rsidRDefault="00BA59F9" w:rsidP="00B30351">
      <w:pPr>
        <w:pStyle w:val="List"/>
        <w:spacing w:before="120"/>
        <w:ind w:left="720" w:firstLine="0"/>
        <w:jc w:val="both"/>
        <w:rPr>
          <w:rFonts w:ascii="Arial" w:hAnsi="Arial"/>
          <w:i/>
        </w:rPr>
      </w:pPr>
      <w:r>
        <w:rPr>
          <w:rFonts w:ascii="Arial" w:hAnsi="Arial"/>
          <w:i/>
        </w:rPr>
        <w:t xml:space="preserve">During </w:t>
      </w:r>
      <w:r w:rsidR="000B6D2A">
        <w:rPr>
          <w:rFonts w:ascii="Arial" w:hAnsi="Arial"/>
          <w:i/>
        </w:rPr>
        <w:t>June</w:t>
      </w:r>
      <w:r>
        <w:rPr>
          <w:rFonts w:ascii="Arial" w:hAnsi="Arial"/>
          <w:i/>
        </w:rPr>
        <w:t xml:space="preserve"> 2021, the Company:</w:t>
      </w:r>
    </w:p>
    <w:p w14:paraId="2B5C30A4" w14:textId="3B1E1E9F" w:rsidR="00BA59F9" w:rsidRPr="0090315D" w:rsidRDefault="00BA59F9" w:rsidP="0090315D">
      <w:pPr>
        <w:pStyle w:val="List"/>
        <w:numPr>
          <w:ilvl w:val="0"/>
          <w:numId w:val="34"/>
        </w:numPr>
        <w:spacing w:before="120"/>
        <w:jc w:val="both"/>
        <w:rPr>
          <w:rFonts w:ascii="Arial" w:hAnsi="Arial"/>
          <w:i/>
        </w:rPr>
      </w:pPr>
      <w:r>
        <w:rPr>
          <w:rFonts w:ascii="Arial" w:hAnsi="Arial"/>
          <w:i/>
        </w:rPr>
        <w:t xml:space="preserve">Closed on a </w:t>
      </w:r>
      <w:r w:rsidR="000B6D2A" w:rsidRPr="000B6D2A">
        <w:rPr>
          <w:rFonts w:ascii="Arial" w:hAnsi="Arial"/>
          <w:i/>
        </w:rPr>
        <w:t xml:space="preserve">marketed public offering pursuant to which </w:t>
      </w:r>
      <w:r w:rsidR="000B6D2A">
        <w:rPr>
          <w:rFonts w:ascii="Arial" w:hAnsi="Arial"/>
          <w:i/>
        </w:rPr>
        <w:t xml:space="preserve">it </w:t>
      </w:r>
      <w:r w:rsidR="000B6D2A" w:rsidRPr="000B6D2A">
        <w:rPr>
          <w:rFonts w:ascii="Arial" w:hAnsi="Arial"/>
          <w:i/>
        </w:rPr>
        <w:t>issued 6,525,000 units (the “Units”) at a price of $0.40 per Unit for aggregate gross proceeds of $2,610,000 (the “Offering”).</w:t>
      </w:r>
      <w:r w:rsidR="000B6D2A">
        <w:rPr>
          <w:rFonts w:ascii="Arial" w:hAnsi="Arial"/>
          <w:i/>
        </w:rPr>
        <w:t xml:space="preserve"> </w:t>
      </w:r>
      <w:r w:rsidR="000B6D2A" w:rsidRPr="000B6D2A">
        <w:rPr>
          <w:rFonts w:ascii="Arial" w:hAnsi="Arial"/>
          <w:i/>
        </w:rPr>
        <w:t>Each Unit consist</w:t>
      </w:r>
      <w:r w:rsidR="0090315D">
        <w:rPr>
          <w:rFonts w:ascii="Arial" w:hAnsi="Arial"/>
          <w:i/>
        </w:rPr>
        <w:t>ed</w:t>
      </w:r>
      <w:r w:rsidR="000B6D2A" w:rsidRPr="000B6D2A">
        <w:rPr>
          <w:rFonts w:ascii="Arial" w:hAnsi="Arial"/>
          <w:i/>
        </w:rPr>
        <w:t xml:space="preserve"> of one common share (a "Common Share") and one Common Share purchase warrant (a "Warrant"). Each Warrant entitles the holder to purchase one Common Share at an exercise price of $0.50 expiring on May 28, 2024.</w:t>
      </w:r>
      <w:r w:rsidR="000B6D2A">
        <w:rPr>
          <w:rFonts w:ascii="Arial" w:hAnsi="Arial"/>
          <w:i/>
        </w:rPr>
        <w:t xml:space="preserve">  </w:t>
      </w:r>
      <w:r w:rsidR="000B6D2A" w:rsidRPr="000B6D2A">
        <w:rPr>
          <w:rFonts w:ascii="Arial" w:hAnsi="Arial"/>
          <w:i/>
        </w:rPr>
        <w:t>The Company granted to the Agent an option (the “Over-Allotment Option”) to increase the size of the Offering by up to an additional number of Units, and/or the components thereof, that in aggregate would be equal to 15% of the total number of Units issued under the Offering, to cover over-allotments, if any, and for market stabilization purposes, exercisable at any time up to 30 days following the closing of the Offering</w:t>
      </w:r>
      <w:r w:rsidR="000B6D2A">
        <w:rPr>
          <w:rFonts w:ascii="Arial" w:hAnsi="Arial"/>
          <w:i/>
        </w:rPr>
        <w:t xml:space="preserve">. </w:t>
      </w:r>
      <w:r w:rsidR="005C629E">
        <w:rPr>
          <w:rFonts w:ascii="Arial" w:hAnsi="Arial"/>
          <w:i/>
        </w:rPr>
        <w:t xml:space="preserve">Pursuant to the </w:t>
      </w:r>
      <w:r w:rsidR="0090315D">
        <w:rPr>
          <w:rFonts w:ascii="Arial" w:hAnsi="Arial"/>
          <w:i/>
        </w:rPr>
        <w:t>O</w:t>
      </w:r>
      <w:r w:rsidR="005C629E">
        <w:rPr>
          <w:rFonts w:ascii="Arial" w:hAnsi="Arial"/>
          <w:i/>
        </w:rPr>
        <w:t xml:space="preserve">ffering, the Company paid agent’s fee totalling $261,000 and issued 652,500 agent compensation options with an exercise price of $0.40 and expiry of May 28, 2024.  Each compensation option entitles the holder to purchase one unit, consisting of one </w:t>
      </w:r>
      <w:r w:rsidR="0090315D">
        <w:rPr>
          <w:rFonts w:ascii="Arial" w:hAnsi="Arial"/>
          <w:i/>
        </w:rPr>
        <w:t>C</w:t>
      </w:r>
      <w:r w:rsidR="005C629E">
        <w:rPr>
          <w:rFonts w:ascii="Arial" w:hAnsi="Arial"/>
          <w:i/>
        </w:rPr>
        <w:t xml:space="preserve">ommon </w:t>
      </w:r>
      <w:r w:rsidR="0090315D">
        <w:rPr>
          <w:rFonts w:ascii="Arial" w:hAnsi="Arial"/>
          <w:i/>
        </w:rPr>
        <w:t>S</w:t>
      </w:r>
      <w:r w:rsidR="005C629E" w:rsidRPr="0090315D">
        <w:rPr>
          <w:rFonts w:ascii="Arial" w:hAnsi="Arial"/>
          <w:i/>
        </w:rPr>
        <w:t xml:space="preserve">hare and one </w:t>
      </w:r>
      <w:r w:rsidR="0090315D">
        <w:rPr>
          <w:rFonts w:ascii="Arial" w:hAnsi="Arial"/>
          <w:i/>
        </w:rPr>
        <w:t>C</w:t>
      </w:r>
      <w:r w:rsidR="005C629E" w:rsidRPr="0090315D">
        <w:rPr>
          <w:rFonts w:ascii="Arial" w:hAnsi="Arial"/>
          <w:i/>
        </w:rPr>
        <w:t xml:space="preserve">ommon </w:t>
      </w:r>
      <w:r w:rsidR="0090315D">
        <w:rPr>
          <w:rFonts w:ascii="Arial" w:hAnsi="Arial"/>
          <w:i/>
        </w:rPr>
        <w:t>S</w:t>
      </w:r>
      <w:r w:rsidR="005C629E" w:rsidRPr="0090315D">
        <w:rPr>
          <w:rFonts w:ascii="Arial" w:hAnsi="Arial"/>
          <w:i/>
        </w:rPr>
        <w:t>hare purchase warrant with an exercise price of $0.50 and expiry of May 28, 2024.</w:t>
      </w:r>
      <w:r w:rsidR="000B6D2A" w:rsidRPr="0090315D">
        <w:rPr>
          <w:rFonts w:ascii="Arial" w:hAnsi="Arial"/>
          <w:i/>
        </w:rPr>
        <w:t xml:space="preserve"> </w:t>
      </w:r>
      <w:r w:rsidR="006E26FE" w:rsidRPr="0090315D">
        <w:rPr>
          <w:rFonts w:ascii="Arial" w:hAnsi="Arial"/>
          <w:i/>
        </w:rPr>
        <w:t xml:space="preserve">  </w:t>
      </w:r>
    </w:p>
    <w:p w14:paraId="48CB7EAD" w14:textId="438A61A9" w:rsidR="000B0D70" w:rsidRDefault="000B0D70" w:rsidP="00BA59F9">
      <w:pPr>
        <w:pStyle w:val="List"/>
        <w:numPr>
          <w:ilvl w:val="0"/>
          <w:numId w:val="34"/>
        </w:numPr>
        <w:spacing w:before="120"/>
        <w:jc w:val="both"/>
        <w:rPr>
          <w:rFonts w:ascii="Arial" w:hAnsi="Arial"/>
          <w:i/>
        </w:rPr>
      </w:pPr>
      <w:r>
        <w:rPr>
          <w:rFonts w:ascii="Arial" w:hAnsi="Arial"/>
          <w:i/>
        </w:rPr>
        <w:t xml:space="preserve">Closed on a </w:t>
      </w:r>
      <w:r w:rsidRPr="000B0D70">
        <w:rPr>
          <w:rFonts w:ascii="Arial" w:hAnsi="Arial"/>
          <w:i/>
        </w:rPr>
        <w:t xml:space="preserve">partial exercise of the </w:t>
      </w:r>
      <w:r w:rsidR="0090315D">
        <w:rPr>
          <w:rFonts w:ascii="Arial" w:hAnsi="Arial"/>
          <w:i/>
        </w:rPr>
        <w:t>O</w:t>
      </w:r>
      <w:r w:rsidRPr="000B0D70">
        <w:rPr>
          <w:rFonts w:ascii="Arial" w:hAnsi="Arial"/>
          <w:i/>
        </w:rPr>
        <w:t>ver-</w:t>
      </w:r>
      <w:r w:rsidR="0090315D">
        <w:rPr>
          <w:rFonts w:ascii="Arial" w:hAnsi="Arial"/>
          <w:i/>
        </w:rPr>
        <w:t>A</w:t>
      </w:r>
      <w:r w:rsidRPr="000B0D70">
        <w:rPr>
          <w:rFonts w:ascii="Arial" w:hAnsi="Arial"/>
          <w:i/>
        </w:rPr>
        <w:t xml:space="preserve">llotment </w:t>
      </w:r>
      <w:r w:rsidR="0090315D">
        <w:rPr>
          <w:rFonts w:ascii="Arial" w:hAnsi="Arial"/>
          <w:i/>
        </w:rPr>
        <w:t>O</w:t>
      </w:r>
      <w:r w:rsidRPr="000B0D70">
        <w:rPr>
          <w:rFonts w:ascii="Arial" w:hAnsi="Arial"/>
          <w:i/>
        </w:rPr>
        <w:t>ption</w:t>
      </w:r>
      <w:r>
        <w:rPr>
          <w:rFonts w:ascii="Arial" w:hAnsi="Arial"/>
          <w:i/>
        </w:rPr>
        <w:t xml:space="preserve"> and</w:t>
      </w:r>
      <w:r w:rsidRPr="000B0D70">
        <w:rPr>
          <w:rFonts w:ascii="Arial" w:hAnsi="Arial"/>
          <w:i/>
        </w:rPr>
        <w:t xml:space="preserve"> issued an additional 500,000 Units and an additional 478,750 </w:t>
      </w:r>
      <w:r w:rsidR="008D5122">
        <w:rPr>
          <w:rFonts w:ascii="Arial" w:hAnsi="Arial"/>
          <w:i/>
        </w:rPr>
        <w:t>W</w:t>
      </w:r>
      <w:r w:rsidRPr="000B0D70">
        <w:rPr>
          <w:rFonts w:ascii="Arial" w:hAnsi="Arial"/>
          <w:i/>
        </w:rPr>
        <w:t>arrants for additional gross proceeds of approximately $226,953.</w:t>
      </w:r>
      <w:r>
        <w:rPr>
          <w:rFonts w:ascii="Arial" w:hAnsi="Arial"/>
          <w:i/>
        </w:rPr>
        <w:t xml:space="preserve">  </w:t>
      </w:r>
      <w:r w:rsidRPr="000B0D70">
        <w:rPr>
          <w:rFonts w:ascii="Arial" w:hAnsi="Arial"/>
          <w:i/>
        </w:rPr>
        <w:t>Each Unit consist</w:t>
      </w:r>
      <w:r w:rsidR="008D5122">
        <w:rPr>
          <w:rFonts w:ascii="Arial" w:hAnsi="Arial"/>
          <w:i/>
        </w:rPr>
        <w:t>ed</w:t>
      </w:r>
      <w:r w:rsidRPr="000B0D70">
        <w:rPr>
          <w:rFonts w:ascii="Arial" w:hAnsi="Arial"/>
          <w:i/>
        </w:rPr>
        <w:t xml:space="preserve"> of one </w:t>
      </w:r>
      <w:r>
        <w:rPr>
          <w:rFonts w:ascii="Arial" w:hAnsi="Arial"/>
          <w:i/>
        </w:rPr>
        <w:t>C</w:t>
      </w:r>
      <w:r w:rsidRPr="000B0D70">
        <w:rPr>
          <w:rFonts w:ascii="Arial" w:hAnsi="Arial"/>
          <w:i/>
        </w:rPr>
        <w:t xml:space="preserve">ommon </w:t>
      </w:r>
      <w:r>
        <w:rPr>
          <w:rFonts w:ascii="Arial" w:hAnsi="Arial"/>
          <w:i/>
        </w:rPr>
        <w:t>S</w:t>
      </w:r>
      <w:r w:rsidRPr="000B0D70">
        <w:rPr>
          <w:rFonts w:ascii="Arial" w:hAnsi="Arial"/>
          <w:i/>
        </w:rPr>
        <w:t>hare and one Warrant. Each Warrant entitles the holder to purchase one Common Share at an exercise price of $0.50 expiring on May 28, 2024.</w:t>
      </w:r>
      <w:r>
        <w:rPr>
          <w:rFonts w:ascii="Arial" w:hAnsi="Arial"/>
          <w:i/>
        </w:rPr>
        <w:t xml:space="preserve">  Pursuant to the exercise, </w:t>
      </w:r>
      <w:r w:rsidRPr="000B0D70">
        <w:rPr>
          <w:rFonts w:ascii="Arial" w:hAnsi="Arial"/>
          <w:i/>
        </w:rPr>
        <w:t xml:space="preserve">the Company paid $22,695 in agent’s fees and issued 50,000 compensation options (with exercise price of $0.40, entitling the holder to purchase one </w:t>
      </w:r>
      <w:r w:rsidR="008D5122">
        <w:rPr>
          <w:rFonts w:ascii="Arial" w:hAnsi="Arial"/>
          <w:i/>
        </w:rPr>
        <w:t>U</w:t>
      </w:r>
      <w:r w:rsidRPr="000B0D70">
        <w:rPr>
          <w:rFonts w:ascii="Arial" w:hAnsi="Arial"/>
          <w:i/>
        </w:rPr>
        <w:t xml:space="preserve">nit, consisting of one </w:t>
      </w:r>
      <w:r w:rsidR="008D5122">
        <w:rPr>
          <w:rFonts w:ascii="Arial" w:hAnsi="Arial"/>
          <w:i/>
        </w:rPr>
        <w:t>C</w:t>
      </w:r>
      <w:r w:rsidRPr="000B0D70">
        <w:rPr>
          <w:rFonts w:ascii="Arial" w:hAnsi="Arial"/>
          <w:i/>
        </w:rPr>
        <w:t xml:space="preserve">ommon </w:t>
      </w:r>
      <w:r w:rsidR="008D5122">
        <w:rPr>
          <w:rFonts w:ascii="Arial" w:hAnsi="Arial"/>
          <w:i/>
        </w:rPr>
        <w:t>S</w:t>
      </w:r>
      <w:r w:rsidRPr="000B0D70">
        <w:rPr>
          <w:rFonts w:ascii="Arial" w:hAnsi="Arial"/>
          <w:i/>
        </w:rPr>
        <w:t xml:space="preserve">hare and one </w:t>
      </w:r>
      <w:r w:rsidR="008D5122">
        <w:rPr>
          <w:rFonts w:ascii="Arial" w:hAnsi="Arial"/>
          <w:i/>
        </w:rPr>
        <w:t>W</w:t>
      </w:r>
      <w:r w:rsidRPr="000B0D70">
        <w:rPr>
          <w:rFonts w:ascii="Arial" w:hAnsi="Arial"/>
          <w:i/>
        </w:rPr>
        <w:t xml:space="preserve">arrant with exercise price of $0.50 and expiry of May 28, 2024) and 47,875 compensation options </w:t>
      </w:r>
      <w:r w:rsidRPr="000B0D70">
        <w:rPr>
          <w:rFonts w:ascii="Arial" w:hAnsi="Arial"/>
          <w:i/>
        </w:rPr>
        <w:lastRenderedPageBreak/>
        <w:t xml:space="preserve">(with exercise price of $0.50 entitling the holder to purchase one </w:t>
      </w:r>
      <w:r w:rsidR="008D5122">
        <w:rPr>
          <w:rFonts w:ascii="Arial" w:hAnsi="Arial"/>
          <w:i/>
        </w:rPr>
        <w:t>C</w:t>
      </w:r>
      <w:r w:rsidRPr="000B0D70">
        <w:rPr>
          <w:rFonts w:ascii="Arial" w:hAnsi="Arial"/>
          <w:i/>
        </w:rPr>
        <w:t xml:space="preserve">ommon </w:t>
      </w:r>
      <w:r w:rsidR="008D5122">
        <w:rPr>
          <w:rFonts w:ascii="Arial" w:hAnsi="Arial"/>
          <w:i/>
        </w:rPr>
        <w:t>S</w:t>
      </w:r>
      <w:r w:rsidRPr="000B0D70">
        <w:rPr>
          <w:rFonts w:ascii="Arial" w:hAnsi="Arial"/>
          <w:i/>
        </w:rPr>
        <w:t>hare and expiry of May 28, 2024).</w:t>
      </w:r>
    </w:p>
    <w:p w14:paraId="3BB29918" w14:textId="7FCE8A5D" w:rsidR="000B0D70" w:rsidRDefault="000B0D70" w:rsidP="006E26FE">
      <w:pPr>
        <w:pStyle w:val="List"/>
        <w:spacing w:before="120"/>
        <w:ind w:left="720" w:firstLine="0"/>
        <w:jc w:val="both"/>
        <w:rPr>
          <w:rFonts w:ascii="Arial" w:hAnsi="Arial"/>
          <w:i/>
        </w:rPr>
      </w:pPr>
      <w:r w:rsidRPr="000B0D70">
        <w:rPr>
          <w:rFonts w:ascii="Arial" w:hAnsi="Arial"/>
          <w:i/>
        </w:rPr>
        <w:t xml:space="preserve">In June 2021, the Company’s joint application to the </w:t>
      </w:r>
      <w:proofErr w:type="spellStart"/>
      <w:r w:rsidRPr="000B0D70">
        <w:rPr>
          <w:rFonts w:ascii="Arial" w:hAnsi="Arial"/>
          <w:i/>
        </w:rPr>
        <w:t>Mitacs</w:t>
      </w:r>
      <w:proofErr w:type="spellEnd"/>
      <w:r w:rsidRPr="000B0D70">
        <w:rPr>
          <w:rFonts w:ascii="Arial" w:hAnsi="Arial"/>
          <w:i/>
        </w:rPr>
        <w:t xml:space="preserve"> Accelerate program, in collaboration with </w:t>
      </w:r>
      <w:proofErr w:type="spellStart"/>
      <w:r w:rsidRPr="000B0D70">
        <w:rPr>
          <w:rFonts w:ascii="Arial" w:hAnsi="Arial"/>
          <w:i/>
        </w:rPr>
        <w:t>Dr.</w:t>
      </w:r>
      <w:proofErr w:type="spellEnd"/>
      <w:r w:rsidRPr="000B0D70">
        <w:rPr>
          <w:rFonts w:ascii="Arial" w:hAnsi="Arial"/>
          <w:i/>
        </w:rPr>
        <w:t xml:space="preserve"> Argel Aguilar-Valles at Carleton University Department of Neuroscience, was successfully funded for research into the anti-depressant effects of TD-0148A in preclinical models of chronic depression.  As part of the Accelerate Program funded by </w:t>
      </w:r>
      <w:proofErr w:type="spellStart"/>
      <w:r w:rsidRPr="000B0D70">
        <w:rPr>
          <w:rFonts w:ascii="Arial" w:hAnsi="Arial"/>
          <w:i/>
        </w:rPr>
        <w:t>Mitacs</w:t>
      </w:r>
      <w:proofErr w:type="spellEnd"/>
      <w:r w:rsidRPr="000B0D70">
        <w:rPr>
          <w:rFonts w:ascii="Arial" w:hAnsi="Arial"/>
          <w:i/>
        </w:rPr>
        <w:t xml:space="preserve">, </w:t>
      </w:r>
      <w:proofErr w:type="spellStart"/>
      <w:r w:rsidRPr="000B0D70">
        <w:rPr>
          <w:rFonts w:ascii="Arial" w:hAnsi="Arial"/>
          <w:i/>
        </w:rPr>
        <w:t>Dr.</w:t>
      </w:r>
      <w:proofErr w:type="spellEnd"/>
      <w:r w:rsidRPr="000B0D70">
        <w:rPr>
          <w:rFonts w:ascii="Arial" w:hAnsi="Arial"/>
          <w:i/>
        </w:rPr>
        <w:t xml:space="preserve"> Argel Aguilar-Valles’ team will work with the Company to test TD-0148A in both in vitro and in vivo models that are established in their lab. The team’s expertise is to understand the molecular mechanisms that underlie psychiatric and neurodevelopmental disorders</w:t>
      </w:r>
      <w:r>
        <w:rPr>
          <w:rFonts w:ascii="Arial" w:hAnsi="Arial"/>
          <w:i/>
        </w:rPr>
        <w:t xml:space="preserve">, </w:t>
      </w:r>
      <w:r w:rsidRPr="000B0D70">
        <w:rPr>
          <w:rFonts w:ascii="Arial" w:hAnsi="Arial"/>
          <w:i/>
        </w:rPr>
        <w:t>us</w:t>
      </w:r>
      <w:r>
        <w:rPr>
          <w:rFonts w:ascii="Arial" w:hAnsi="Arial"/>
          <w:i/>
        </w:rPr>
        <w:t>ing</w:t>
      </w:r>
      <w:r w:rsidRPr="000B0D70">
        <w:rPr>
          <w:rFonts w:ascii="Arial" w:hAnsi="Arial"/>
          <w:i/>
        </w:rPr>
        <w:t xml:space="preserve"> a combination of biochemistry, molecular biology, neuronal </w:t>
      </w:r>
      <w:proofErr w:type="gramStart"/>
      <w:r w:rsidRPr="000B0D70">
        <w:rPr>
          <w:rFonts w:ascii="Arial" w:hAnsi="Arial"/>
          <w:i/>
        </w:rPr>
        <w:t>culture</w:t>
      </w:r>
      <w:proofErr w:type="gramEnd"/>
      <w:r w:rsidRPr="000B0D70">
        <w:rPr>
          <w:rFonts w:ascii="Arial" w:hAnsi="Arial"/>
          <w:i/>
        </w:rPr>
        <w:t xml:space="preserve"> and animal models (mice).</w:t>
      </w:r>
    </w:p>
    <w:p w14:paraId="319F0E04" w14:textId="198D88B1" w:rsidR="008D5122" w:rsidRDefault="008D5122" w:rsidP="006E26FE">
      <w:pPr>
        <w:pStyle w:val="List"/>
        <w:spacing w:before="120"/>
        <w:ind w:left="720" w:firstLine="0"/>
        <w:jc w:val="both"/>
        <w:rPr>
          <w:rFonts w:ascii="Arial" w:hAnsi="Arial"/>
          <w:i/>
        </w:rPr>
      </w:pPr>
      <w:r>
        <w:rPr>
          <w:rFonts w:ascii="Arial" w:hAnsi="Arial"/>
          <w:i/>
        </w:rPr>
        <w:t xml:space="preserve">During the month, the Company also </w:t>
      </w:r>
      <w:r w:rsidRPr="000B0D70">
        <w:rPr>
          <w:rFonts w:ascii="Arial" w:hAnsi="Arial"/>
          <w:i/>
        </w:rPr>
        <w:t>retained Proactive Investors and Psychedelic Finance</w:t>
      </w:r>
      <w:r>
        <w:rPr>
          <w:rFonts w:ascii="Arial" w:hAnsi="Arial"/>
          <w:i/>
        </w:rPr>
        <w:t>,</w:t>
      </w:r>
      <w:r w:rsidRPr="000B0D70">
        <w:rPr>
          <w:rFonts w:ascii="Arial" w:hAnsi="Arial"/>
          <w:i/>
        </w:rPr>
        <w:t xml:space="preserve"> to broaden the Company's reach within a global investor network</w:t>
      </w:r>
      <w:r>
        <w:rPr>
          <w:rFonts w:ascii="Arial" w:hAnsi="Arial"/>
          <w:i/>
        </w:rPr>
        <w:t xml:space="preserve"> and t</w:t>
      </w:r>
      <w:r w:rsidRPr="000B0D70">
        <w:rPr>
          <w:rFonts w:ascii="Arial" w:hAnsi="Arial"/>
          <w:i/>
        </w:rPr>
        <w:t>o assist with general market awareness</w:t>
      </w:r>
      <w:r>
        <w:rPr>
          <w:rFonts w:ascii="Arial" w:hAnsi="Arial"/>
          <w:i/>
        </w:rPr>
        <w:t>, and engaged U.</w:t>
      </w:r>
      <w:r w:rsidRPr="000B0D70">
        <w:rPr>
          <w:rFonts w:ascii="Arial" w:hAnsi="Arial"/>
          <w:i/>
        </w:rPr>
        <w:t>K.-based financial and corporate communications consultancy Buchanan Communications Ltd.</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4E583B6F" w:rsidR="00A23C08" w:rsidRPr="00D861FE" w:rsidRDefault="000B0D70" w:rsidP="00A23C08">
      <w:pPr>
        <w:pStyle w:val="List"/>
        <w:spacing w:before="120"/>
        <w:ind w:left="720" w:firstLine="0"/>
        <w:jc w:val="both"/>
        <w:rPr>
          <w:rFonts w:ascii="Arial" w:hAnsi="Arial"/>
          <w:i/>
        </w:rPr>
      </w:pPr>
      <w:r>
        <w:rPr>
          <w:rFonts w:ascii="Arial" w:hAnsi="Arial"/>
          <w:i/>
        </w:rPr>
        <w:t>Please see Item 1.</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w:t>
      </w:r>
      <w:r>
        <w:rPr>
          <w:rFonts w:ascii="Arial" w:hAnsi="Arial"/>
        </w:rPr>
        <w:lastRenderedPageBreak/>
        <w:t>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3095E298" w:rsidR="00C358BE" w:rsidRPr="0014406D" w:rsidRDefault="00BC20AB"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236502AA" w:rsidR="003138E2" w:rsidRPr="0014406D" w:rsidRDefault="00215CEC" w:rsidP="003138E2">
      <w:pPr>
        <w:pStyle w:val="List"/>
        <w:spacing w:before="120"/>
        <w:ind w:left="720" w:firstLine="0"/>
        <w:jc w:val="both"/>
        <w:rPr>
          <w:rFonts w:ascii="Arial" w:hAnsi="Arial"/>
          <w:i/>
        </w:rPr>
      </w:pPr>
      <w:r>
        <w:rPr>
          <w:rFonts w:ascii="Arial" w:hAnsi="Arial"/>
          <w:i/>
        </w:rPr>
        <w:t xml:space="preserve">A patent application for composition of gallium (III) complexes for oral administration by the Company’s </w:t>
      </w:r>
      <w:proofErr w:type="gramStart"/>
      <w:r>
        <w:rPr>
          <w:rFonts w:ascii="Arial" w:hAnsi="Arial"/>
          <w:i/>
        </w:rPr>
        <w:t>fully-owned</w:t>
      </w:r>
      <w:proofErr w:type="gramEnd"/>
      <w:r>
        <w:rPr>
          <w:rFonts w:ascii="Arial" w:hAnsi="Arial"/>
          <w:i/>
        </w:rPr>
        <w:t xml:space="preserve"> subsidiary, </w:t>
      </w:r>
      <w:proofErr w:type="spellStart"/>
      <w:r>
        <w:rPr>
          <w:rFonts w:ascii="Arial" w:hAnsi="Arial"/>
          <w:i/>
        </w:rPr>
        <w:t>Altum</w:t>
      </w:r>
      <w:proofErr w:type="spellEnd"/>
      <w:r>
        <w:rPr>
          <w:rFonts w:ascii="Arial" w:hAnsi="Arial"/>
          <w:i/>
        </w:rPr>
        <w:t xml:space="preserve"> Pharmaceuticals Inc., has been issued by the Intellectual Property Office of Singapore.</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48D5075C" w:rsidR="0014406D" w:rsidRPr="0014406D" w:rsidRDefault="001D0265" w:rsidP="00BC51E5">
      <w:pPr>
        <w:pStyle w:val="List"/>
        <w:spacing w:before="120"/>
        <w:ind w:left="720" w:firstLine="0"/>
        <w:jc w:val="both"/>
        <w:rPr>
          <w:rFonts w:ascii="Arial" w:hAnsi="Arial"/>
          <w:i/>
        </w:rPr>
      </w:pPr>
      <w:r>
        <w:rPr>
          <w:rFonts w:ascii="Arial" w:hAnsi="Arial"/>
          <w:i/>
        </w:rPr>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26261408"/>
      <w:bookmarkStart w:id="11" w:name="_Hlk23950278"/>
      <w:bookmarkStart w:id="12" w:name="_Hlk23950309"/>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bookmarkEnd w:id="9"/>
      <w:r>
        <w:rPr>
          <w:rFonts w:ascii="Arial" w:hAnsi="Arial"/>
        </w:rPr>
        <w:t>.</w:t>
      </w:r>
    </w:p>
    <w:bookmarkEnd w:id="10"/>
    <w:bookmarkEnd w:id="11"/>
    <w:bookmarkEnd w:id="12"/>
    <w:p w14:paraId="6AA8A22A" w14:textId="69507C2E" w:rsidR="000C1488" w:rsidRDefault="0090315D" w:rsidP="000C1488">
      <w:pPr>
        <w:pStyle w:val="List"/>
        <w:spacing w:before="120"/>
        <w:ind w:left="720" w:firstLine="0"/>
        <w:jc w:val="both"/>
        <w:rPr>
          <w:rFonts w:ascii="Arial" w:hAnsi="Arial"/>
          <w:i/>
        </w:rPr>
      </w:pPr>
      <w:r w:rsidRPr="0090315D">
        <w:rPr>
          <w:rFonts w:ascii="Arial" w:hAnsi="Arial"/>
          <w:i/>
        </w:rPr>
        <w:t xml:space="preserve">In March 2021, </w:t>
      </w:r>
      <w:proofErr w:type="spellStart"/>
      <w:r w:rsidRPr="0090315D">
        <w:rPr>
          <w:rFonts w:ascii="Arial" w:hAnsi="Arial"/>
          <w:i/>
        </w:rPr>
        <w:t>Olymbec</w:t>
      </w:r>
      <w:proofErr w:type="spellEnd"/>
      <w:r w:rsidRPr="0090315D">
        <w:rPr>
          <w:rFonts w:ascii="Arial" w:hAnsi="Arial"/>
          <w:i/>
        </w:rPr>
        <w:t xml:space="preserve"> Development Inc. (“</w:t>
      </w:r>
      <w:proofErr w:type="spellStart"/>
      <w:r w:rsidRPr="0090315D">
        <w:rPr>
          <w:rFonts w:ascii="Arial" w:hAnsi="Arial"/>
          <w:i/>
        </w:rPr>
        <w:t>Olymbec</w:t>
      </w:r>
      <w:proofErr w:type="spellEnd"/>
      <w:r w:rsidRPr="0090315D">
        <w:rPr>
          <w:rFonts w:ascii="Arial" w:hAnsi="Arial"/>
          <w:i/>
        </w:rPr>
        <w:t xml:space="preserve">”) filed a judicial demand before the Superior Court of Québec and a judgement for a safeguard order was obtained by </w:t>
      </w:r>
      <w:proofErr w:type="spellStart"/>
      <w:r w:rsidRPr="0090315D">
        <w:rPr>
          <w:rFonts w:ascii="Arial" w:hAnsi="Arial"/>
          <w:i/>
        </w:rPr>
        <w:t>Olymbec</w:t>
      </w:r>
      <w:proofErr w:type="spellEnd"/>
      <w:r w:rsidRPr="0090315D">
        <w:rPr>
          <w:rFonts w:ascii="Arial" w:hAnsi="Arial"/>
          <w:i/>
        </w:rPr>
        <w:t xml:space="preserve"> Development Inc. (“</w:t>
      </w:r>
      <w:proofErr w:type="spellStart"/>
      <w:r w:rsidRPr="0090315D">
        <w:rPr>
          <w:rFonts w:ascii="Arial" w:hAnsi="Arial"/>
          <w:i/>
        </w:rPr>
        <w:t>Olymbec</w:t>
      </w:r>
      <w:proofErr w:type="spellEnd"/>
      <w:r w:rsidRPr="0090315D">
        <w:rPr>
          <w:rFonts w:ascii="Arial" w:hAnsi="Arial"/>
          <w:i/>
        </w:rPr>
        <w:t>”) against Pivot</w:t>
      </w:r>
      <w:r w:rsidR="008D5122">
        <w:rPr>
          <w:rFonts w:ascii="Arial" w:hAnsi="Arial"/>
          <w:i/>
        </w:rPr>
        <w:t xml:space="preserve"> Pharmaceuticals Manufacturing Corp. (“Pivot”)</w:t>
      </w:r>
      <w:r w:rsidRPr="0090315D">
        <w:rPr>
          <w:rFonts w:ascii="Arial" w:hAnsi="Arial"/>
          <w:i/>
        </w:rPr>
        <w:t xml:space="preserve">, a former subsidiary, and the Company, as guarantor of the lease at 285-295 </w:t>
      </w:r>
      <w:proofErr w:type="spellStart"/>
      <w:r w:rsidRPr="0090315D">
        <w:rPr>
          <w:rFonts w:ascii="Arial" w:hAnsi="Arial"/>
          <w:i/>
        </w:rPr>
        <w:t>Kesmark</w:t>
      </w:r>
      <w:proofErr w:type="spellEnd"/>
      <w:r w:rsidRPr="0090315D">
        <w:rPr>
          <w:rFonts w:ascii="Arial" w:hAnsi="Arial"/>
          <w:i/>
        </w:rPr>
        <w:t xml:space="preserve"> Street, Quebec, ordering Pivot and the Company to jointly pay the full amount of the lease on the first day of each month.  In May 2021, a judgement for a safeguard order was issued ordering Pivot and the Company to provide post-dated cheques for monthly lease payments for the months of June through November 2021.  In June 2021, a judgement granted Pivot and the Company until June 30, </w:t>
      </w:r>
      <w:proofErr w:type="gramStart"/>
      <w:r w:rsidRPr="0090315D">
        <w:rPr>
          <w:rFonts w:ascii="Arial" w:hAnsi="Arial"/>
          <w:i/>
        </w:rPr>
        <w:t>2021</w:t>
      </w:r>
      <w:proofErr w:type="gramEnd"/>
      <w:r w:rsidRPr="0090315D">
        <w:rPr>
          <w:rFonts w:ascii="Arial" w:hAnsi="Arial"/>
          <w:i/>
        </w:rPr>
        <w:t xml:space="preserve"> to pay the outstanding lease </w:t>
      </w:r>
      <w:proofErr w:type="spellStart"/>
      <w:r w:rsidRPr="0090315D">
        <w:rPr>
          <w:rFonts w:ascii="Arial" w:hAnsi="Arial"/>
          <w:i/>
        </w:rPr>
        <w:t>totaling</w:t>
      </w:r>
      <w:proofErr w:type="spellEnd"/>
      <w:r w:rsidRPr="0090315D">
        <w:rPr>
          <w:rFonts w:ascii="Arial" w:hAnsi="Arial"/>
          <w:i/>
        </w:rPr>
        <w:t xml:space="preserve"> $124,223 and to deliver post-dated cheques each in the amount of $49,410.51 for monthly lease payments for the months of July through November 2021.   Pursuant to the share purchase agreement that closed in December 2020 for the sale of 100% of the issued and outstanding common shares of Pivot, the Company should be indemnified from </w:t>
      </w:r>
      <w:proofErr w:type="gramStart"/>
      <w:r w:rsidRPr="0090315D">
        <w:rPr>
          <w:rFonts w:ascii="Arial" w:hAnsi="Arial"/>
          <w:i/>
        </w:rPr>
        <w:t>any and all</w:t>
      </w:r>
      <w:proofErr w:type="gramEnd"/>
      <w:r w:rsidRPr="0090315D">
        <w:rPr>
          <w:rFonts w:ascii="Arial" w:hAnsi="Arial"/>
          <w:i/>
        </w:rPr>
        <w:t xml:space="preserve"> claims suffered by the Company in connection with and as guarantor of the lease. The Company is assessing options available to contest the judicial demand from </w:t>
      </w:r>
      <w:proofErr w:type="spellStart"/>
      <w:r w:rsidRPr="0090315D">
        <w:rPr>
          <w:rFonts w:ascii="Arial" w:hAnsi="Arial"/>
          <w:i/>
        </w:rPr>
        <w:t>Olymbec</w:t>
      </w:r>
      <w:proofErr w:type="spellEnd"/>
      <w:r w:rsidRPr="0090315D">
        <w:rPr>
          <w:rFonts w:ascii="Arial" w:hAnsi="Arial"/>
          <w:i/>
        </w:rPr>
        <w:t xml:space="preserve"> and mitigate its damages</w:t>
      </w:r>
      <w:r>
        <w:rPr>
          <w:rFonts w:ascii="Arial" w:hAnsi="Arial"/>
          <w:i/>
        </w:rPr>
        <w:t>.</w:t>
      </w:r>
    </w:p>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B36F457" w14:textId="4FB8CE98" w:rsidR="0084310F" w:rsidRPr="0014406D" w:rsidRDefault="0090315D" w:rsidP="0014406D">
      <w:pPr>
        <w:pStyle w:val="List"/>
        <w:spacing w:before="120"/>
        <w:ind w:left="720" w:firstLine="0"/>
        <w:jc w:val="both"/>
        <w:rPr>
          <w:rFonts w:ascii="Arial" w:hAnsi="Arial"/>
          <w:i/>
        </w:rPr>
      </w:pPr>
      <w:r>
        <w:rPr>
          <w:rFonts w:ascii="Arial" w:hAnsi="Arial"/>
          <w:i/>
        </w:rPr>
        <w:lastRenderedPageBreak/>
        <w:t>During June 2021, the Company repaid $250,000 of its $500,000 convertible debenture issued in September 2020 and with interest rate of 8% per annum, expiry of December 2, 2020 and conversion price of $1.15 per common share.</w:t>
      </w:r>
    </w:p>
    <w:p w14:paraId="56485FA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3284ACC7" w:rsidR="00AF78A3" w:rsidRPr="00AF78A3" w:rsidRDefault="00621E6A" w:rsidP="0090315D">
      <w:pPr>
        <w:pStyle w:val="List"/>
        <w:keepNext/>
        <w:keepLines/>
        <w:spacing w:before="120"/>
        <w:ind w:left="720" w:firstLine="0"/>
        <w:jc w:val="both"/>
        <w:rPr>
          <w:rFonts w:ascii="Arial" w:hAnsi="Arial"/>
          <w:i/>
          <w:iCs/>
        </w:rPr>
      </w:pPr>
      <w:r>
        <w:rPr>
          <w:rFonts w:ascii="Arial" w:hAnsi="Arial"/>
          <w:i/>
        </w:rPr>
        <w:t>Please see Item 1.</w:t>
      </w:r>
      <w:r w:rsidR="006E26FE">
        <w:rPr>
          <w:rFonts w:ascii="Arial" w:hAnsi="Arial"/>
          <w:i/>
        </w:rPr>
        <w:t xml:space="preserve">  </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1AE95553"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27B5F5ED" w:rsidR="00A23C08" w:rsidRPr="00D861FE" w:rsidRDefault="000B6D2A" w:rsidP="00A23C08">
      <w:pPr>
        <w:pStyle w:val="List"/>
        <w:spacing w:before="120"/>
        <w:ind w:left="720" w:firstLine="0"/>
        <w:jc w:val="both"/>
        <w:rPr>
          <w:rFonts w:ascii="Arial" w:hAnsi="Arial"/>
          <w:i/>
        </w:rPr>
      </w:pPr>
      <w:r>
        <w:rPr>
          <w:rFonts w:ascii="Arial" w:hAnsi="Arial"/>
          <w:i/>
        </w:rPr>
        <w:t>On June 2</w:t>
      </w:r>
      <w:r w:rsidR="0090315D">
        <w:rPr>
          <w:rFonts w:ascii="Arial" w:hAnsi="Arial"/>
          <w:i/>
        </w:rPr>
        <w:t>,</w:t>
      </w:r>
      <w:r>
        <w:rPr>
          <w:rFonts w:ascii="Arial" w:hAnsi="Arial"/>
          <w:i/>
        </w:rPr>
        <w:t xml:space="preserve"> </w:t>
      </w:r>
      <w:r w:rsidR="006E26FE">
        <w:rPr>
          <w:rFonts w:ascii="Arial" w:hAnsi="Arial"/>
          <w:i/>
        </w:rPr>
        <w:t xml:space="preserve">2021, the Company appointed Mr. Henri Sant-Cassia </w:t>
      </w:r>
      <w:r>
        <w:rPr>
          <w:rFonts w:ascii="Arial" w:hAnsi="Arial"/>
          <w:i/>
        </w:rPr>
        <w:t>to its Board of Directors</w:t>
      </w:r>
      <w:r w:rsidR="006E26FE">
        <w:rPr>
          <w:rFonts w:ascii="Arial" w:hAnsi="Arial"/>
          <w:i/>
        </w:rPr>
        <w:t>.</w:t>
      </w:r>
    </w:p>
    <w:p w14:paraId="3FE17C8C" w14:textId="37BCFBE5" w:rsidR="00640E94" w:rsidRDefault="00640E94">
      <w:pPr>
        <w:pStyle w:val="List"/>
        <w:numPr>
          <w:ilvl w:val="0"/>
          <w:numId w:val="28"/>
        </w:numPr>
        <w:spacing w:before="120"/>
        <w:jc w:val="both"/>
        <w:rPr>
          <w:rFonts w:ascii="Arial" w:hAnsi="Arial"/>
        </w:rPr>
      </w:pPr>
      <w:bookmarkStart w:id="13" w:name="_Hlk36806284"/>
      <w:r>
        <w:rPr>
          <w:rFonts w:ascii="Arial" w:hAnsi="Arial"/>
        </w:rPr>
        <w:t>Discuss any trends which are likely to impact the Issuer including trends in the Issuer’s market(s) or political/regulatory trends.</w:t>
      </w:r>
    </w:p>
    <w:bookmarkEnd w:id="13"/>
    <w:p w14:paraId="511DAB59" w14:textId="537527BD" w:rsidR="00A37A50" w:rsidRPr="004E4F81" w:rsidRDefault="004E4F81" w:rsidP="00C358BE">
      <w:pPr>
        <w:pStyle w:val="List"/>
        <w:keepNext/>
        <w:spacing w:before="120"/>
        <w:ind w:left="720" w:firstLine="0"/>
        <w:jc w:val="both"/>
        <w:rPr>
          <w:rFonts w:ascii="Arial" w:hAnsi="Arial" w:cs="Arial"/>
          <w:bCs/>
          <w:i/>
          <w:iCs/>
        </w:rPr>
      </w:pPr>
      <w:r w:rsidRPr="004E4F81">
        <w:rPr>
          <w:rFonts w:ascii="Arial" w:hAnsi="Arial" w:cs="Arial"/>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34C7CCCA"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90315D">
        <w:rPr>
          <w:rFonts w:ascii="Arial" w:hAnsi="Arial"/>
        </w:rPr>
        <w:t>July 5</w:t>
      </w:r>
      <w:r w:rsidR="004E4F81">
        <w:rPr>
          <w:rFonts w:ascii="Arial" w:hAnsi="Arial"/>
        </w:rPr>
        <w:t>,</w:t>
      </w:r>
      <w:r w:rsidR="005F4DD8">
        <w:rPr>
          <w:rFonts w:ascii="Arial" w:hAnsi="Arial"/>
        </w:rPr>
        <w:t xml:space="preserve"> </w:t>
      </w:r>
      <w:r w:rsidR="00F21064">
        <w:rPr>
          <w:rFonts w:ascii="Arial" w:hAnsi="Arial"/>
        </w:rPr>
        <w:t>2021</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0DABB44D" w:rsidR="007736E2" w:rsidRDefault="0090315D">
            <w:pPr>
              <w:pStyle w:val="BodyText"/>
              <w:spacing w:before="0"/>
              <w:rPr>
                <w:rFonts w:ascii="Arial" w:hAnsi="Arial"/>
              </w:rPr>
            </w:pPr>
            <w:r>
              <w:rPr>
                <w:rFonts w:ascii="Arial" w:hAnsi="Arial"/>
              </w:rPr>
              <w:t>June</w:t>
            </w:r>
            <w:r w:rsidR="0093703B">
              <w:rPr>
                <w:rFonts w:ascii="Arial" w:hAnsi="Arial"/>
              </w:rPr>
              <w:t xml:space="preserve"> 2021</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363AEC4E" w:rsidR="007736E2" w:rsidRDefault="0047210C" w:rsidP="00D708C2">
            <w:pPr>
              <w:pStyle w:val="BodyText"/>
              <w:spacing w:before="0"/>
              <w:rPr>
                <w:rFonts w:ascii="Arial" w:hAnsi="Arial"/>
              </w:rPr>
            </w:pPr>
            <w:r>
              <w:rPr>
                <w:rFonts w:ascii="Arial" w:hAnsi="Arial"/>
              </w:rPr>
              <w:t>20</w:t>
            </w:r>
            <w:r w:rsidR="001E25F7">
              <w:rPr>
                <w:rFonts w:ascii="Arial" w:hAnsi="Arial"/>
              </w:rPr>
              <w:t>2</w:t>
            </w:r>
            <w:r w:rsidR="00F21064">
              <w:rPr>
                <w:rFonts w:ascii="Arial" w:hAnsi="Arial"/>
              </w:rPr>
              <w:t>1</w:t>
            </w:r>
            <w:r w:rsidR="001E25F7">
              <w:rPr>
                <w:rFonts w:ascii="Arial" w:hAnsi="Arial"/>
              </w:rPr>
              <w:t>/</w:t>
            </w:r>
            <w:r w:rsidR="00F21064">
              <w:rPr>
                <w:rFonts w:ascii="Arial" w:hAnsi="Arial"/>
              </w:rPr>
              <w:t>0</w:t>
            </w:r>
            <w:r w:rsidR="0090315D">
              <w:rPr>
                <w:rFonts w:ascii="Arial" w:hAnsi="Arial"/>
              </w:rPr>
              <w:t>7</w:t>
            </w:r>
            <w:r w:rsidR="00842030">
              <w:rPr>
                <w:rFonts w:ascii="Arial" w:hAnsi="Arial"/>
              </w:rPr>
              <w:t>/</w:t>
            </w:r>
            <w:r w:rsidR="00A364F7">
              <w:rPr>
                <w:rFonts w:ascii="Arial" w:hAnsi="Arial"/>
              </w:rPr>
              <w:t>0</w:t>
            </w:r>
            <w:r w:rsidR="0090315D">
              <w:rPr>
                <w:rFonts w:ascii="Arial" w:hAnsi="Arial"/>
              </w:rPr>
              <w:t>5</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CFB76" w14:textId="77777777" w:rsidR="004A5891" w:rsidRDefault="004A5891">
      <w:r>
        <w:separator/>
      </w:r>
    </w:p>
  </w:endnote>
  <w:endnote w:type="continuationSeparator" w:id="0">
    <w:p w14:paraId="443DAC92" w14:textId="77777777" w:rsidR="004A5891" w:rsidRDefault="004A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CB7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56DB2"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C2BF" w14:textId="77777777" w:rsidR="004A5891" w:rsidRDefault="004A5891">
      <w:r>
        <w:separator/>
      </w:r>
    </w:p>
  </w:footnote>
  <w:footnote w:type="continuationSeparator" w:id="0">
    <w:p w14:paraId="019F92BE" w14:textId="77777777" w:rsidR="004A5891" w:rsidRDefault="004A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5"/>
  </w:num>
  <w:num w:numId="3">
    <w:abstractNumId w:val="19"/>
  </w:num>
  <w:num w:numId="4">
    <w:abstractNumId w:val="15"/>
  </w:num>
  <w:num w:numId="5">
    <w:abstractNumId w:val="4"/>
  </w:num>
  <w:num w:numId="6">
    <w:abstractNumId w:val="27"/>
  </w:num>
  <w:num w:numId="7">
    <w:abstractNumId w:val="10"/>
  </w:num>
  <w:num w:numId="8">
    <w:abstractNumId w:val="31"/>
  </w:num>
  <w:num w:numId="9">
    <w:abstractNumId w:val="23"/>
  </w:num>
  <w:num w:numId="10">
    <w:abstractNumId w:val="12"/>
  </w:num>
  <w:num w:numId="11">
    <w:abstractNumId w:val="16"/>
  </w:num>
  <w:num w:numId="12">
    <w:abstractNumId w:val="18"/>
  </w:num>
  <w:num w:numId="13">
    <w:abstractNumId w:val="33"/>
  </w:num>
  <w:num w:numId="14">
    <w:abstractNumId w:val="8"/>
  </w:num>
  <w:num w:numId="15">
    <w:abstractNumId w:val="11"/>
  </w:num>
  <w:num w:numId="16">
    <w:abstractNumId w:val="14"/>
  </w:num>
  <w:num w:numId="17">
    <w:abstractNumId w:val="21"/>
  </w:num>
  <w:num w:numId="18">
    <w:abstractNumId w:val="3"/>
  </w:num>
  <w:num w:numId="19">
    <w:abstractNumId w:val="9"/>
  </w:num>
  <w:num w:numId="20">
    <w:abstractNumId w:val="30"/>
  </w:num>
  <w:num w:numId="21">
    <w:abstractNumId w:val="1"/>
  </w:num>
  <w:num w:numId="22">
    <w:abstractNumId w:val="0"/>
  </w:num>
  <w:num w:numId="23">
    <w:abstractNumId w:val="26"/>
  </w:num>
  <w:num w:numId="24">
    <w:abstractNumId w:val="22"/>
  </w:num>
  <w:num w:numId="25">
    <w:abstractNumId w:val="6"/>
  </w:num>
  <w:num w:numId="26">
    <w:abstractNumId w:val="32"/>
  </w:num>
  <w:num w:numId="27">
    <w:abstractNumId w:val="34"/>
  </w:num>
  <w:num w:numId="28">
    <w:abstractNumId w:val="7"/>
  </w:num>
  <w:num w:numId="29">
    <w:abstractNumId w:val="13"/>
  </w:num>
  <w:num w:numId="30">
    <w:abstractNumId w:val="17"/>
  </w:num>
  <w:num w:numId="31">
    <w:abstractNumId w:val="5"/>
  </w:num>
  <w:num w:numId="32">
    <w:abstractNumId w:val="24"/>
  </w:num>
  <w:num w:numId="33">
    <w:abstractNumId w:val="2"/>
  </w:num>
  <w:num w:numId="34">
    <w:abstractNumId w:val="29"/>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30BC"/>
    <w:rsid w:val="00030265"/>
    <w:rsid w:val="00033ABE"/>
    <w:rsid w:val="000462DC"/>
    <w:rsid w:val="000620B8"/>
    <w:rsid w:val="00094394"/>
    <w:rsid w:val="00094955"/>
    <w:rsid w:val="000A1679"/>
    <w:rsid w:val="000A1AB1"/>
    <w:rsid w:val="000B0D70"/>
    <w:rsid w:val="000B1BCE"/>
    <w:rsid w:val="000B2461"/>
    <w:rsid w:val="000B5711"/>
    <w:rsid w:val="000B6D2A"/>
    <w:rsid w:val="000C008E"/>
    <w:rsid w:val="000C1488"/>
    <w:rsid w:val="000C228A"/>
    <w:rsid w:val="000C2C22"/>
    <w:rsid w:val="000C4603"/>
    <w:rsid w:val="000E548E"/>
    <w:rsid w:val="000F7CC4"/>
    <w:rsid w:val="001224F6"/>
    <w:rsid w:val="00126180"/>
    <w:rsid w:val="0014081F"/>
    <w:rsid w:val="0014406D"/>
    <w:rsid w:val="00152273"/>
    <w:rsid w:val="00165CB6"/>
    <w:rsid w:val="00166158"/>
    <w:rsid w:val="001740BD"/>
    <w:rsid w:val="00185EC3"/>
    <w:rsid w:val="00196ACD"/>
    <w:rsid w:val="001A5AA6"/>
    <w:rsid w:val="001B28AF"/>
    <w:rsid w:val="001B67EA"/>
    <w:rsid w:val="001C2D52"/>
    <w:rsid w:val="001D0265"/>
    <w:rsid w:val="001D23CE"/>
    <w:rsid w:val="001D6115"/>
    <w:rsid w:val="001E25F7"/>
    <w:rsid w:val="001F49A4"/>
    <w:rsid w:val="00215CEC"/>
    <w:rsid w:val="00220054"/>
    <w:rsid w:val="00223C6F"/>
    <w:rsid w:val="002377E3"/>
    <w:rsid w:val="00244B2C"/>
    <w:rsid w:val="00245BA2"/>
    <w:rsid w:val="00253AD3"/>
    <w:rsid w:val="0025435B"/>
    <w:rsid w:val="002601A7"/>
    <w:rsid w:val="00260EF9"/>
    <w:rsid w:val="00263DC1"/>
    <w:rsid w:val="00267035"/>
    <w:rsid w:val="00284B6B"/>
    <w:rsid w:val="00292B6D"/>
    <w:rsid w:val="002A1DC9"/>
    <w:rsid w:val="002B127E"/>
    <w:rsid w:val="002B63BD"/>
    <w:rsid w:val="002C281E"/>
    <w:rsid w:val="002D76E9"/>
    <w:rsid w:val="002E34E0"/>
    <w:rsid w:val="002F00EB"/>
    <w:rsid w:val="002F2114"/>
    <w:rsid w:val="002F72D5"/>
    <w:rsid w:val="003031CE"/>
    <w:rsid w:val="003058BE"/>
    <w:rsid w:val="00311869"/>
    <w:rsid w:val="003138E2"/>
    <w:rsid w:val="00315ED8"/>
    <w:rsid w:val="00327E49"/>
    <w:rsid w:val="00347220"/>
    <w:rsid w:val="00347A87"/>
    <w:rsid w:val="003669A9"/>
    <w:rsid w:val="00371A64"/>
    <w:rsid w:val="00375D16"/>
    <w:rsid w:val="00387FA8"/>
    <w:rsid w:val="003B53F8"/>
    <w:rsid w:val="003B7A52"/>
    <w:rsid w:val="003C02A4"/>
    <w:rsid w:val="003C15A9"/>
    <w:rsid w:val="003D3F52"/>
    <w:rsid w:val="003E5061"/>
    <w:rsid w:val="003F1389"/>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C07A1"/>
    <w:rsid w:val="004E4F81"/>
    <w:rsid w:val="004E5AD5"/>
    <w:rsid w:val="004E5AFC"/>
    <w:rsid w:val="004F119A"/>
    <w:rsid w:val="004F66AB"/>
    <w:rsid w:val="00522B71"/>
    <w:rsid w:val="00542A53"/>
    <w:rsid w:val="00545268"/>
    <w:rsid w:val="005453C8"/>
    <w:rsid w:val="00554B84"/>
    <w:rsid w:val="005568F1"/>
    <w:rsid w:val="005625B1"/>
    <w:rsid w:val="00566B1E"/>
    <w:rsid w:val="005762A4"/>
    <w:rsid w:val="00576D3E"/>
    <w:rsid w:val="00584732"/>
    <w:rsid w:val="00590CBD"/>
    <w:rsid w:val="005A1DED"/>
    <w:rsid w:val="005B2B8E"/>
    <w:rsid w:val="005B3DB7"/>
    <w:rsid w:val="005C629E"/>
    <w:rsid w:val="005C7EC2"/>
    <w:rsid w:val="005D11CD"/>
    <w:rsid w:val="005E15E0"/>
    <w:rsid w:val="005E7FD4"/>
    <w:rsid w:val="005F4DD8"/>
    <w:rsid w:val="005F6D8F"/>
    <w:rsid w:val="0061199A"/>
    <w:rsid w:val="006124C1"/>
    <w:rsid w:val="00620E7F"/>
    <w:rsid w:val="00621E6A"/>
    <w:rsid w:val="006222DD"/>
    <w:rsid w:val="00633ED3"/>
    <w:rsid w:val="00635E9A"/>
    <w:rsid w:val="00640E94"/>
    <w:rsid w:val="00645202"/>
    <w:rsid w:val="00650B94"/>
    <w:rsid w:val="006729E5"/>
    <w:rsid w:val="00692C83"/>
    <w:rsid w:val="0069326C"/>
    <w:rsid w:val="00694CC7"/>
    <w:rsid w:val="006A0B2A"/>
    <w:rsid w:val="006B36FB"/>
    <w:rsid w:val="006B458A"/>
    <w:rsid w:val="006C1E0C"/>
    <w:rsid w:val="006C62F7"/>
    <w:rsid w:val="006C7370"/>
    <w:rsid w:val="006C7657"/>
    <w:rsid w:val="006D1A06"/>
    <w:rsid w:val="006D4439"/>
    <w:rsid w:val="006E08F1"/>
    <w:rsid w:val="006E26FE"/>
    <w:rsid w:val="006E3ACF"/>
    <w:rsid w:val="006F67D3"/>
    <w:rsid w:val="00724D53"/>
    <w:rsid w:val="0072797B"/>
    <w:rsid w:val="00732D30"/>
    <w:rsid w:val="00732E24"/>
    <w:rsid w:val="007345E3"/>
    <w:rsid w:val="0075799B"/>
    <w:rsid w:val="007613A6"/>
    <w:rsid w:val="00763A9D"/>
    <w:rsid w:val="007728D7"/>
    <w:rsid w:val="007736E2"/>
    <w:rsid w:val="007748C9"/>
    <w:rsid w:val="00774A0A"/>
    <w:rsid w:val="007836A2"/>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7A7"/>
    <w:rsid w:val="008B2474"/>
    <w:rsid w:val="008B7E92"/>
    <w:rsid w:val="008C26E9"/>
    <w:rsid w:val="008C73C8"/>
    <w:rsid w:val="008D270C"/>
    <w:rsid w:val="008D5122"/>
    <w:rsid w:val="008E3B35"/>
    <w:rsid w:val="008F0D4D"/>
    <w:rsid w:val="008F19CC"/>
    <w:rsid w:val="008F30A1"/>
    <w:rsid w:val="00900A38"/>
    <w:rsid w:val="0090315D"/>
    <w:rsid w:val="009055C8"/>
    <w:rsid w:val="00910E5D"/>
    <w:rsid w:val="00912C13"/>
    <w:rsid w:val="00922A46"/>
    <w:rsid w:val="00922FC1"/>
    <w:rsid w:val="00923162"/>
    <w:rsid w:val="00930B9E"/>
    <w:rsid w:val="0093703B"/>
    <w:rsid w:val="00943782"/>
    <w:rsid w:val="009547B8"/>
    <w:rsid w:val="00972C40"/>
    <w:rsid w:val="00984D1E"/>
    <w:rsid w:val="0098583F"/>
    <w:rsid w:val="00993477"/>
    <w:rsid w:val="00994923"/>
    <w:rsid w:val="00997F6C"/>
    <w:rsid w:val="009A55A6"/>
    <w:rsid w:val="009B5585"/>
    <w:rsid w:val="009D16F2"/>
    <w:rsid w:val="009D6A8C"/>
    <w:rsid w:val="009E14BB"/>
    <w:rsid w:val="009E16F8"/>
    <w:rsid w:val="009E6418"/>
    <w:rsid w:val="00A017A6"/>
    <w:rsid w:val="00A0532E"/>
    <w:rsid w:val="00A2251A"/>
    <w:rsid w:val="00A23C08"/>
    <w:rsid w:val="00A241EF"/>
    <w:rsid w:val="00A33D53"/>
    <w:rsid w:val="00A35B7D"/>
    <w:rsid w:val="00A364F7"/>
    <w:rsid w:val="00A37A50"/>
    <w:rsid w:val="00A37FA3"/>
    <w:rsid w:val="00A47914"/>
    <w:rsid w:val="00A66377"/>
    <w:rsid w:val="00A670A4"/>
    <w:rsid w:val="00A6779D"/>
    <w:rsid w:val="00A6786C"/>
    <w:rsid w:val="00A67EA2"/>
    <w:rsid w:val="00A73C0A"/>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5744"/>
    <w:rsid w:val="00B61330"/>
    <w:rsid w:val="00B6661A"/>
    <w:rsid w:val="00B77573"/>
    <w:rsid w:val="00B85C1C"/>
    <w:rsid w:val="00B926A7"/>
    <w:rsid w:val="00B97A23"/>
    <w:rsid w:val="00BA59F9"/>
    <w:rsid w:val="00BA6077"/>
    <w:rsid w:val="00BB29A2"/>
    <w:rsid w:val="00BB7B06"/>
    <w:rsid w:val="00BC20AB"/>
    <w:rsid w:val="00BC51E5"/>
    <w:rsid w:val="00BD671E"/>
    <w:rsid w:val="00BE06CE"/>
    <w:rsid w:val="00BF1A4D"/>
    <w:rsid w:val="00BF49FB"/>
    <w:rsid w:val="00C05A86"/>
    <w:rsid w:val="00C17B54"/>
    <w:rsid w:val="00C27A18"/>
    <w:rsid w:val="00C34CF9"/>
    <w:rsid w:val="00C358BE"/>
    <w:rsid w:val="00C429D7"/>
    <w:rsid w:val="00C463A8"/>
    <w:rsid w:val="00C46579"/>
    <w:rsid w:val="00C518E4"/>
    <w:rsid w:val="00C6383E"/>
    <w:rsid w:val="00C701F8"/>
    <w:rsid w:val="00C8589C"/>
    <w:rsid w:val="00C934D3"/>
    <w:rsid w:val="00C93831"/>
    <w:rsid w:val="00CA5F81"/>
    <w:rsid w:val="00CB4136"/>
    <w:rsid w:val="00CB5D66"/>
    <w:rsid w:val="00CB791E"/>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90C9A"/>
    <w:rsid w:val="00DA25CF"/>
    <w:rsid w:val="00DD1AB4"/>
    <w:rsid w:val="00DD50CB"/>
    <w:rsid w:val="00DF5F05"/>
    <w:rsid w:val="00E018A5"/>
    <w:rsid w:val="00E02B18"/>
    <w:rsid w:val="00E24293"/>
    <w:rsid w:val="00E24ABB"/>
    <w:rsid w:val="00E27E4F"/>
    <w:rsid w:val="00E351EE"/>
    <w:rsid w:val="00E36141"/>
    <w:rsid w:val="00E3730E"/>
    <w:rsid w:val="00E43BC0"/>
    <w:rsid w:val="00E60542"/>
    <w:rsid w:val="00E61B41"/>
    <w:rsid w:val="00E63ACF"/>
    <w:rsid w:val="00E63CFA"/>
    <w:rsid w:val="00E67F38"/>
    <w:rsid w:val="00E7727D"/>
    <w:rsid w:val="00E83E58"/>
    <w:rsid w:val="00E84EBC"/>
    <w:rsid w:val="00E965C9"/>
    <w:rsid w:val="00EE4168"/>
    <w:rsid w:val="00F0055B"/>
    <w:rsid w:val="00F1359E"/>
    <w:rsid w:val="00F1704B"/>
    <w:rsid w:val="00F21064"/>
    <w:rsid w:val="00F30EE0"/>
    <w:rsid w:val="00F411CB"/>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6257</TotalTime>
  <Pages>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152</cp:revision>
  <cp:lastPrinted>2004-05-10T18:28:00Z</cp:lastPrinted>
  <dcterms:created xsi:type="dcterms:W3CDTF">2018-02-01T18:59:00Z</dcterms:created>
  <dcterms:modified xsi:type="dcterms:W3CDTF">2021-07-05T18:23:00Z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