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119B5A27"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Delic Holdings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161383B"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626B75">
        <w:rPr>
          <w:rFonts w:ascii="Arial" w:eastAsia="Arial" w:hAnsi="Arial" w:cs="Arial"/>
          <w:color w:val="000000"/>
          <w:sz w:val="24"/>
          <w:szCs w:val="24"/>
          <w:u w:val="single"/>
        </w:rPr>
        <w:t>59,865,526</w:t>
      </w:r>
      <w:r w:rsidR="000C51C5">
        <w:rPr>
          <w:rFonts w:ascii="Arial" w:eastAsia="Arial" w:hAnsi="Arial" w:cs="Arial"/>
          <w:color w:val="000000"/>
          <w:sz w:val="24"/>
          <w:szCs w:val="24"/>
          <w:u w:val="single"/>
        </w:rPr>
        <w:t xml:space="preserve"> subordinate voting shares and 259,913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0FFF71F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626B75">
        <w:rPr>
          <w:rFonts w:ascii="Arial" w:eastAsia="Arial" w:hAnsi="Arial" w:cs="Arial"/>
          <w:color w:val="000000"/>
          <w:sz w:val="24"/>
          <w:szCs w:val="24"/>
          <w:u w:val="single"/>
        </w:rPr>
        <w:t>Ju</w:t>
      </w:r>
      <w:r w:rsidR="000C51C5">
        <w:rPr>
          <w:rFonts w:ascii="Arial" w:eastAsia="Arial" w:hAnsi="Arial" w:cs="Arial"/>
          <w:color w:val="000000"/>
          <w:sz w:val="24"/>
          <w:szCs w:val="24"/>
          <w:u w:val="single"/>
        </w:rPr>
        <w:t>ly</w:t>
      </w:r>
      <w:r w:rsidR="00B41065">
        <w:rPr>
          <w:rFonts w:ascii="Arial" w:eastAsia="Arial" w:hAnsi="Arial" w:cs="Arial"/>
          <w:color w:val="000000"/>
          <w:sz w:val="24"/>
          <w:szCs w:val="24"/>
          <w:u w:val="single"/>
        </w:rPr>
        <w:t xml:space="preserve"> </w:t>
      </w:r>
      <w:r w:rsidR="000C51C5">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72221633" w14:textId="3094BF73" w:rsidR="00CB61E8" w:rsidRDefault="007E0749" w:rsidP="00CB61E8">
      <w:pPr>
        <w:pStyle w:val="ListParagraph"/>
        <w:pBdr>
          <w:top w:val="nil"/>
          <w:left w:val="nil"/>
          <w:bottom w:val="nil"/>
          <w:right w:val="nil"/>
          <w:between w:val="nil"/>
        </w:pBdr>
        <w:spacing w:before="240"/>
        <w:jc w:val="both"/>
        <w:rPr>
          <w:rFonts w:ascii="Arial" w:hAnsi="Arial" w:cs="Arial"/>
          <w:b/>
          <w:bCs/>
          <w:sz w:val="24"/>
          <w:szCs w:val="24"/>
        </w:rPr>
      </w:pPr>
      <w:r w:rsidRPr="007E0749">
        <w:rPr>
          <w:rFonts w:ascii="Arial" w:hAnsi="Arial" w:cs="Arial"/>
          <w:b/>
          <w:bCs/>
          <w:sz w:val="24"/>
          <w:szCs w:val="24"/>
        </w:rPr>
        <w:t>Delic Holdings Inc. is an umbrella media platform focused on providing information on psychedelics and related matters. Delic’s product offerings include a blog, podcast, e-commerce store and periodic events.</w:t>
      </w:r>
    </w:p>
    <w:p w14:paraId="558161B0" w14:textId="5F8D7EA4" w:rsidR="00AC3F1B" w:rsidRDefault="00AC3F1B" w:rsidP="00CB61E8">
      <w:pPr>
        <w:pStyle w:val="ListParagraph"/>
        <w:pBdr>
          <w:top w:val="nil"/>
          <w:left w:val="nil"/>
          <w:bottom w:val="nil"/>
          <w:right w:val="nil"/>
          <w:between w:val="nil"/>
        </w:pBdr>
        <w:spacing w:before="240"/>
        <w:jc w:val="both"/>
        <w:rPr>
          <w:rFonts w:ascii="Arial" w:hAnsi="Arial" w:cs="Arial"/>
          <w:b/>
          <w:bCs/>
          <w:sz w:val="24"/>
          <w:szCs w:val="24"/>
        </w:rPr>
      </w:pPr>
    </w:p>
    <w:p w14:paraId="52405463" w14:textId="31884463" w:rsidR="00AC3F1B" w:rsidRDefault="00AC3F1B"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During the month, the Issuer</w:t>
      </w:r>
      <w:r w:rsidR="000C51C5">
        <w:rPr>
          <w:rFonts w:ascii="Arial" w:hAnsi="Arial" w:cs="Arial"/>
          <w:b/>
          <w:bCs/>
          <w:sz w:val="24"/>
          <w:szCs w:val="24"/>
        </w:rPr>
        <w:t xml:space="preserve"> signed a definitive agreement with Ketamine Infusion Centers LLC.</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Expand the reach of each of Delic's four existing segments:</w:t>
      </w:r>
      <w:r w:rsidRPr="008005B9">
        <w:rPr>
          <w:rFonts w:ascii="Arial" w:hAnsi="Arial" w:cs="Arial"/>
          <w:b/>
          <w:bCs/>
          <w:sz w:val="24"/>
          <w:szCs w:val="24"/>
        </w:rPr>
        <w:t xml:space="preserve"> The Issuer intends to increase the reach of each of Delic's business segments in order to showcase its material to a wider audience. This will be done by increasing the volume of content available through its online platforms including by way of articles, news, and podcasts which will lead to increased presence within the psychedelics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spending for each of Delic's segments:</w:t>
      </w:r>
      <w:r w:rsidRPr="008005B9">
        <w:rPr>
          <w:rFonts w:ascii="Arial" w:hAnsi="Arial" w:cs="Arial"/>
          <w:b/>
          <w:bCs/>
          <w:sz w:val="24"/>
          <w:szCs w:val="24"/>
        </w:rPr>
        <w:t xml:space="preserve"> Although The Delic, Meet Delic, Reality Sandwich and Delic Radio each have their own unique following and are responsible for Delic's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commercialization:</w:t>
      </w:r>
      <w:r w:rsidRPr="008005B9">
        <w:rPr>
          <w:rFonts w:ascii="Arial" w:hAnsi="Arial" w:cs="Arial"/>
          <w:b/>
          <w:bCs/>
          <w:sz w:val="24"/>
          <w:szCs w:val="24"/>
        </w:rPr>
        <w:t xml:space="preserve"> The Issuer intends to increase sales of the various curated products available on its websites. For example, at The Delic, website visitors are able to purchase curated art as well as a variety of novelty clothing items, such as t-shirts, bags and collectible </w:t>
      </w:r>
      <w:r w:rsidRPr="008005B9">
        <w:rPr>
          <w:rFonts w:ascii="Arial" w:hAnsi="Arial" w:cs="Arial"/>
          <w:b/>
          <w:bCs/>
          <w:sz w:val="24"/>
          <w:szCs w:val="24"/>
        </w:rPr>
        <w:lastRenderedPageBreak/>
        <w:t xml:space="preserve">items. By drawing more people to its websites, podcasts, and events, the Company believes that it will increase the sales of these items. 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in order to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ssuer's flagship event, Meet Delic,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0746C66B"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0C51C5">
        <w:rPr>
          <w:rFonts w:ascii="Arial" w:hAnsi="Arial" w:cs="Arial"/>
          <w:b/>
          <w:bCs/>
        </w:rPr>
        <w:t>June</w:t>
      </w:r>
      <w:r w:rsidR="00F061D9">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1D6335E"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0C51C5">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1D3EE3C3" w:rsidR="004979E1" w:rsidRPr="007D106D" w:rsidRDefault="0000533A"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On June 30, 2021, the Issuer’s subsidia</w:t>
      </w:r>
      <w:r w:rsidRPr="0000533A">
        <w:rPr>
          <w:rFonts w:ascii="Arial" w:eastAsia="Arial" w:hAnsi="Arial" w:cs="Arial"/>
          <w:b/>
          <w:color w:val="000000"/>
          <w:sz w:val="24"/>
          <w:szCs w:val="24"/>
        </w:rPr>
        <w:t xml:space="preserve">ry, Delic Labs, announced it had </w:t>
      </w:r>
      <w:r w:rsidRPr="0000533A">
        <w:rPr>
          <w:rFonts w:ascii="Arial" w:hAnsi="Arial" w:cs="Arial"/>
          <w:b/>
          <w:sz w:val="24"/>
          <w:szCs w:val="24"/>
        </w:rPr>
        <w:t>entered into a partnership agreement with Agilent, a global leader in life sciences, diagnostics, and applied chemical markets. Under the agreement, Agilent will refer its clients interested in cannabis and hemp analytics and new product development to DELIC Labs and in turn, DELIC Labs will recommend Agilent analytical equipment to its clients looking to purchase new systems. Both companies will participate in sales and marketing initiatives, referrals and instrument training.</w:t>
      </w:r>
      <w:r w:rsidR="001A1FDA">
        <w:rPr>
          <w:rFonts w:ascii="Arial" w:eastAsia="Arial" w:hAnsi="Arial" w:cs="Arial"/>
          <w:b/>
          <w:color w:val="000000"/>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175434AE"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lastRenderedPageBreak/>
        <w:t xml:space="preserve">No contracts or agreements expired or were terminated during </w:t>
      </w:r>
      <w:r w:rsidR="000C51C5">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58A049DF" w14:textId="42A3F977" w:rsidR="00567B94" w:rsidRPr="008A510F" w:rsidRDefault="00135C56" w:rsidP="00567B94">
      <w:pPr>
        <w:pBdr>
          <w:top w:val="nil"/>
          <w:left w:val="nil"/>
          <w:bottom w:val="nil"/>
          <w:right w:val="nil"/>
          <w:between w:val="nil"/>
        </w:pBdr>
        <w:spacing w:before="240"/>
        <w:ind w:left="720"/>
        <w:jc w:val="both"/>
        <w:rPr>
          <w:rFonts w:ascii="Arial" w:hAnsi="Arial" w:cs="Arial"/>
          <w:b/>
          <w:sz w:val="24"/>
          <w:szCs w:val="24"/>
        </w:rPr>
      </w:pPr>
      <w:r>
        <w:rPr>
          <w:rFonts w:ascii="Arial" w:hAnsi="Arial" w:cs="Arial"/>
          <w:b/>
          <w:sz w:val="24"/>
          <w:szCs w:val="24"/>
        </w:rPr>
        <w:t xml:space="preserve">On June 8, 2021, the Issuer signed a definitive agreement </w:t>
      </w:r>
      <w:r w:rsidRPr="00135C56">
        <w:rPr>
          <w:rFonts w:ascii="Arial" w:hAnsi="Arial" w:cs="Arial"/>
          <w:b/>
          <w:sz w:val="24"/>
          <w:szCs w:val="24"/>
        </w:rPr>
        <w:t xml:space="preserve">with Ketamine Infusion Centers LLC (“KIC”). </w:t>
      </w:r>
      <w:r w:rsidRPr="00135C56">
        <w:rPr>
          <w:rFonts w:ascii="Arial" w:hAnsi="Arial" w:cs="Arial"/>
          <w:b/>
          <w:sz w:val="24"/>
          <w:szCs w:val="24"/>
        </w:rPr>
        <w:t>KIC is a limited liability corporation formed under the laws of Arizona, which owns and operates two ketamine infusion treatment clinics</w:t>
      </w:r>
      <w:r w:rsidRPr="00135C56">
        <w:rPr>
          <w:rFonts w:ascii="Arial" w:hAnsi="Arial" w:cs="Arial"/>
          <w:b/>
          <w:sz w:val="24"/>
          <w:szCs w:val="24"/>
        </w:rPr>
        <w:t>.  The Issuer</w:t>
      </w:r>
      <w:r w:rsidRPr="00135C56">
        <w:rPr>
          <w:rFonts w:ascii="Arial" w:hAnsi="Arial" w:cs="Arial"/>
          <w:b/>
          <w:sz w:val="24"/>
          <w:szCs w:val="24"/>
        </w:rPr>
        <w:t xml:space="preserve"> will acquire all of the issued and outstanding shares of KIC from its shareholders in a reverse triangular merger for a purchase price of USD$3,050,000 (the "Purchase Price") to be paid as follows: (i) USD$2,250,000 in consideration shares to be issued on the closing date (the "Closing Date Payment"); and (ii) USD$800,000 in consideration shares to be issued on the date KIC's Bakersfield, California clinic achieves a net profit in three consecutive months in the twelve months following the closing date, while achieving minimum revenues of USD$125,000 in the same three month period (the "Bakersfield Milestone Payment") plus certain amounts, if any, to be earned by </w:t>
      </w:r>
      <w:r w:rsidRPr="00135C56">
        <w:rPr>
          <w:rFonts w:ascii="Arial" w:hAnsi="Arial" w:cs="Arial"/>
          <w:b/>
          <w:sz w:val="24"/>
          <w:szCs w:val="24"/>
        </w:rPr>
        <w:t xml:space="preserve">management </w:t>
      </w:r>
      <w:r w:rsidRPr="00135C56">
        <w:rPr>
          <w:rFonts w:ascii="Arial" w:hAnsi="Arial" w:cs="Arial"/>
          <w:b/>
          <w:sz w:val="24"/>
          <w:szCs w:val="24"/>
        </w:rPr>
        <w:t xml:space="preserve">pursuant to a respective Milestone Agreement (as defined below). The Closing Date Payment will be satisfied by </w:t>
      </w:r>
      <w:r w:rsidRPr="00135C56">
        <w:rPr>
          <w:rFonts w:ascii="Arial" w:hAnsi="Arial" w:cs="Arial"/>
          <w:b/>
          <w:sz w:val="24"/>
          <w:szCs w:val="24"/>
        </w:rPr>
        <w:t>the Issuer</w:t>
      </w:r>
      <w:r w:rsidRPr="00135C56">
        <w:rPr>
          <w:rFonts w:ascii="Arial" w:hAnsi="Arial" w:cs="Arial"/>
          <w:b/>
          <w:sz w:val="24"/>
          <w:szCs w:val="24"/>
        </w:rPr>
        <w:t>'s issuance to the KIC shareholders of the number of consideration shares equal in value to the Closing Date Payment amount, issued at a price per share equal to the hire of (a) the ten (10) trading day volume weighted average price ("VWAP") of such consideration shares on the Canadian Securities Exchange (the "Exchange") on the trading day immediately prior to the closing date.</w:t>
      </w:r>
      <w:r>
        <w:rPr>
          <w:rFonts w:ascii="Arial" w:hAnsi="Arial" w:cs="Arial"/>
          <w:b/>
          <w:sz w:val="24"/>
          <w:szCs w:val="24"/>
        </w:rPr>
        <w:t xml:space="preserve"> </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4D96BECF"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932D7D">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719E76A0"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497FDD">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633E7966"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There were no changes to personnel during June 2021.</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494BE5E3"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2803EC">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112BCDA8"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A17395">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3D05170B"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E067DF">
        <w:rPr>
          <w:rFonts w:ascii="Arial" w:hAnsi="Arial" w:cs="Arial"/>
          <w:b/>
          <w:color w:val="000000"/>
          <w:sz w:val="24"/>
          <w:szCs w:val="24"/>
        </w:rPr>
        <w:t>June</w:t>
      </w:r>
      <w:r w:rsidR="00F061D9">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0F5A6267" w:rsidR="008F2AF2" w:rsidRDefault="0050710B"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Multiple voting shares</w:t>
            </w:r>
          </w:p>
        </w:tc>
        <w:tc>
          <w:tcPr>
            <w:tcW w:w="1938" w:type="dxa"/>
          </w:tcPr>
          <w:p w14:paraId="1358FC3D" w14:textId="0916F107" w:rsidR="008F2AF2" w:rsidRDefault="00026265">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89,130</w:t>
            </w:r>
          </w:p>
        </w:tc>
        <w:tc>
          <w:tcPr>
            <w:tcW w:w="2340" w:type="dxa"/>
          </w:tcPr>
          <w:p w14:paraId="57D162D0" w14:textId="616FF2D0" w:rsidR="008F2AF2" w:rsidRDefault="00026265">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Shares issued in connection with signing definitive KIC agreement</w:t>
            </w:r>
          </w:p>
        </w:tc>
        <w:tc>
          <w:tcPr>
            <w:tcW w:w="1985" w:type="dxa"/>
          </w:tcPr>
          <w:p w14:paraId="16C89750" w14:textId="7B68BAE1" w:rsidR="008F2AF2" w:rsidRDefault="00FE466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0FD652AF"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026265">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4FAF5949" w:rsidR="004979E1" w:rsidRDefault="00F85C16"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w:t>
      </w:r>
      <w:r w:rsidR="00B34D64">
        <w:rPr>
          <w:rFonts w:ascii="Arial" w:eastAsia="Arial" w:hAnsi="Arial" w:cs="Arial"/>
          <w:b/>
          <w:color w:val="000000"/>
          <w:sz w:val="24"/>
          <w:szCs w:val="24"/>
        </w:rPr>
        <w:t xml:space="preserve">other </w:t>
      </w:r>
      <w:r>
        <w:rPr>
          <w:rFonts w:ascii="Arial" w:eastAsia="Arial" w:hAnsi="Arial" w:cs="Arial"/>
          <w:b/>
          <w:color w:val="000000"/>
          <w:sz w:val="24"/>
          <w:szCs w:val="24"/>
        </w:rPr>
        <w:t xml:space="preserve">changes in directors, officers or committee members in </w:t>
      </w:r>
      <w:r w:rsidR="006654D6">
        <w:rPr>
          <w:rFonts w:ascii="Arial" w:eastAsia="Arial" w:hAnsi="Arial" w:cs="Arial"/>
          <w:b/>
          <w:color w:val="000000"/>
          <w:sz w:val="24"/>
          <w:szCs w:val="24"/>
        </w:rPr>
        <w:t>June</w:t>
      </w:r>
      <w:r w:rsidR="00F061D9">
        <w:rPr>
          <w:rFonts w:ascii="Arial" w:eastAsia="Arial" w:hAnsi="Arial" w:cs="Arial"/>
          <w:b/>
          <w:color w:val="000000"/>
          <w:sz w:val="24"/>
          <w:szCs w:val="24"/>
        </w:rPr>
        <w:t xml:space="preserve"> 2021</w:t>
      </w:r>
      <w:r w:rsidR="00BA3DB6">
        <w:rPr>
          <w:rFonts w:ascii="Arial" w:eastAsia="Arial" w:hAnsi="Arial" w:cs="Arial"/>
          <w:b/>
          <w:color w:val="000000"/>
          <w:sz w:val="24"/>
          <w:szCs w:val="24"/>
        </w:rPr>
        <w:t>.</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lastRenderedPageBreak/>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6FFBF73A"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1A1DE7">
        <w:rPr>
          <w:rFonts w:ascii="Arial" w:eastAsia="Arial" w:hAnsi="Arial" w:cs="Arial"/>
          <w:color w:val="000000"/>
          <w:sz w:val="24"/>
          <w:szCs w:val="24"/>
          <w:u w:val="single"/>
        </w:rPr>
        <w:t>Ju</w:t>
      </w:r>
      <w:r w:rsidR="006654D6">
        <w:rPr>
          <w:rFonts w:ascii="Arial" w:eastAsia="Arial" w:hAnsi="Arial" w:cs="Arial"/>
          <w:color w:val="000000"/>
          <w:sz w:val="24"/>
          <w:szCs w:val="24"/>
          <w:u w:val="single"/>
        </w:rPr>
        <w:t>ly 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p>
    <w:p w14:paraId="626F39D8" w14:textId="4753445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w:t>
      </w:r>
      <w:r w:rsidR="001A1DE7">
        <w:rPr>
          <w:rFonts w:ascii="Arial" w:eastAsia="Arial" w:hAnsi="Arial" w:cs="Arial"/>
          <w:color w:val="000000"/>
          <w:sz w:val="24"/>
          <w:szCs w:val="24"/>
          <w:u w:val="single"/>
        </w:rPr>
        <w:t>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26E9785"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w:t>
      </w:r>
      <w:r w:rsidR="001A1DE7">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5282A99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1A1DE7">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28F87FE4"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6D431EC9" w:rsidR="004979E1" w:rsidRDefault="006654D6">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June</w:t>
            </w:r>
            <w:r w:rsidR="00F061D9">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604C20AC"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6C2AA6">
              <w:rPr>
                <w:rFonts w:ascii="Arial" w:eastAsia="Arial" w:hAnsi="Arial" w:cs="Arial"/>
                <w:color w:val="000000"/>
                <w:sz w:val="24"/>
                <w:szCs w:val="24"/>
              </w:rPr>
              <w:t>0</w:t>
            </w:r>
            <w:r w:rsidR="006654D6">
              <w:rPr>
                <w:rFonts w:ascii="Arial" w:eastAsia="Arial" w:hAnsi="Arial" w:cs="Arial"/>
                <w:color w:val="000000"/>
                <w:sz w:val="24"/>
                <w:szCs w:val="24"/>
              </w:rPr>
              <w:t>7</w:t>
            </w:r>
            <w:r w:rsidR="00BA3DB6">
              <w:rPr>
                <w:rFonts w:ascii="Arial" w:eastAsia="Arial" w:hAnsi="Arial" w:cs="Arial"/>
                <w:color w:val="000000"/>
                <w:sz w:val="24"/>
                <w:szCs w:val="24"/>
              </w:rPr>
              <w:t>/0</w:t>
            </w:r>
            <w:r w:rsidR="006654D6">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87020F">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87020F">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6F6F" w14:textId="77777777" w:rsidR="0087020F" w:rsidRDefault="0087020F">
      <w:r>
        <w:separator/>
      </w:r>
    </w:p>
  </w:endnote>
  <w:endnote w:type="continuationSeparator" w:id="0">
    <w:p w14:paraId="0A1A34FA" w14:textId="77777777" w:rsidR="0087020F" w:rsidRDefault="0087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C38D" w14:textId="77777777" w:rsidR="0087020F" w:rsidRDefault="0087020F">
      <w:r>
        <w:separator/>
      </w:r>
    </w:p>
  </w:footnote>
  <w:footnote w:type="continuationSeparator" w:id="0">
    <w:p w14:paraId="501B032A" w14:textId="77777777" w:rsidR="0087020F" w:rsidRDefault="0087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6265"/>
    <w:rsid w:val="0003086D"/>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A1DE7"/>
    <w:rsid w:val="001A1FDA"/>
    <w:rsid w:val="001B24A6"/>
    <w:rsid w:val="001C37C4"/>
    <w:rsid w:val="001E7106"/>
    <w:rsid w:val="001F2EB4"/>
    <w:rsid w:val="00212B2A"/>
    <w:rsid w:val="00236019"/>
    <w:rsid w:val="002554C3"/>
    <w:rsid w:val="0027632F"/>
    <w:rsid w:val="002803EC"/>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97FDD"/>
    <w:rsid w:val="004B0088"/>
    <w:rsid w:val="004C36D4"/>
    <w:rsid w:val="004E436B"/>
    <w:rsid w:val="00500A5B"/>
    <w:rsid w:val="0050710B"/>
    <w:rsid w:val="005167BE"/>
    <w:rsid w:val="00567B94"/>
    <w:rsid w:val="005802D6"/>
    <w:rsid w:val="005A5507"/>
    <w:rsid w:val="005B5937"/>
    <w:rsid w:val="006103AE"/>
    <w:rsid w:val="00626B75"/>
    <w:rsid w:val="006654D6"/>
    <w:rsid w:val="006B4AC7"/>
    <w:rsid w:val="006C2AA6"/>
    <w:rsid w:val="006C6E37"/>
    <w:rsid w:val="006F3DEF"/>
    <w:rsid w:val="00701FE0"/>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12987"/>
    <w:rsid w:val="0091551A"/>
    <w:rsid w:val="00932D7D"/>
    <w:rsid w:val="0097311F"/>
    <w:rsid w:val="00992346"/>
    <w:rsid w:val="009B1489"/>
    <w:rsid w:val="009F34B8"/>
    <w:rsid w:val="009F5BF6"/>
    <w:rsid w:val="00A05EF0"/>
    <w:rsid w:val="00A13B6D"/>
    <w:rsid w:val="00A16987"/>
    <w:rsid w:val="00A17395"/>
    <w:rsid w:val="00A3206A"/>
    <w:rsid w:val="00A6113B"/>
    <w:rsid w:val="00A63869"/>
    <w:rsid w:val="00A7513B"/>
    <w:rsid w:val="00A75219"/>
    <w:rsid w:val="00A811CF"/>
    <w:rsid w:val="00AA6916"/>
    <w:rsid w:val="00AB60D9"/>
    <w:rsid w:val="00AC3F1B"/>
    <w:rsid w:val="00AD3462"/>
    <w:rsid w:val="00AE5F24"/>
    <w:rsid w:val="00AE602B"/>
    <w:rsid w:val="00AF0D79"/>
    <w:rsid w:val="00B06255"/>
    <w:rsid w:val="00B17E58"/>
    <w:rsid w:val="00B320DA"/>
    <w:rsid w:val="00B34D64"/>
    <w:rsid w:val="00B41065"/>
    <w:rsid w:val="00B41D1A"/>
    <w:rsid w:val="00B4618B"/>
    <w:rsid w:val="00B54521"/>
    <w:rsid w:val="00B6111E"/>
    <w:rsid w:val="00B671A0"/>
    <w:rsid w:val="00B95F9B"/>
    <w:rsid w:val="00BA38E1"/>
    <w:rsid w:val="00BA3DB6"/>
    <w:rsid w:val="00BB4D62"/>
    <w:rsid w:val="00BD2902"/>
    <w:rsid w:val="00C33865"/>
    <w:rsid w:val="00C65842"/>
    <w:rsid w:val="00CA0DB9"/>
    <w:rsid w:val="00CA571B"/>
    <w:rsid w:val="00CB61E8"/>
    <w:rsid w:val="00CD1070"/>
    <w:rsid w:val="00D113A9"/>
    <w:rsid w:val="00D3615C"/>
    <w:rsid w:val="00D622C4"/>
    <w:rsid w:val="00DF1D42"/>
    <w:rsid w:val="00DF6459"/>
    <w:rsid w:val="00E02523"/>
    <w:rsid w:val="00E067DF"/>
    <w:rsid w:val="00E32757"/>
    <w:rsid w:val="00E363A8"/>
    <w:rsid w:val="00E401E3"/>
    <w:rsid w:val="00E7017E"/>
    <w:rsid w:val="00E956BA"/>
    <w:rsid w:val="00EB41FF"/>
    <w:rsid w:val="00EC1E97"/>
    <w:rsid w:val="00EC2E8E"/>
    <w:rsid w:val="00F02342"/>
    <w:rsid w:val="00F02B6B"/>
    <w:rsid w:val="00F061D9"/>
    <w:rsid w:val="00F222E6"/>
    <w:rsid w:val="00F4624A"/>
    <w:rsid w:val="00F5244C"/>
    <w:rsid w:val="00F55F5D"/>
    <w:rsid w:val="00F77184"/>
    <w:rsid w:val="00F834E7"/>
    <w:rsid w:val="00F85C16"/>
    <w:rsid w:val="00FA61FB"/>
    <w:rsid w:val="00FE36D9"/>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63</cp:revision>
  <dcterms:created xsi:type="dcterms:W3CDTF">2020-05-04T19:10:00Z</dcterms:created>
  <dcterms:modified xsi:type="dcterms:W3CDTF">2021-07-05T21:10:00Z</dcterms:modified>
</cp:coreProperties>
</file>