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B63B" w14:textId="420BC935" w:rsidR="001B4DF2" w:rsidRPr="00EA51CA" w:rsidRDefault="00E54008" w:rsidP="00F83CE5">
      <w:pPr>
        <w:spacing w:after="240" w:line="240" w:lineRule="auto"/>
        <w:jc w:val="center"/>
        <w:rPr>
          <w:rFonts w:ascii="Arial" w:eastAsia="Times New Roman" w:hAnsi="Arial" w:cs="Arial"/>
          <w:i/>
          <w:iCs/>
        </w:rPr>
      </w:pPr>
      <w:r w:rsidRPr="00EA51CA">
        <w:rPr>
          <w:noProof/>
        </w:rPr>
        <w:drawing>
          <wp:inline distT="0" distB="0" distL="0" distR="0" wp14:anchorId="5932D02B" wp14:editId="15CE1979">
            <wp:extent cx="2753832" cy="71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1901" cy="727820"/>
                    </a:xfrm>
                    <a:prstGeom prst="rect">
                      <a:avLst/>
                    </a:prstGeom>
                  </pic:spPr>
                </pic:pic>
              </a:graphicData>
            </a:graphic>
          </wp:inline>
        </w:drawing>
      </w:r>
    </w:p>
    <w:p w14:paraId="75FEC215" w14:textId="77777777" w:rsidR="00C672E2" w:rsidRPr="00EA51CA" w:rsidRDefault="00D443FA">
      <w:pPr>
        <w:spacing w:after="240" w:line="240" w:lineRule="auto"/>
        <w:jc w:val="center"/>
        <w:rPr>
          <w:rFonts w:ascii="Arial" w:eastAsia="Times New Roman" w:hAnsi="Arial" w:cs="Arial"/>
          <w:i/>
          <w:iCs/>
        </w:rPr>
      </w:pPr>
      <w:r w:rsidRPr="00EA51CA">
        <w:rPr>
          <w:rFonts w:ascii="Arial" w:eastAsia="Times New Roman" w:hAnsi="Arial" w:cs="Arial"/>
          <w:i/>
          <w:iCs/>
        </w:rPr>
        <w:t>NOT FOR DISTRIBUTION TO U.S. NEWSWIRE SERVICES OR DISSEMINATION IN THE UNITED STATES</w:t>
      </w:r>
    </w:p>
    <w:p w14:paraId="285E2C09" w14:textId="1B33EA1C" w:rsidR="0086452F" w:rsidRPr="00EA51CA" w:rsidRDefault="0086452F" w:rsidP="0086452F">
      <w:pPr>
        <w:spacing w:before="240" w:after="0" w:line="240" w:lineRule="auto"/>
        <w:jc w:val="center"/>
        <w:rPr>
          <w:rFonts w:ascii="Arial" w:eastAsia="Calibri" w:hAnsi="Arial" w:cs="Arial"/>
          <w:b/>
          <w:bCs/>
          <w:iCs/>
        </w:rPr>
      </w:pPr>
      <w:r w:rsidRPr="00EA51CA">
        <w:rPr>
          <w:rFonts w:ascii="Arial" w:eastAsia="Calibri" w:hAnsi="Arial" w:cs="Arial"/>
          <w:b/>
          <w:bCs/>
          <w:iCs/>
        </w:rPr>
        <w:t xml:space="preserve">BETTERLIFE </w:t>
      </w:r>
      <w:r w:rsidR="009D2C91">
        <w:rPr>
          <w:rFonts w:ascii="Arial" w:eastAsia="Calibri" w:hAnsi="Arial" w:cs="Arial"/>
          <w:b/>
          <w:bCs/>
          <w:iCs/>
        </w:rPr>
        <w:t xml:space="preserve">ANNOUNCES </w:t>
      </w:r>
      <w:r w:rsidR="009D2C91" w:rsidRPr="009D2C91">
        <w:rPr>
          <w:rFonts w:ascii="Arial" w:eastAsia="Calibri" w:hAnsi="Arial" w:cs="Arial"/>
          <w:b/>
          <w:bCs/>
          <w:iCs/>
        </w:rPr>
        <w:t>EXERCISE</w:t>
      </w:r>
      <w:r w:rsidR="009D2C91">
        <w:rPr>
          <w:rFonts w:ascii="Arial" w:eastAsia="Calibri" w:hAnsi="Arial" w:cs="Arial"/>
          <w:b/>
          <w:bCs/>
          <w:iCs/>
        </w:rPr>
        <w:t xml:space="preserve"> OF OVER-ALLOTMENT OPTION IN </w:t>
      </w:r>
      <w:r w:rsidR="009D2C91" w:rsidRPr="009D2C91">
        <w:rPr>
          <w:rFonts w:ascii="Arial" w:eastAsia="Calibri" w:hAnsi="Arial" w:cs="Arial"/>
          <w:b/>
          <w:bCs/>
          <w:iCs/>
        </w:rPr>
        <w:t>PUBLIC OFFERING</w:t>
      </w:r>
    </w:p>
    <w:p w14:paraId="406FA2C9" w14:textId="463FE755" w:rsidR="009D2C91" w:rsidRDefault="00F91C4F" w:rsidP="00F85F80">
      <w:pPr>
        <w:spacing w:before="240" w:after="0" w:line="240" w:lineRule="auto"/>
        <w:jc w:val="both"/>
        <w:rPr>
          <w:rFonts w:ascii="Arial" w:hAnsi="Arial" w:cs="Arial"/>
          <w:color w:val="000000" w:themeColor="text1"/>
          <w:lang w:eastAsia="en-CA"/>
        </w:rPr>
      </w:pPr>
      <w:r w:rsidRPr="00EA51CA">
        <w:rPr>
          <w:rFonts w:ascii="Arial" w:eastAsia="Calibri" w:hAnsi="Arial" w:cs="Arial"/>
        </w:rPr>
        <w:t>VANCOUVER, British Columbia</w:t>
      </w:r>
      <w:r w:rsidR="00D443FA" w:rsidRPr="00EA51CA">
        <w:rPr>
          <w:rFonts w:ascii="Arial" w:eastAsia="Calibri" w:hAnsi="Arial" w:cs="Arial"/>
        </w:rPr>
        <w:t xml:space="preserve"> – </w:t>
      </w:r>
      <w:r w:rsidR="00063C39">
        <w:rPr>
          <w:rFonts w:ascii="Arial" w:eastAsia="Calibri" w:hAnsi="Arial" w:cs="Arial"/>
        </w:rPr>
        <w:t xml:space="preserve">June </w:t>
      </w:r>
      <w:r w:rsidR="006C5D10">
        <w:rPr>
          <w:rFonts w:ascii="Arial" w:eastAsia="Calibri" w:hAnsi="Arial" w:cs="Arial"/>
        </w:rPr>
        <w:t>25</w:t>
      </w:r>
      <w:r w:rsidR="006C5D10" w:rsidRPr="00EA51CA">
        <w:rPr>
          <w:rFonts w:ascii="Arial" w:eastAsia="Calibri" w:hAnsi="Arial" w:cs="Arial"/>
        </w:rPr>
        <w:t xml:space="preserve">, </w:t>
      </w:r>
      <w:r w:rsidR="00D443FA" w:rsidRPr="00EA51CA">
        <w:rPr>
          <w:rFonts w:ascii="Arial" w:eastAsia="Calibri" w:hAnsi="Arial" w:cs="Arial"/>
        </w:rPr>
        <w:t>202</w:t>
      </w:r>
      <w:r w:rsidR="00226C3B" w:rsidRPr="00EA51CA">
        <w:rPr>
          <w:rFonts w:ascii="Arial" w:eastAsia="Calibri" w:hAnsi="Arial" w:cs="Arial"/>
        </w:rPr>
        <w:t>1</w:t>
      </w:r>
      <w:r w:rsidR="00D443FA" w:rsidRPr="00EA51CA">
        <w:rPr>
          <w:rFonts w:ascii="Arial" w:eastAsia="Calibri" w:hAnsi="Arial" w:cs="Arial"/>
        </w:rPr>
        <w:t xml:space="preserve"> – </w:t>
      </w:r>
      <w:proofErr w:type="spellStart"/>
      <w:r w:rsidRPr="00EA51CA">
        <w:rPr>
          <w:rFonts w:ascii="Arial" w:eastAsia="Calibri" w:hAnsi="Arial" w:cs="Arial"/>
          <w:b/>
          <w:bCs/>
        </w:rPr>
        <w:t>BetterLife</w:t>
      </w:r>
      <w:proofErr w:type="spellEnd"/>
      <w:r w:rsidRPr="00EA51CA">
        <w:rPr>
          <w:rFonts w:ascii="Arial" w:eastAsia="Calibri" w:hAnsi="Arial" w:cs="Arial"/>
          <w:b/>
          <w:bCs/>
        </w:rPr>
        <w:t xml:space="preserve"> Pharma Inc. (“</w:t>
      </w:r>
      <w:proofErr w:type="spellStart"/>
      <w:r w:rsidRPr="00EA51CA">
        <w:rPr>
          <w:rFonts w:ascii="Arial" w:eastAsia="Calibri" w:hAnsi="Arial" w:cs="Arial"/>
          <w:b/>
          <w:bCs/>
        </w:rPr>
        <w:t>BetterLife</w:t>
      </w:r>
      <w:proofErr w:type="spellEnd"/>
      <w:r w:rsidRPr="00EA51CA">
        <w:rPr>
          <w:rFonts w:ascii="Arial" w:eastAsia="Calibri" w:hAnsi="Arial" w:cs="Arial"/>
          <w:b/>
          <w:bCs/>
        </w:rPr>
        <w:t>” or the “Company”) (CSE: BETR / </w:t>
      </w:r>
      <w:proofErr w:type="gramStart"/>
      <w:r w:rsidRPr="00EA51CA">
        <w:rPr>
          <w:rFonts w:ascii="Arial" w:eastAsia="Calibri" w:hAnsi="Arial" w:cs="Arial"/>
          <w:b/>
          <w:bCs/>
        </w:rPr>
        <w:t>OTCQB :</w:t>
      </w:r>
      <w:proofErr w:type="gramEnd"/>
      <w:r w:rsidRPr="00EA51CA">
        <w:rPr>
          <w:rFonts w:ascii="Arial" w:eastAsia="Calibri" w:hAnsi="Arial" w:cs="Arial"/>
          <w:b/>
          <w:bCs/>
        </w:rPr>
        <w:t> BETRF / FRA: NPAU )</w:t>
      </w:r>
      <w:r w:rsidR="00DD466F" w:rsidRPr="00EA51CA">
        <w:rPr>
          <w:rFonts w:ascii="Arial" w:eastAsia="Calibri" w:hAnsi="Arial" w:cs="Arial"/>
        </w:rPr>
        <w:t>,</w:t>
      </w:r>
      <w:r w:rsidR="009D2C91">
        <w:rPr>
          <w:rFonts w:ascii="Arial" w:eastAsia="Times New Roman" w:hAnsi="Arial" w:cs="Arial"/>
          <w:color w:val="000000" w:themeColor="text1"/>
        </w:rPr>
        <w:t xml:space="preserve"> </w:t>
      </w:r>
      <w:r w:rsidR="009D2C91">
        <w:rPr>
          <w:rFonts w:ascii="Arial" w:hAnsi="Arial" w:cs="Arial"/>
          <w:color w:val="000000" w:themeColor="text1"/>
          <w:lang w:eastAsia="en-CA"/>
        </w:rPr>
        <w:t xml:space="preserve">is pleased to announce the </w:t>
      </w:r>
      <w:r w:rsidR="001C0D66">
        <w:rPr>
          <w:rFonts w:ascii="Arial" w:hAnsi="Arial" w:cs="Arial"/>
          <w:color w:val="000000" w:themeColor="text1"/>
          <w:lang w:eastAsia="en-CA"/>
        </w:rPr>
        <w:t xml:space="preserve">partial </w:t>
      </w:r>
      <w:r w:rsidR="009D2C91">
        <w:rPr>
          <w:rFonts w:ascii="Arial" w:hAnsi="Arial" w:cs="Arial"/>
          <w:color w:val="000000" w:themeColor="text1"/>
          <w:lang w:eastAsia="en-CA"/>
        </w:rPr>
        <w:t>exercise of the over-allotment option in conjunction with the Company’s $</w:t>
      </w:r>
      <w:r w:rsidR="009D2C91" w:rsidRPr="009D2C91">
        <w:rPr>
          <w:rFonts w:ascii="Arial" w:hAnsi="Arial" w:cs="Arial"/>
          <w:color w:val="000000" w:themeColor="text1"/>
          <w:lang w:eastAsia="en-CA"/>
        </w:rPr>
        <w:t xml:space="preserve">2,610,000 </w:t>
      </w:r>
      <w:r w:rsidR="009D2C91">
        <w:rPr>
          <w:rFonts w:ascii="Arial" w:hAnsi="Arial" w:cs="Arial"/>
          <w:color w:val="000000" w:themeColor="text1"/>
          <w:lang w:eastAsia="en-CA"/>
        </w:rPr>
        <w:t>marketed public offering (the “</w:t>
      </w:r>
      <w:r w:rsidR="009D2C91">
        <w:rPr>
          <w:rFonts w:ascii="Arial" w:hAnsi="Arial" w:cs="Arial"/>
          <w:b/>
          <w:color w:val="000000" w:themeColor="text1"/>
          <w:lang w:eastAsia="en-CA"/>
        </w:rPr>
        <w:t>Offering</w:t>
      </w:r>
      <w:r w:rsidR="009D2C91">
        <w:rPr>
          <w:rFonts w:ascii="Arial" w:hAnsi="Arial" w:cs="Arial"/>
          <w:color w:val="000000" w:themeColor="text1"/>
          <w:lang w:eastAsia="en-CA"/>
        </w:rPr>
        <w:t xml:space="preserve">”) of </w:t>
      </w:r>
      <w:r w:rsidR="009D2C91" w:rsidRPr="00AF7AD9">
        <w:rPr>
          <w:rFonts w:ascii="Arial" w:hAnsi="Arial" w:cs="Arial"/>
          <w:color w:val="000000" w:themeColor="text1"/>
          <w:lang w:val="en-CA" w:eastAsia="en-CA"/>
        </w:rPr>
        <w:t>units of the Company</w:t>
      </w:r>
      <w:r w:rsidR="009D2C91">
        <w:rPr>
          <w:rFonts w:ascii="Arial" w:hAnsi="Arial" w:cs="Arial"/>
          <w:color w:val="000000" w:themeColor="text1"/>
          <w:lang w:eastAsia="en-CA"/>
        </w:rPr>
        <w:t xml:space="preserve"> (the “</w:t>
      </w:r>
      <w:r w:rsidR="009D2C91">
        <w:rPr>
          <w:rFonts w:ascii="Arial" w:hAnsi="Arial" w:cs="Arial"/>
          <w:b/>
          <w:color w:val="000000" w:themeColor="text1"/>
          <w:lang w:eastAsia="en-CA"/>
        </w:rPr>
        <w:t>Units</w:t>
      </w:r>
      <w:r w:rsidR="009D2C91">
        <w:rPr>
          <w:rFonts w:ascii="Arial" w:hAnsi="Arial" w:cs="Arial"/>
          <w:color w:val="000000" w:themeColor="text1"/>
          <w:lang w:eastAsia="en-CA"/>
        </w:rPr>
        <w:t xml:space="preserve">”) that closed on June 7, 2021. </w:t>
      </w:r>
      <w:r w:rsidR="00B655DA">
        <w:rPr>
          <w:rFonts w:ascii="Arial" w:hAnsi="Arial" w:cs="Arial"/>
          <w:color w:val="000000" w:themeColor="text1"/>
          <w:lang w:eastAsia="en-CA"/>
        </w:rPr>
        <w:t xml:space="preserve">The Company has issued </w:t>
      </w:r>
      <w:r w:rsidR="00B655DA">
        <w:rPr>
          <w:rFonts w:ascii="Arial" w:hAnsi="Arial" w:cs="Arial"/>
          <w:bCs/>
          <w:color w:val="000000" w:themeColor="text1"/>
          <w:lang w:eastAsia="en-CA"/>
        </w:rPr>
        <w:t>a</w:t>
      </w:r>
      <w:r w:rsidR="009D2C91">
        <w:rPr>
          <w:rFonts w:ascii="Arial" w:hAnsi="Arial" w:cs="Arial"/>
          <w:bCs/>
          <w:color w:val="000000" w:themeColor="text1"/>
          <w:lang w:eastAsia="en-CA"/>
        </w:rPr>
        <w:t xml:space="preserve">n additional </w:t>
      </w:r>
      <w:r w:rsidR="00BF7419">
        <w:rPr>
          <w:rFonts w:ascii="Arial" w:hAnsi="Arial" w:cs="Arial"/>
          <w:color w:val="000000" w:themeColor="text1"/>
          <w:lang w:eastAsia="en-CA"/>
        </w:rPr>
        <w:t xml:space="preserve">500,000 </w:t>
      </w:r>
      <w:r w:rsidR="009D2C91">
        <w:rPr>
          <w:rFonts w:ascii="Arial" w:hAnsi="Arial" w:cs="Arial"/>
          <w:color w:val="000000" w:themeColor="text1"/>
          <w:lang w:eastAsia="en-CA"/>
        </w:rPr>
        <w:t xml:space="preserve">Units and an additional </w:t>
      </w:r>
      <w:r w:rsidR="00BF7419">
        <w:rPr>
          <w:rFonts w:ascii="Arial" w:hAnsi="Arial" w:cs="Arial"/>
          <w:color w:val="000000" w:themeColor="text1"/>
          <w:lang w:eastAsia="en-CA"/>
        </w:rPr>
        <w:t xml:space="preserve">478,750 </w:t>
      </w:r>
      <w:r w:rsidR="00DD079E">
        <w:rPr>
          <w:rFonts w:ascii="Arial" w:hAnsi="Arial" w:cs="Arial"/>
          <w:color w:val="000000" w:themeColor="text1"/>
          <w:lang w:eastAsia="en-CA"/>
        </w:rPr>
        <w:t xml:space="preserve">common share purchase warrants </w:t>
      </w:r>
      <w:r w:rsidR="00747637">
        <w:rPr>
          <w:rFonts w:ascii="Arial" w:hAnsi="Arial" w:cs="Arial"/>
          <w:color w:val="000000" w:themeColor="text1"/>
          <w:lang w:eastAsia="en-CA"/>
        </w:rPr>
        <w:t xml:space="preserve">of the Company </w:t>
      </w:r>
      <w:r w:rsidR="00832D5F">
        <w:rPr>
          <w:rFonts w:ascii="Arial" w:hAnsi="Arial" w:cs="Arial"/>
          <w:color w:val="000000" w:themeColor="text1"/>
          <w:lang w:eastAsia="en-CA"/>
        </w:rPr>
        <w:t>(the “</w:t>
      </w:r>
      <w:r w:rsidR="00832D5F">
        <w:rPr>
          <w:rFonts w:ascii="Arial" w:hAnsi="Arial" w:cs="Arial"/>
          <w:b/>
          <w:color w:val="000000" w:themeColor="text1"/>
          <w:lang w:eastAsia="en-CA"/>
        </w:rPr>
        <w:t>Warrants</w:t>
      </w:r>
      <w:r w:rsidR="00832D5F">
        <w:rPr>
          <w:rFonts w:ascii="Arial" w:hAnsi="Arial" w:cs="Arial"/>
          <w:color w:val="000000" w:themeColor="text1"/>
          <w:lang w:eastAsia="en-CA"/>
        </w:rPr>
        <w:t xml:space="preserve">”) </w:t>
      </w:r>
      <w:r w:rsidR="009D2C91">
        <w:rPr>
          <w:rFonts w:ascii="Arial" w:hAnsi="Arial" w:cs="Arial"/>
          <w:color w:val="000000" w:themeColor="text1"/>
          <w:lang w:eastAsia="en-CA"/>
        </w:rPr>
        <w:t xml:space="preserve">for additional gross aggregate proceeds of </w:t>
      </w:r>
      <w:r w:rsidR="009C2203">
        <w:rPr>
          <w:rFonts w:ascii="Arial" w:hAnsi="Arial" w:cs="Arial"/>
          <w:color w:val="000000" w:themeColor="text1"/>
          <w:lang w:eastAsia="en-CA"/>
        </w:rPr>
        <w:t xml:space="preserve">approximately </w:t>
      </w:r>
      <w:r w:rsidR="00747637">
        <w:rPr>
          <w:rFonts w:ascii="Arial" w:hAnsi="Arial" w:cs="Arial"/>
          <w:color w:val="000000" w:themeColor="text1"/>
          <w:lang w:eastAsia="en-CA"/>
        </w:rPr>
        <w:t>$226</w:t>
      </w:r>
      <w:r w:rsidR="009C2203">
        <w:rPr>
          <w:rFonts w:ascii="Arial" w:hAnsi="Arial" w:cs="Arial"/>
          <w:color w:val="000000" w:themeColor="text1"/>
          <w:lang w:eastAsia="en-CA"/>
        </w:rPr>
        <w:t>,953</w:t>
      </w:r>
      <w:r w:rsidR="005B6FB7">
        <w:rPr>
          <w:rFonts w:ascii="Arial" w:hAnsi="Arial" w:cs="Arial"/>
          <w:color w:val="000000" w:themeColor="text1"/>
          <w:lang w:eastAsia="en-CA"/>
        </w:rPr>
        <w:t>.</w:t>
      </w:r>
      <w:r w:rsidR="00747637">
        <w:rPr>
          <w:rFonts w:ascii="Arial" w:hAnsi="Arial" w:cs="Arial"/>
          <w:color w:val="000000" w:themeColor="text1"/>
          <w:lang w:eastAsia="en-CA"/>
        </w:rPr>
        <w:t xml:space="preserve"> </w:t>
      </w:r>
      <w:r w:rsidR="005B6FB7">
        <w:rPr>
          <w:rFonts w:ascii="Arial" w:hAnsi="Arial" w:cs="Arial"/>
          <w:color w:val="000000" w:themeColor="text1"/>
          <w:lang w:eastAsia="en-CA"/>
        </w:rPr>
        <w:t>T</w:t>
      </w:r>
      <w:r w:rsidR="009D2C91">
        <w:rPr>
          <w:rFonts w:ascii="Arial" w:hAnsi="Arial" w:cs="Arial"/>
          <w:color w:val="000000" w:themeColor="text1"/>
          <w:lang w:eastAsia="en-CA"/>
        </w:rPr>
        <w:t xml:space="preserve">he total gross proceeds to the Company from the Offering, including the </w:t>
      </w:r>
      <w:r w:rsidR="009D2C91" w:rsidRPr="00EA51CA">
        <w:rPr>
          <w:rFonts w:ascii="Arial" w:eastAsia="Calibri" w:hAnsi="Arial" w:cs="Arial"/>
          <w:iCs/>
        </w:rPr>
        <w:t>6,525,000</w:t>
      </w:r>
      <w:r w:rsidR="009D2C91" w:rsidRPr="00EA51CA">
        <w:rPr>
          <w:rFonts w:ascii="Arial" w:eastAsia="Calibri" w:hAnsi="Arial" w:cs="Arial"/>
          <w:b/>
          <w:bCs/>
          <w:iCs/>
        </w:rPr>
        <w:t xml:space="preserve"> </w:t>
      </w:r>
      <w:r w:rsidR="009D2C91">
        <w:rPr>
          <w:rFonts w:ascii="Arial" w:hAnsi="Arial" w:cs="Arial"/>
          <w:color w:val="000000" w:themeColor="text1"/>
          <w:lang w:eastAsia="en-CA"/>
        </w:rPr>
        <w:t xml:space="preserve">Units sold initially and the </w:t>
      </w:r>
      <w:r w:rsidR="00E92555">
        <w:rPr>
          <w:rFonts w:ascii="Arial" w:hAnsi="Arial" w:cs="Arial"/>
          <w:color w:val="000000" w:themeColor="text1"/>
          <w:lang w:eastAsia="en-CA"/>
        </w:rPr>
        <w:t xml:space="preserve">partial exercise of the </w:t>
      </w:r>
      <w:r w:rsidR="009D2C91">
        <w:rPr>
          <w:rFonts w:ascii="Arial" w:hAnsi="Arial" w:cs="Arial"/>
          <w:color w:val="000000" w:themeColor="text1"/>
          <w:lang w:eastAsia="en-CA"/>
        </w:rPr>
        <w:t xml:space="preserve">over-allotment option, is </w:t>
      </w:r>
      <w:r w:rsidR="00AF7AD9">
        <w:rPr>
          <w:rFonts w:ascii="Arial" w:hAnsi="Arial" w:cs="Arial"/>
          <w:color w:val="000000" w:themeColor="text1"/>
          <w:lang w:eastAsia="en-CA"/>
        </w:rPr>
        <w:t>approximately $2,836,953.</w:t>
      </w:r>
    </w:p>
    <w:p w14:paraId="2D9FC75D" w14:textId="13FBEFA7" w:rsidR="005C7983" w:rsidRPr="005C7983" w:rsidRDefault="005C7983" w:rsidP="00F85F80">
      <w:pPr>
        <w:spacing w:before="240" w:after="0" w:line="240" w:lineRule="auto"/>
        <w:jc w:val="both"/>
        <w:rPr>
          <w:rFonts w:ascii="Arial" w:eastAsia="Calibri" w:hAnsi="Arial" w:cs="Arial"/>
        </w:rPr>
      </w:pPr>
      <w:r w:rsidRPr="00EA51CA">
        <w:rPr>
          <w:rFonts w:ascii="Arial" w:eastAsia="Calibri" w:hAnsi="Arial" w:cs="Arial"/>
        </w:rPr>
        <w:t>Each Unit consists of one common share of the Company (a "</w:t>
      </w:r>
      <w:r w:rsidRPr="00EA51CA">
        <w:rPr>
          <w:rFonts w:ascii="Arial" w:eastAsia="Calibri" w:hAnsi="Arial" w:cs="Arial"/>
          <w:b/>
        </w:rPr>
        <w:t>Common Share</w:t>
      </w:r>
      <w:r w:rsidRPr="00EA51CA">
        <w:rPr>
          <w:rFonts w:ascii="Arial" w:eastAsia="Calibri" w:hAnsi="Arial" w:cs="Arial"/>
        </w:rPr>
        <w:t xml:space="preserve">") and </w:t>
      </w:r>
      <w:r w:rsidRPr="00EA51CA">
        <w:rPr>
          <w:rFonts w:ascii="Arial" w:eastAsia="Calibri" w:hAnsi="Arial" w:cs="Arial"/>
          <w:iCs/>
        </w:rPr>
        <w:t>one</w:t>
      </w:r>
      <w:r w:rsidRPr="00EA51CA">
        <w:rPr>
          <w:rFonts w:ascii="Arial" w:eastAsia="Calibri" w:hAnsi="Arial" w:cs="Arial"/>
          <w:b/>
          <w:bCs/>
          <w:iCs/>
        </w:rPr>
        <w:t xml:space="preserve"> </w:t>
      </w:r>
      <w:r w:rsidR="00030BC2">
        <w:rPr>
          <w:rFonts w:ascii="Arial" w:eastAsia="Calibri" w:hAnsi="Arial" w:cs="Arial"/>
        </w:rPr>
        <w:t>Warrant</w:t>
      </w:r>
      <w:r w:rsidRPr="00EA51CA">
        <w:rPr>
          <w:rFonts w:ascii="Arial" w:eastAsia="Calibri" w:hAnsi="Arial" w:cs="Arial"/>
        </w:rPr>
        <w:t>. Each Warrant entitles the holder thereof to purchase one Common Share at an exercise price of $0.50 expiring on May 28, 2024.</w:t>
      </w:r>
    </w:p>
    <w:p w14:paraId="3A0D277E" w14:textId="25B0DA53" w:rsidR="005C7983" w:rsidRDefault="005C7983" w:rsidP="00F85F80">
      <w:pPr>
        <w:spacing w:before="240" w:after="0" w:line="240" w:lineRule="auto"/>
        <w:jc w:val="both"/>
        <w:rPr>
          <w:rFonts w:ascii="Arial" w:hAnsi="Arial" w:cs="Arial"/>
          <w:color w:val="000000" w:themeColor="text1"/>
          <w:lang w:eastAsia="en-CA"/>
        </w:rPr>
      </w:pPr>
      <w:r w:rsidRPr="00EA51CA">
        <w:rPr>
          <w:rFonts w:ascii="Arial" w:eastAsia="Calibri" w:hAnsi="Arial" w:cs="Arial"/>
        </w:rPr>
        <w:t>The Offering was led by Research Capital Corporation as the sole agent and sole bookrunner (the “</w:t>
      </w:r>
      <w:r w:rsidRPr="00EA51CA">
        <w:rPr>
          <w:rFonts w:ascii="Arial" w:eastAsia="Calibri" w:hAnsi="Arial" w:cs="Arial"/>
          <w:b/>
        </w:rPr>
        <w:t>Agent</w:t>
      </w:r>
      <w:r w:rsidRPr="00EA51CA">
        <w:rPr>
          <w:rFonts w:ascii="Arial" w:eastAsia="Calibri" w:hAnsi="Arial" w:cs="Arial"/>
        </w:rPr>
        <w:t>”).</w:t>
      </w:r>
    </w:p>
    <w:p w14:paraId="2257E1AF" w14:textId="38ED59FF" w:rsidR="00C672E2" w:rsidRDefault="00D443FA">
      <w:pPr>
        <w:spacing w:before="240" w:after="0" w:line="240" w:lineRule="auto"/>
        <w:jc w:val="both"/>
        <w:rPr>
          <w:rFonts w:ascii="Arial" w:eastAsia="Calibri" w:hAnsi="Arial" w:cs="Arial"/>
        </w:rPr>
      </w:pPr>
      <w:r w:rsidRPr="00EA51CA">
        <w:rPr>
          <w:rFonts w:ascii="Arial" w:eastAsia="Calibri" w:hAnsi="Arial" w:cs="Arial"/>
        </w:rPr>
        <w:t xml:space="preserve">The net proceeds from the Offering </w:t>
      </w:r>
      <w:r w:rsidR="0073470E" w:rsidRPr="00EA51CA">
        <w:rPr>
          <w:rFonts w:ascii="Arial" w:eastAsia="Calibri" w:hAnsi="Arial" w:cs="Arial"/>
          <w:lang w:val="en-CA"/>
        </w:rPr>
        <w:t>will be used for working capital and general corporate purposes</w:t>
      </w:r>
      <w:r w:rsidR="00732EA3" w:rsidRPr="00EA51CA">
        <w:rPr>
          <w:rFonts w:ascii="Arial" w:eastAsia="Calibri" w:hAnsi="Arial" w:cs="Arial"/>
          <w:lang w:val="en-CA"/>
        </w:rPr>
        <w:t>.</w:t>
      </w:r>
      <w:r w:rsidRPr="00EA51CA">
        <w:rPr>
          <w:rFonts w:ascii="Arial" w:eastAsia="Calibri" w:hAnsi="Arial" w:cs="Arial"/>
        </w:rPr>
        <w:t xml:space="preserve"> </w:t>
      </w:r>
    </w:p>
    <w:p w14:paraId="61CFB356" w14:textId="77777777" w:rsidR="00F83CE5" w:rsidRPr="00EA51CA" w:rsidRDefault="00D443FA">
      <w:pPr>
        <w:spacing w:before="240" w:after="240" w:line="240" w:lineRule="auto"/>
        <w:jc w:val="both"/>
        <w:outlineLvl w:val="1"/>
        <w:rPr>
          <w:rFonts w:ascii="Arial" w:eastAsia="Calibri" w:hAnsi="Arial" w:cs="Arial"/>
          <w:lang w:val="en-CA"/>
        </w:rPr>
      </w:pPr>
      <w:r w:rsidRPr="00EA51CA">
        <w:rPr>
          <w:rFonts w:ascii="Arial" w:eastAsia="Calibri" w:hAnsi="Arial" w:cs="Arial"/>
          <w:lang w:val="en-CA"/>
        </w:rPr>
        <w:t>This press release is not an offer to sell or the solicitation of an offer to buy the securities in the United States or in any jurisdiction in which such offer, solicitation or sale would be unlawful prior to qualification or registration under the securities laws of such jurisdiction. The securities being offered have not been, nor will they be, registered under the United States Securities Act of 1933, as amended, and such securities may not be offered or sold within the United States or to, or for the account or benefit of, U.S. persons absent registration or an applicable exemption from U.S. registration requirements and applicable U.S. state securities laws.</w:t>
      </w:r>
    </w:p>
    <w:p w14:paraId="0115851A" w14:textId="77777777" w:rsidR="00F91C4F" w:rsidRPr="00EA51CA" w:rsidRDefault="00F91C4F" w:rsidP="00F91C4F">
      <w:pPr>
        <w:spacing w:before="240" w:after="240" w:line="240" w:lineRule="auto"/>
        <w:jc w:val="both"/>
        <w:outlineLvl w:val="1"/>
        <w:rPr>
          <w:rFonts w:ascii="Arial" w:eastAsia="Calibri" w:hAnsi="Arial" w:cs="Arial"/>
          <w:b/>
          <w:lang w:val="en-CA"/>
        </w:rPr>
      </w:pPr>
      <w:r w:rsidRPr="00EA51CA">
        <w:rPr>
          <w:rFonts w:ascii="Arial" w:eastAsia="Calibri" w:hAnsi="Arial" w:cs="Arial"/>
          <w:b/>
          <w:bCs/>
          <w:lang w:val="en-CA"/>
        </w:rPr>
        <w:t xml:space="preserve">About </w:t>
      </w:r>
      <w:proofErr w:type="spellStart"/>
      <w:r w:rsidRPr="00EA51CA">
        <w:rPr>
          <w:rFonts w:ascii="Arial" w:eastAsia="Calibri" w:hAnsi="Arial" w:cs="Arial"/>
          <w:b/>
          <w:bCs/>
          <w:lang w:val="en-CA"/>
        </w:rPr>
        <w:t>BetterLife</w:t>
      </w:r>
      <w:proofErr w:type="spellEnd"/>
      <w:r w:rsidRPr="00EA51CA">
        <w:rPr>
          <w:rFonts w:ascii="Arial" w:eastAsia="Calibri" w:hAnsi="Arial" w:cs="Arial"/>
          <w:b/>
          <w:bCs/>
          <w:lang w:val="en-CA"/>
        </w:rPr>
        <w:t xml:space="preserve"> Pharma Inc.</w:t>
      </w:r>
    </w:p>
    <w:p w14:paraId="6498E975" w14:textId="7157EB89" w:rsidR="00FB15DF" w:rsidRPr="00EA51CA" w:rsidRDefault="00CB2837" w:rsidP="00FB15DF">
      <w:pPr>
        <w:spacing w:before="240" w:after="240" w:line="240" w:lineRule="auto"/>
        <w:jc w:val="both"/>
        <w:outlineLvl w:val="1"/>
        <w:rPr>
          <w:rFonts w:ascii="Arial" w:eastAsia="Calibri" w:hAnsi="Arial" w:cs="Arial"/>
          <w:bCs/>
          <w:lang w:val="en-CA"/>
        </w:rPr>
      </w:pPr>
      <w:proofErr w:type="spellStart"/>
      <w:r w:rsidRPr="00CB2837">
        <w:rPr>
          <w:rFonts w:ascii="Arial" w:eastAsia="Calibri" w:hAnsi="Arial" w:cs="Arial"/>
          <w:bCs/>
          <w:lang w:val="en-CA"/>
        </w:rPr>
        <w:t>BetterLife</w:t>
      </w:r>
      <w:proofErr w:type="spellEnd"/>
      <w:r w:rsidRPr="00CB2837">
        <w:rPr>
          <w:rFonts w:ascii="Arial" w:eastAsia="Calibri" w:hAnsi="Arial" w:cs="Arial"/>
          <w:bCs/>
          <w:lang w:val="en-CA"/>
        </w:rPr>
        <w:t xml:space="preserve"> Pharma Inc. is an emerging biotechnology company engaged in the development and commercialization of next generation psychedelic products for the treatment of mental disorders. Utilizing most advanced synthetic chemistry methods and drug delivery platform technologies, </w:t>
      </w:r>
      <w:proofErr w:type="spellStart"/>
      <w:r w:rsidRPr="00CB2837">
        <w:rPr>
          <w:rFonts w:ascii="Arial" w:eastAsia="Calibri" w:hAnsi="Arial" w:cs="Arial"/>
          <w:bCs/>
          <w:lang w:val="en-CA"/>
        </w:rPr>
        <w:t>BetterLife</w:t>
      </w:r>
      <w:proofErr w:type="spellEnd"/>
      <w:r w:rsidRPr="00CB2837">
        <w:rPr>
          <w:rFonts w:ascii="Arial" w:eastAsia="Calibri" w:hAnsi="Arial" w:cs="Arial"/>
          <w:bCs/>
          <w:lang w:val="en-CA"/>
        </w:rPr>
        <w:t xml:space="preserve"> is generating patent protected non-hallucinogenic compounds that will allow outpatient treatment of mental health disorders.  </w:t>
      </w:r>
      <w:proofErr w:type="spellStart"/>
      <w:r w:rsidRPr="00CB2837">
        <w:rPr>
          <w:rFonts w:ascii="Arial" w:eastAsia="Calibri" w:hAnsi="Arial" w:cs="Arial"/>
          <w:bCs/>
          <w:lang w:val="en-CA"/>
        </w:rPr>
        <w:t>BetterLife</w:t>
      </w:r>
      <w:proofErr w:type="spellEnd"/>
      <w:r w:rsidRPr="00CB2837">
        <w:rPr>
          <w:rFonts w:ascii="Arial" w:eastAsia="Calibri" w:hAnsi="Arial" w:cs="Arial"/>
          <w:bCs/>
          <w:lang w:val="en-CA"/>
        </w:rPr>
        <w:t xml:space="preserve"> is also refining and developing drug candidates from a broad set of complementary interferon-based technologies which have the potential to engage the immune system to fight virus infections</w:t>
      </w:r>
      <w:r w:rsidR="00FB15DF" w:rsidRPr="00EA51CA">
        <w:rPr>
          <w:rFonts w:ascii="Arial" w:eastAsia="Calibri" w:hAnsi="Arial" w:cs="Arial"/>
          <w:bCs/>
          <w:lang w:val="en-CA"/>
        </w:rPr>
        <w:t>.</w:t>
      </w:r>
    </w:p>
    <w:p w14:paraId="5BCA37D7" w14:textId="200978AC" w:rsidR="00F91C4F" w:rsidRPr="00EA51CA" w:rsidRDefault="00F91C4F" w:rsidP="00FB15DF">
      <w:pPr>
        <w:spacing w:before="240" w:after="240" w:line="240" w:lineRule="auto"/>
        <w:jc w:val="both"/>
        <w:outlineLvl w:val="1"/>
        <w:rPr>
          <w:rFonts w:ascii="Arial" w:eastAsia="Calibri" w:hAnsi="Arial" w:cs="Arial"/>
          <w:bCs/>
          <w:lang w:val="en-CA"/>
        </w:rPr>
      </w:pPr>
      <w:r w:rsidRPr="00EA51CA">
        <w:rPr>
          <w:rFonts w:ascii="Arial" w:eastAsia="Calibri" w:hAnsi="Arial" w:cs="Arial"/>
          <w:bCs/>
          <w:lang w:val="en-CA"/>
        </w:rPr>
        <w:t>For further information please visit </w:t>
      </w:r>
      <w:hyperlink r:id="rId7" w:tgtFrame="_blank" w:history="1">
        <w:r w:rsidRPr="00EA51CA">
          <w:rPr>
            <w:rStyle w:val="Hyperlink"/>
            <w:rFonts w:ascii="Arial" w:eastAsia="Calibri" w:hAnsi="Arial" w:cs="Arial"/>
            <w:bCs/>
            <w:lang w:val="en-CA"/>
          </w:rPr>
          <w:t>www.abetterlifepharma.com</w:t>
        </w:r>
      </w:hyperlink>
      <w:r w:rsidRPr="00EA51CA">
        <w:rPr>
          <w:rFonts w:ascii="Arial" w:eastAsia="Calibri" w:hAnsi="Arial" w:cs="Arial"/>
          <w:bCs/>
          <w:lang w:val="en-CA"/>
        </w:rPr>
        <w:t>.</w:t>
      </w:r>
    </w:p>
    <w:p w14:paraId="77CD28A1" w14:textId="77777777" w:rsidR="00F91C4F" w:rsidRPr="00EA51CA" w:rsidRDefault="00F91C4F" w:rsidP="00F91C4F">
      <w:pPr>
        <w:spacing w:before="240" w:after="240" w:line="240" w:lineRule="auto"/>
        <w:jc w:val="both"/>
        <w:outlineLvl w:val="1"/>
        <w:rPr>
          <w:rFonts w:ascii="Arial" w:eastAsia="Calibri" w:hAnsi="Arial" w:cs="Arial"/>
          <w:b/>
          <w:lang w:val="en-CA"/>
        </w:rPr>
      </w:pPr>
      <w:r w:rsidRPr="00EA51CA">
        <w:rPr>
          <w:rFonts w:ascii="Arial" w:eastAsia="Calibri" w:hAnsi="Arial" w:cs="Arial"/>
          <w:b/>
          <w:bCs/>
          <w:lang w:val="en-CA"/>
        </w:rPr>
        <w:lastRenderedPageBreak/>
        <w:t>Contact</w:t>
      </w:r>
    </w:p>
    <w:p w14:paraId="149C91D7" w14:textId="164C9230" w:rsidR="00F91C4F" w:rsidRPr="00EA51CA" w:rsidRDefault="00F91C4F" w:rsidP="00F91C4F">
      <w:pPr>
        <w:spacing w:before="240" w:after="240" w:line="240" w:lineRule="auto"/>
        <w:outlineLvl w:val="1"/>
        <w:rPr>
          <w:rFonts w:ascii="Arial" w:eastAsia="Calibri" w:hAnsi="Arial" w:cs="Arial"/>
          <w:b/>
          <w:lang w:val="en-CA"/>
        </w:rPr>
      </w:pPr>
      <w:r w:rsidRPr="00EA51CA">
        <w:rPr>
          <w:rFonts w:ascii="Arial" w:eastAsia="Calibri" w:hAnsi="Arial" w:cs="Arial"/>
          <w:b/>
          <w:bCs/>
          <w:lang w:val="en-CA"/>
        </w:rPr>
        <w:t>Ahmad Doroudian</w:t>
      </w:r>
      <w:r w:rsidRPr="00EA51CA">
        <w:rPr>
          <w:rFonts w:ascii="Arial" w:eastAsia="Calibri" w:hAnsi="Arial" w:cs="Arial"/>
          <w:bCs/>
          <w:lang w:val="en-CA"/>
        </w:rPr>
        <w:t>, Chief Executive Officer</w:t>
      </w:r>
      <w:r w:rsidRPr="00EA51CA">
        <w:rPr>
          <w:rFonts w:ascii="Arial" w:eastAsia="Calibri" w:hAnsi="Arial" w:cs="Arial"/>
          <w:bCs/>
          <w:lang w:val="en-CA"/>
        </w:rPr>
        <w:br/>
        <w:t>Email: </w:t>
      </w:r>
      <w:hyperlink r:id="rId8" w:tgtFrame="_blank" w:history="1">
        <w:r w:rsidRPr="00EA51CA">
          <w:rPr>
            <w:rStyle w:val="Hyperlink"/>
            <w:rFonts w:ascii="Arial" w:eastAsia="Calibri" w:hAnsi="Arial" w:cs="Arial"/>
            <w:bCs/>
            <w:lang w:val="en-CA"/>
          </w:rPr>
          <w:t>Ahmad.Doroudian@blifepharma.com</w:t>
        </w:r>
      </w:hyperlink>
      <w:r w:rsidRPr="00EA51CA">
        <w:rPr>
          <w:rFonts w:ascii="Arial" w:eastAsia="Calibri" w:hAnsi="Arial" w:cs="Arial"/>
          <w:bCs/>
          <w:lang w:val="en-CA"/>
        </w:rPr>
        <w:br/>
        <w:t>Phone: (604) 221-0595</w:t>
      </w:r>
    </w:p>
    <w:p w14:paraId="5593A791" w14:textId="77777777" w:rsidR="00F91C4F" w:rsidRPr="00EA51CA" w:rsidRDefault="00F91C4F" w:rsidP="00F91C4F">
      <w:pPr>
        <w:spacing w:before="240" w:after="240" w:line="240" w:lineRule="auto"/>
        <w:jc w:val="both"/>
        <w:outlineLvl w:val="1"/>
        <w:rPr>
          <w:rFonts w:ascii="Arial" w:eastAsia="Calibri" w:hAnsi="Arial" w:cs="Arial"/>
          <w:b/>
          <w:lang w:val="en-CA"/>
        </w:rPr>
      </w:pPr>
      <w:r w:rsidRPr="00EA51CA">
        <w:rPr>
          <w:rFonts w:ascii="Arial" w:eastAsia="Calibri" w:hAnsi="Arial" w:cs="Arial"/>
          <w:b/>
          <w:bCs/>
          <w:lang w:val="en-CA"/>
        </w:rPr>
        <w:t>Cautionary Note Regarding Forward-Looking Statements</w:t>
      </w:r>
    </w:p>
    <w:p w14:paraId="1C9043F0" w14:textId="77777777" w:rsidR="00F91C4F" w:rsidRPr="00F91C4F" w:rsidRDefault="00F91C4F" w:rsidP="00F91C4F">
      <w:pPr>
        <w:spacing w:before="240" w:after="240" w:line="240" w:lineRule="auto"/>
        <w:jc w:val="both"/>
        <w:outlineLvl w:val="1"/>
        <w:rPr>
          <w:rFonts w:ascii="Arial" w:eastAsia="Calibri" w:hAnsi="Arial" w:cs="Arial"/>
          <w:bCs/>
          <w:lang w:val="en-CA"/>
        </w:rPr>
      </w:pPr>
      <w:r w:rsidRPr="00EA51CA">
        <w:rPr>
          <w:rFonts w:ascii="Arial" w:eastAsia="Calibri" w:hAnsi="Arial" w:cs="Arial"/>
          <w:bCs/>
          <w:lang w:val="en-CA"/>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EA51CA">
        <w:rPr>
          <w:rFonts w:ascii="Arial" w:eastAsia="Calibri" w:hAnsi="Arial" w:cs="Arial"/>
          <w:bCs/>
          <w:lang w:val="en-CA"/>
        </w:rPr>
        <w:t>as a result of</w:t>
      </w:r>
      <w:proofErr w:type="gramEnd"/>
      <w:r w:rsidRPr="00EA51CA">
        <w:rPr>
          <w:rFonts w:ascii="Arial" w:eastAsia="Calibri" w:hAnsi="Arial" w:cs="Arial"/>
          <w:bCs/>
          <w:lang w:val="en-CA"/>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61C1EC3" w14:textId="77777777" w:rsidR="00996698" w:rsidRPr="00996698" w:rsidRDefault="00996698" w:rsidP="00996698">
      <w:pPr>
        <w:spacing w:before="240" w:after="240" w:line="240" w:lineRule="auto"/>
        <w:outlineLvl w:val="1"/>
        <w:rPr>
          <w:rFonts w:ascii="Arial" w:hAnsi="Arial" w:cs="Arial"/>
        </w:rPr>
      </w:pPr>
    </w:p>
    <w:sectPr w:rsidR="00996698" w:rsidRPr="009966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5688" w14:textId="77777777" w:rsidR="00E179A8" w:rsidRDefault="00E179A8">
      <w:pPr>
        <w:spacing w:after="0" w:line="240" w:lineRule="auto"/>
      </w:pPr>
      <w:r>
        <w:separator/>
      </w:r>
    </w:p>
  </w:endnote>
  <w:endnote w:type="continuationSeparator" w:id="0">
    <w:p w14:paraId="073E20BF" w14:textId="77777777" w:rsidR="00E179A8" w:rsidRDefault="00E1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BA56" w14:textId="77777777" w:rsidR="00F91C4F" w:rsidRDefault="00F9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A1F" w14:textId="5E0A8E97" w:rsidR="0073470E" w:rsidRDefault="007347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9A9A" w14:textId="77777777" w:rsidR="00F91C4F" w:rsidRDefault="00F9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B0E9" w14:textId="77777777" w:rsidR="00E179A8" w:rsidRDefault="00E179A8">
      <w:pPr>
        <w:spacing w:after="0" w:line="240" w:lineRule="auto"/>
      </w:pPr>
      <w:r>
        <w:separator/>
      </w:r>
    </w:p>
  </w:footnote>
  <w:footnote w:type="continuationSeparator" w:id="0">
    <w:p w14:paraId="19519B34" w14:textId="77777777" w:rsidR="00E179A8" w:rsidRDefault="00E1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3D5" w14:textId="5C5F3E6D" w:rsidR="00F91C4F" w:rsidRDefault="00F9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048" w14:textId="4CEAD3A2" w:rsidR="0073470E" w:rsidRDefault="0073470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EC1" w14:textId="02679F84" w:rsidR="00F91C4F" w:rsidRDefault="00F9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bS0NDexNDYwMjNV0lEKTi0uzszPAykwqwUAEo0AXiwAAAA="/>
  </w:docVars>
  <w:rsids>
    <w:rsidRoot w:val="00C672E2"/>
    <w:rsid w:val="00006C52"/>
    <w:rsid w:val="00030BC2"/>
    <w:rsid w:val="00052BF5"/>
    <w:rsid w:val="00063C39"/>
    <w:rsid w:val="000813DF"/>
    <w:rsid w:val="00092F43"/>
    <w:rsid w:val="00095CD5"/>
    <w:rsid w:val="000B6352"/>
    <w:rsid w:val="000C74D8"/>
    <w:rsid w:val="000D2367"/>
    <w:rsid w:val="000D2FC3"/>
    <w:rsid w:val="00116801"/>
    <w:rsid w:val="00134B68"/>
    <w:rsid w:val="0015658E"/>
    <w:rsid w:val="001676C0"/>
    <w:rsid w:val="00190B3B"/>
    <w:rsid w:val="001A7661"/>
    <w:rsid w:val="001B37D3"/>
    <w:rsid w:val="001B4DF2"/>
    <w:rsid w:val="001C0D66"/>
    <w:rsid w:val="001E593E"/>
    <w:rsid w:val="00211680"/>
    <w:rsid w:val="00214F72"/>
    <w:rsid w:val="002224A8"/>
    <w:rsid w:val="002247EE"/>
    <w:rsid w:val="00226C3B"/>
    <w:rsid w:val="00233A6F"/>
    <w:rsid w:val="002670CB"/>
    <w:rsid w:val="00282E9C"/>
    <w:rsid w:val="002B71F6"/>
    <w:rsid w:val="002E7EC6"/>
    <w:rsid w:val="002F444C"/>
    <w:rsid w:val="00321724"/>
    <w:rsid w:val="003519A9"/>
    <w:rsid w:val="00361A32"/>
    <w:rsid w:val="003630FE"/>
    <w:rsid w:val="00382566"/>
    <w:rsid w:val="00387DE0"/>
    <w:rsid w:val="0039031F"/>
    <w:rsid w:val="0039118D"/>
    <w:rsid w:val="003943CD"/>
    <w:rsid w:val="003B56A8"/>
    <w:rsid w:val="003B6288"/>
    <w:rsid w:val="003E1774"/>
    <w:rsid w:val="003F4B19"/>
    <w:rsid w:val="00402BDF"/>
    <w:rsid w:val="00406655"/>
    <w:rsid w:val="004156B1"/>
    <w:rsid w:val="00425896"/>
    <w:rsid w:val="00431C03"/>
    <w:rsid w:val="0044266B"/>
    <w:rsid w:val="004520AC"/>
    <w:rsid w:val="00453DFC"/>
    <w:rsid w:val="00480AD2"/>
    <w:rsid w:val="004E3B09"/>
    <w:rsid w:val="004F4BD3"/>
    <w:rsid w:val="005146E4"/>
    <w:rsid w:val="005158E6"/>
    <w:rsid w:val="00525407"/>
    <w:rsid w:val="00532015"/>
    <w:rsid w:val="00535C7A"/>
    <w:rsid w:val="00537E37"/>
    <w:rsid w:val="00553FF4"/>
    <w:rsid w:val="005573E9"/>
    <w:rsid w:val="0057179C"/>
    <w:rsid w:val="00575B07"/>
    <w:rsid w:val="005A0834"/>
    <w:rsid w:val="005A333D"/>
    <w:rsid w:val="005B6FB7"/>
    <w:rsid w:val="005C330D"/>
    <w:rsid w:val="005C7983"/>
    <w:rsid w:val="005D502D"/>
    <w:rsid w:val="005E0A8D"/>
    <w:rsid w:val="0063576C"/>
    <w:rsid w:val="00661996"/>
    <w:rsid w:val="00665AF4"/>
    <w:rsid w:val="006B0378"/>
    <w:rsid w:val="006C229D"/>
    <w:rsid w:val="006C5D10"/>
    <w:rsid w:val="006D7B1D"/>
    <w:rsid w:val="006F0E91"/>
    <w:rsid w:val="006F428B"/>
    <w:rsid w:val="0070164C"/>
    <w:rsid w:val="0073223C"/>
    <w:rsid w:val="00732EA3"/>
    <w:rsid w:val="0073470E"/>
    <w:rsid w:val="00737F98"/>
    <w:rsid w:val="00740E01"/>
    <w:rsid w:val="007435D2"/>
    <w:rsid w:val="00747637"/>
    <w:rsid w:val="00756BE3"/>
    <w:rsid w:val="00767B50"/>
    <w:rsid w:val="0077156F"/>
    <w:rsid w:val="007878AA"/>
    <w:rsid w:val="007D75C9"/>
    <w:rsid w:val="008313F5"/>
    <w:rsid w:val="00832D5F"/>
    <w:rsid w:val="00834B0F"/>
    <w:rsid w:val="0086452F"/>
    <w:rsid w:val="00884ED6"/>
    <w:rsid w:val="0089512F"/>
    <w:rsid w:val="0089608A"/>
    <w:rsid w:val="008A09C4"/>
    <w:rsid w:val="008E47C6"/>
    <w:rsid w:val="008E7FA7"/>
    <w:rsid w:val="008F7706"/>
    <w:rsid w:val="00904CCF"/>
    <w:rsid w:val="00925DE4"/>
    <w:rsid w:val="00925E38"/>
    <w:rsid w:val="00933AE9"/>
    <w:rsid w:val="00972E44"/>
    <w:rsid w:val="00980BED"/>
    <w:rsid w:val="00981670"/>
    <w:rsid w:val="00996698"/>
    <w:rsid w:val="009C2203"/>
    <w:rsid w:val="009C71C3"/>
    <w:rsid w:val="009D2C91"/>
    <w:rsid w:val="00A0171B"/>
    <w:rsid w:val="00A145CD"/>
    <w:rsid w:val="00A36690"/>
    <w:rsid w:val="00A573F8"/>
    <w:rsid w:val="00A86E5D"/>
    <w:rsid w:val="00A97511"/>
    <w:rsid w:val="00AA1A57"/>
    <w:rsid w:val="00AA3879"/>
    <w:rsid w:val="00AA3C78"/>
    <w:rsid w:val="00AC1038"/>
    <w:rsid w:val="00AC43D8"/>
    <w:rsid w:val="00AC5ECD"/>
    <w:rsid w:val="00AE0E65"/>
    <w:rsid w:val="00AF15E4"/>
    <w:rsid w:val="00AF7AD9"/>
    <w:rsid w:val="00B130FF"/>
    <w:rsid w:val="00B1552E"/>
    <w:rsid w:val="00B61B35"/>
    <w:rsid w:val="00B64336"/>
    <w:rsid w:val="00B655DA"/>
    <w:rsid w:val="00B83E44"/>
    <w:rsid w:val="00BA6F5B"/>
    <w:rsid w:val="00BB4121"/>
    <w:rsid w:val="00BB5F72"/>
    <w:rsid w:val="00BB7F7F"/>
    <w:rsid w:val="00BC09A7"/>
    <w:rsid w:val="00BC61C6"/>
    <w:rsid w:val="00BD3FD0"/>
    <w:rsid w:val="00BD4D85"/>
    <w:rsid w:val="00BD4E93"/>
    <w:rsid w:val="00BD5BEA"/>
    <w:rsid w:val="00BE27F5"/>
    <w:rsid w:val="00BE7EA4"/>
    <w:rsid w:val="00BF7419"/>
    <w:rsid w:val="00BF7865"/>
    <w:rsid w:val="00C31296"/>
    <w:rsid w:val="00C42269"/>
    <w:rsid w:val="00C672E2"/>
    <w:rsid w:val="00C938A7"/>
    <w:rsid w:val="00CB2837"/>
    <w:rsid w:val="00CB7041"/>
    <w:rsid w:val="00CE27D3"/>
    <w:rsid w:val="00D12C89"/>
    <w:rsid w:val="00D4418B"/>
    <w:rsid w:val="00D443FA"/>
    <w:rsid w:val="00D4685F"/>
    <w:rsid w:val="00D520C5"/>
    <w:rsid w:val="00D53B95"/>
    <w:rsid w:val="00D61791"/>
    <w:rsid w:val="00D62507"/>
    <w:rsid w:val="00D72534"/>
    <w:rsid w:val="00D73D80"/>
    <w:rsid w:val="00D81925"/>
    <w:rsid w:val="00DA1EB7"/>
    <w:rsid w:val="00DD079E"/>
    <w:rsid w:val="00DD466F"/>
    <w:rsid w:val="00DE352E"/>
    <w:rsid w:val="00DF1BE4"/>
    <w:rsid w:val="00E179A8"/>
    <w:rsid w:val="00E25DEB"/>
    <w:rsid w:val="00E33EEA"/>
    <w:rsid w:val="00E42812"/>
    <w:rsid w:val="00E54008"/>
    <w:rsid w:val="00E558F8"/>
    <w:rsid w:val="00E70331"/>
    <w:rsid w:val="00E9232B"/>
    <w:rsid w:val="00E92555"/>
    <w:rsid w:val="00EA51CA"/>
    <w:rsid w:val="00EE1FEE"/>
    <w:rsid w:val="00EE2F62"/>
    <w:rsid w:val="00EF0DB2"/>
    <w:rsid w:val="00F51EF9"/>
    <w:rsid w:val="00F534C0"/>
    <w:rsid w:val="00F53E4D"/>
    <w:rsid w:val="00F83CE5"/>
    <w:rsid w:val="00F85F80"/>
    <w:rsid w:val="00F91C4F"/>
    <w:rsid w:val="00F92FAC"/>
    <w:rsid w:val="00FB15DF"/>
    <w:rsid w:val="00FB448B"/>
    <w:rsid w:val="00FC76B3"/>
    <w:rsid w:val="00FE5D18"/>
    <w:rsid w:val="00FE7651"/>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A21"/>
  <w15:docId w15:val="{CD0AA43C-765C-4520-8FD5-CCE9AB5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location">
    <w:name w:val="xn-location"/>
    <w:basedOn w:val="DefaultParagraphFont"/>
    <w:rsid w:val="001B4DF2"/>
  </w:style>
  <w:style w:type="character" w:customStyle="1" w:styleId="UnresolvedMention1">
    <w:name w:val="Unresolved Mention1"/>
    <w:basedOn w:val="DefaultParagraphFont"/>
    <w:uiPriority w:val="99"/>
    <w:semiHidden/>
    <w:unhideWhenUsed/>
    <w:rsid w:val="00996698"/>
    <w:rPr>
      <w:color w:val="605E5C"/>
      <w:shd w:val="clear" w:color="auto" w:fill="E1DFDD"/>
    </w:rPr>
  </w:style>
  <w:style w:type="paragraph" w:customStyle="1" w:styleId="DocsID">
    <w:name w:val="DocsID"/>
    <w:basedOn w:val="Normal"/>
    <w:qFormat/>
    <w:rsid w:val="0073470E"/>
    <w:pPr>
      <w:spacing w:after="0" w:line="240" w:lineRule="auto"/>
    </w:pPr>
    <w:rPr>
      <w:rFonts w:ascii="Calibri" w:eastAsia="Times New Roman" w:hAnsi="Calibri" w:cs="Calibri"/>
      <w:sz w:val="1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41">
      <w:bodyDiv w:val="1"/>
      <w:marLeft w:val="0"/>
      <w:marRight w:val="0"/>
      <w:marTop w:val="0"/>
      <w:marBottom w:val="0"/>
      <w:divBdr>
        <w:top w:val="none" w:sz="0" w:space="0" w:color="auto"/>
        <w:left w:val="none" w:sz="0" w:space="0" w:color="auto"/>
        <w:bottom w:val="none" w:sz="0" w:space="0" w:color="auto"/>
        <w:right w:val="none" w:sz="0" w:space="0" w:color="auto"/>
      </w:divBdr>
    </w:div>
    <w:div w:id="295570506">
      <w:bodyDiv w:val="1"/>
      <w:marLeft w:val="0"/>
      <w:marRight w:val="0"/>
      <w:marTop w:val="0"/>
      <w:marBottom w:val="0"/>
      <w:divBdr>
        <w:top w:val="none" w:sz="0" w:space="0" w:color="auto"/>
        <w:left w:val="none" w:sz="0" w:space="0" w:color="auto"/>
        <w:bottom w:val="none" w:sz="0" w:space="0" w:color="auto"/>
        <w:right w:val="none" w:sz="0" w:space="0" w:color="auto"/>
      </w:divBdr>
    </w:div>
    <w:div w:id="380636757">
      <w:bodyDiv w:val="1"/>
      <w:marLeft w:val="0"/>
      <w:marRight w:val="0"/>
      <w:marTop w:val="0"/>
      <w:marBottom w:val="0"/>
      <w:divBdr>
        <w:top w:val="none" w:sz="0" w:space="0" w:color="auto"/>
        <w:left w:val="none" w:sz="0" w:space="0" w:color="auto"/>
        <w:bottom w:val="none" w:sz="0" w:space="0" w:color="auto"/>
        <w:right w:val="none" w:sz="0" w:space="0" w:color="auto"/>
      </w:divBdr>
    </w:div>
    <w:div w:id="686833487">
      <w:bodyDiv w:val="1"/>
      <w:marLeft w:val="0"/>
      <w:marRight w:val="0"/>
      <w:marTop w:val="0"/>
      <w:marBottom w:val="0"/>
      <w:divBdr>
        <w:top w:val="none" w:sz="0" w:space="0" w:color="auto"/>
        <w:left w:val="none" w:sz="0" w:space="0" w:color="auto"/>
        <w:bottom w:val="none" w:sz="0" w:space="0" w:color="auto"/>
        <w:right w:val="none" w:sz="0" w:space="0" w:color="auto"/>
      </w:divBdr>
    </w:div>
    <w:div w:id="1074740726">
      <w:bodyDiv w:val="1"/>
      <w:marLeft w:val="0"/>
      <w:marRight w:val="0"/>
      <w:marTop w:val="0"/>
      <w:marBottom w:val="0"/>
      <w:divBdr>
        <w:top w:val="none" w:sz="0" w:space="0" w:color="auto"/>
        <w:left w:val="none" w:sz="0" w:space="0" w:color="auto"/>
        <w:bottom w:val="none" w:sz="0" w:space="0" w:color="auto"/>
        <w:right w:val="none" w:sz="0" w:space="0" w:color="auto"/>
      </w:divBdr>
    </w:div>
    <w:div w:id="1303267365">
      <w:bodyDiv w:val="1"/>
      <w:marLeft w:val="0"/>
      <w:marRight w:val="0"/>
      <w:marTop w:val="0"/>
      <w:marBottom w:val="0"/>
      <w:divBdr>
        <w:top w:val="none" w:sz="0" w:space="0" w:color="auto"/>
        <w:left w:val="none" w:sz="0" w:space="0" w:color="auto"/>
        <w:bottom w:val="none" w:sz="0" w:space="0" w:color="auto"/>
        <w:right w:val="none" w:sz="0" w:space="0" w:color="auto"/>
      </w:divBdr>
    </w:div>
    <w:div w:id="1541478709">
      <w:bodyDiv w:val="1"/>
      <w:marLeft w:val="0"/>
      <w:marRight w:val="0"/>
      <w:marTop w:val="0"/>
      <w:marBottom w:val="0"/>
      <w:divBdr>
        <w:top w:val="none" w:sz="0" w:space="0" w:color="auto"/>
        <w:left w:val="none" w:sz="0" w:space="0" w:color="auto"/>
        <w:bottom w:val="none" w:sz="0" w:space="0" w:color="auto"/>
        <w:right w:val="none" w:sz="0" w:space="0" w:color="auto"/>
      </w:divBdr>
    </w:div>
    <w:div w:id="1776172958">
      <w:bodyDiv w:val="1"/>
      <w:marLeft w:val="0"/>
      <w:marRight w:val="0"/>
      <w:marTop w:val="0"/>
      <w:marBottom w:val="0"/>
      <w:divBdr>
        <w:top w:val="none" w:sz="0" w:space="0" w:color="auto"/>
        <w:left w:val="none" w:sz="0" w:space="0" w:color="auto"/>
        <w:bottom w:val="none" w:sz="0" w:space="0" w:color="auto"/>
        <w:right w:val="none" w:sz="0" w:space="0" w:color="auto"/>
      </w:divBdr>
    </w:div>
    <w:div w:id="1862160937">
      <w:bodyDiv w:val="1"/>
      <w:marLeft w:val="0"/>
      <w:marRight w:val="0"/>
      <w:marTop w:val="0"/>
      <w:marBottom w:val="0"/>
      <w:divBdr>
        <w:top w:val="none" w:sz="0" w:space="0" w:color="auto"/>
        <w:left w:val="none" w:sz="0" w:space="0" w:color="auto"/>
        <w:bottom w:val="none" w:sz="0" w:space="0" w:color="auto"/>
        <w:right w:val="none" w:sz="0" w:space="0" w:color="auto"/>
      </w:divBdr>
    </w:div>
    <w:div w:id="20047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OXpdMRNJtEYVS1FjCdUrY9AhHH98bMBXpVCaQkP-CK2SsHMn2D9sETh0W6rHYNfe8gXLk_9glJWbRKNKHogivEMwamr2eXrnsdC66BUfFPr4uRJl6hmaowEgUJda6ce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globenewswire.com/Tracker?data=nIVenzSiU5gBBqzL43yt0azOnUtL6xyFwj2nNIr_rCdOaYrX5hNl7XX9Y1wf9oXUINvVXWxtGNp4ChVhKE4vKdc22Xms21hbGbERqastPa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Ong</cp:lastModifiedBy>
  <cp:revision>4</cp:revision>
  <cp:lastPrinted>1900-01-01T08:00:00Z</cp:lastPrinted>
  <dcterms:created xsi:type="dcterms:W3CDTF">1900-01-01T08:00:00Z</dcterms:created>
  <dcterms:modified xsi:type="dcterms:W3CDTF">2021-06-25T12:28:00Z</dcterms:modified>
</cp:coreProperties>
</file>