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1A30049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DA063D">
        <w:rPr>
          <w:rFonts w:ascii="Arial" w:eastAsia="Arial" w:hAnsi="Arial" w:cs="Arial"/>
          <w:color w:val="000000"/>
          <w:sz w:val="24"/>
          <w:szCs w:val="24"/>
          <w:u w:val="single"/>
        </w:rPr>
        <w:t>5</w:t>
      </w:r>
      <w:r w:rsidR="009438ED">
        <w:rPr>
          <w:rFonts w:ascii="Arial" w:eastAsia="Arial" w:hAnsi="Arial" w:cs="Arial"/>
          <w:color w:val="000000"/>
          <w:sz w:val="24"/>
          <w:szCs w:val="24"/>
          <w:u w:val="single"/>
        </w:rPr>
        <w:t>4,2</w:t>
      </w:r>
      <w:r w:rsidR="00E85246">
        <w:rPr>
          <w:rFonts w:ascii="Arial" w:eastAsia="Arial" w:hAnsi="Arial" w:cs="Arial"/>
          <w:color w:val="000000"/>
          <w:sz w:val="24"/>
          <w:szCs w:val="24"/>
          <w:u w:val="single"/>
        </w:rPr>
        <w:t>69</w:t>
      </w:r>
      <w:r w:rsidR="009438ED">
        <w:rPr>
          <w:rFonts w:ascii="Arial" w:eastAsia="Arial" w:hAnsi="Arial" w:cs="Arial"/>
          <w:color w:val="000000"/>
          <w:sz w:val="24"/>
          <w:szCs w:val="24"/>
          <w:u w:val="single"/>
        </w:rPr>
        <w:t>,009</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611D490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E85246">
        <w:rPr>
          <w:rFonts w:ascii="Arial" w:eastAsia="Arial" w:hAnsi="Arial" w:cs="Arial"/>
          <w:color w:val="000000"/>
          <w:sz w:val="24"/>
          <w:szCs w:val="24"/>
          <w:u w:val="single"/>
        </w:rPr>
        <w:t>June</w:t>
      </w:r>
      <w:r w:rsidR="009438ED">
        <w:rPr>
          <w:rFonts w:ascii="Arial" w:eastAsia="Arial" w:hAnsi="Arial" w:cs="Arial"/>
          <w:color w:val="000000"/>
          <w:sz w:val="24"/>
          <w:szCs w:val="24"/>
          <w:u w:val="single"/>
        </w:rPr>
        <w:t xml:space="preserve"> 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FA2466">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6D683578"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 xml:space="preserve">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w:t>
      </w:r>
      <w:r w:rsidRPr="00290665">
        <w:rPr>
          <w:rFonts w:ascii="Arial" w:hAnsi="Arial" w:cs="Arial"/>
          <w:b/>
          <w:bCs/>
          <w:sz w:val="24"/>
          <w:szCs w:val="24"/>
        </w:rPr>
        <w:lastRenderedPageBreak/>
        <w:t>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33F73796"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E85246">
        <w:rPr>
          <w:rFonts w:ascii="Arial" w:hAnsi="Arial" w:cs="Arial"/>
          <w:b/>
          <w:bCs/>
        </w:rPr>
        <w:t>May</w:t>
      </w:r>
      <w:r w:rsidR="005047B7">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0E3C0BA4"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3883C072"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49716FFE"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47773A60"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lastRenderedPageBreak/>
        <w:t xml:space="preserve">There were no acquisitions by the Issuer or dispositions of the Issuer’s assets during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697A3C18"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16030EB4" w14:textId="3A1802E4"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479CD505" w:rsidR="004979E1" w:rsidRDefault="00AA3889" w:rsidP="000C5E1A">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significant changes in personnel during </w:t>
      </w:r>
      <w:r w:rsidR="00E85246">
        <w:rPr>
          <w:rFonts w:ascii="Arial" w:eastAsia="Arial" w:hAnsi="Arial" w:cs="Arial"/>
          <w:b/>
          <w:color w:val="000000"/>
          <w:sz w:val="24"/>
          <w:szCs w:val="24"/>
        </w:rPr>
        <w:t>May</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rPr>
        <w:t>2021</w:t>
      </w:r>
      <w:proofErr w:type="gramEnd"/>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63B7BF1D"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743BFC74"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08AEEDE4"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E85246">
        <w:rPr>
          <w:rFonts w:ascii="Arial" w:hAnsi="Arial" w:cs="Arial"/>
          <w:b/>
          <w:color w:val="000000"/>
          <w:sz w:val="24"/>
          <w:szCs w:val="24"/>
        </w:rPr>
        <w:t>May</w:t>
      </w:r>
      <w:r w:rsidR="005047B7">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13DA2481" w:rsidR="008F2AF2" w:rsidRDefault="00914EA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Common shares</w:t>
            </w:r>
          </w:p>
        </w:tc>
        <w:tc>
          <w:tcPr>
            <w:tcW w:w="1938" w:type="dxa"/>
          </w:tcPr>
          <w:p w14:paraId="1358FC3D" w14:textId="7F61EB85" w:rsidR="008F2AF2" w:rsidRDefault="00E8524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58,000</w:t>
            </w:r>
          </w:p>
        </w:tc>
        <w:tc>
          <w:tcPr>
            <w:tcW w:w="2340" w:type="dxa"/>
          </w:tcPr>
          <w:p w14:paraId="57D162D0" w14:textId="1F0A9B37" w:rsidR="008F2AF2" w:rsidRDefault="00914EA4">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 xml:space="preserve">Various warrants exercised at </w:t>
            </w:r>
            <w:r w:rsidR="001B50CF">
              <w:rPr>
                <w:rFonts w:ascii="Arial" w:eastAsia="Arial" w:hAnsi="Arial" w:cs="Arial"/>
                <w:b/>
                <w:color w:val="000000"/>
              </w:rPr>
              <w:t>CAD</w:t>
            </w:r>
            <w:r>
              <w:rPr>
                <w:rFonts w:ascii="Arial" w:eastAsia="Arial" w:hAnsi="Arial" w:cs="Arial"/>
                <w:b/>
                <w:color w:val="000000"/>
              </w:rPr>
              <w:t xml:space="preserve"> $0.60</w:t>
            </w:r>
            <w:r w:rsidR="00333DE2">
              <w:rPr>
                <w:rFonts w:ascii="Arial" w:eastAsia="Arial" w:hAnsi="Arial" w:cs="Arial"/>
                <w:b/>
                <w:color w:val="000000"/>
              </w:rPr>
              <w:t xml:space="preserve"> and </w:t>
            </w:r>
            <w:r w:rsidR="001B50CF">
              <w:rPr>
                <w:rFonts w:ascii="Arial" w:eastAsia="Arial" w:hAnsi="Arial" w:cs="Arial"/>
                <w:b/>
                <w:color w:val="000000"/>
              </w:rPr>
              <w:t>USD$0.75</w:t>
            </w:r>
            <w:r>
              <w:rPr>
                <w:rFonts w:ascii="Arial" w:eastAsia="Arial" w:hAnsi="Arial" w:cs="Arial"/>
                <w:b/>
                <w:color w:val="000000"/>
              </w:rPr>
              <w:t xml:space="preserve"> per share.</w:t>
            </w:r>
          </w:p>
        </w:tc>
        <w:tc>
          <w:tcPr>
            <w:tcW w:w="1985" w:type="dxa"/>
          </w:tcPr>
          <w:p w14:paraId="16C89750" w14:textId="4850260B" w:rsidR="008F2AF2" w:rsidRDefault="00914EA4">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Operating expenditures</w:t>
            </w: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396CDC9F"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E85246">
        <w:rPr>
          <w:rFonts w:ascii="Arial" w:eastAsia="Arial" w:hAnsi="Arial" w:cs="Arial"/>
          <w:b/>
          <w:color w:val="000000"/>
          <w:sz w:val="24"/>
          <w:szCs w:val="24"/>
        </w:rPr>
        <w:t>May</w:t>
      </w:r>
      <w:r w:rsidR="005047B7">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001DF0BC" w:rsidR="004979E1" w:rsidRDefault="00914EA4"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the directors, </w:t>
      </w:r>
      <w:proofErr w:type="gramStart"/>
      <w:r>
        <w:rPr>
          <w:rFonts w:ascii="Arial" w:eastAsia="Arial" w:hAnsi="Arial" w:cs="Arial"/>
          <w:b/>
          <w:color w:val="000000"/>
          <w:sz w:val="24"/>
          <w:szCs w:val="24"/>
        </w:rPr>
        <w:t>officers</w:t>
      </w:r>
      <w:proofErr w:type="gramEnd"/>
      <w:r>
        <w:rPr>
          <w:rFonts w:ascii="Arial" w:eastAsia="Arial" w:hAnsi="Arial" w:cs="Arial"/>
          <w:b/>
          <w:color w:val="000000"/>
          <w:sz w:val="24"/>
          <w:szCs w:val="24"/>
        </w:rPr>
        <w:t xml:space="preserve"> or committee members</w:t>
      </w:r>
      <w:r w:rsidR="004872D4">
        <w:rPr>
          <w:rFonts w:ascii="Arial" w:eastAsia="Arial" w:hAnsi="Arial" w:cs="Arial"/>
          <w:b/>
          <w:color w:val="000000"/>
          <w:sz w:val="24"/>
          <w:szCs w:val="24"/>
        </w:rPr>
        <w:t xml:space="preserve"> during </w:t>
      </w:r>
      <w:r w:rsidR="00E85246">
        <w:rPr>
          <w:rFonts w:ascii="Arial" w:eastAsia="Arial" w:hAnsi="Arial" w:cs="Arial"/>
          <w:b/>
          <w:color w:val="000000"/>
          <w:sz w:val="24"/>
          <w:szCs w:val="24"/>
        </w:rPr>
        <w:t>May</w:t>
      </w:r>
      <w:r w:rsidR="004872D4">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D04F672" w14:textId="7244E52D"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7B5DEA">
        <w:rPr>
          <w:rFonts w:ascii="Arial" w:eastAsia="Arial" w:hAnsi="Arial" w:cs="Arial"/>
          <w:color w:val="000000"/>
          <w:sz w:val="24"/>
          <w:szCs w:val="24"/>
          <w:u w:val="single"/>
        </w:rPr>
        <w:t>June</w:t>
      </w:r>
      <w:r w:rsidR="00550FC9">
        <w:rPr>
          <w:rFonts w:ascii="Arial" w:eastAsia="Arial" w:hAnsi="Arial" w:cs="Arial"/>
          <w:color w:val="000000"/>
          <w:sz w:val="24"/>
          <w:szCs w:val="24"/>
          <w:u w:val="single"/>
        </w:rPr>
        <w:t xml:space="preserve"> </w:t>
      </w:r>
      <w:r w:rsidR="00E3107B">
        <w:rPr>
          <w:rFonts w:ascii="Arial" w:eastAsia="Arial" w:hAnsi="Arial" w:cs="Arial"/>
          <w:color w:val="000000"/>
          <w:sz w:val="24"/>
          <w:szCs w:val="24"/>
          <w:u w:val="single"/>
        </w:rPr>
        <w:t>3</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914EA4">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lastRenderedPageBreak/>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4DDCF8F0" w:rsidR="004979E1" w:rsidRDefault="00E85246">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lastRenderedPageBreak/>
              <w:t>May</w:t>
            </w:r>
            <w:r w:rsidR="005047B7">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28C4EBFD"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lastRenderedPageBreak/>
              <w:t>2</w:t>
            </w:r>
            <w:r w:rsidR="00914EA4">
              <w:rPr>
                <w:rFonts w:ascii="Arial" w:eastAsia="Arial" w:hAnsi="Arial" w:cs="Arial"/>
                <w:color w:val="000000"/>
                <w:sz w:val="24"/>
                <w:szCs w:val="24"/>
              </w:rPr>
              <w:t>1</w:t>
            </w:r>
            <w:r w:rsidRPr="0015253F">
              <w:rPr>
                <w:rFonts w:ascii="Arial" w:eastAsia="Arial" w:hAnsi="Arial" w:cs="Arial"/>
                <w:color w:val="000000"/>
                <w:sz w:val="24"/>
                <w:szCs w:val="24"/>
              </w:rPr>
              <w:t>/</w:t>
            </w:r>
            <w:r w:rsidR="00914EA4">
              <w:rPr>
                <w:rFonts w:ascii="Arial" w:eastAsia="Arial" w:hAnsi="Arial" w:cs="Arial"/>
                <w:color w:val="000000"/>
                <w:sz w:val="24"/>
                <w:szCs w:val="24"/>
              </w:rPr>
              <w:t>0</w:t>
            </w:r>
            <w:r w:rsidR="00A22213">
              <w:rPr>
                <w:rFonts w:ascii="Arial" w:eastAsia="Arial" w:hAnsi="Arial" w:cs="Arial"/>
                <w:color w:val="000000"/>
                <w:sz w:val="24"/>
                <w:szCs w:val="24"/>
              </w:rPr>
              <w:t>6</w:t>
            </w:r>
            <w:r w:rsidR="00BA3DB6">
              <w:rPr>
                <w:rFonts w:ascii="Arial" w:eastAsia="Arial" w:hAnsi="Arial" w:cs="Arial"/>
                <w:color w:val="000000"/>
                <w:sz w:val="24"/>
                <w:szCs w:val="24"/>
              </w:rPr>
              <w:t>/0</w:t>
            </w:r>
            <w:r w:rsidR="00D85A70">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22487C">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22487C">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6044" w14:textId="77777777" w:rsidR="0022487C" w:rsidRDefault="0022487C">
      <w:r>
        <w:separator/>
      </w:r>
    </w:p>
  </w:endnote>
  <w:endnote w:type="continuationSeparator" w:id="0">
    <w:p w14:paraId="15840786" w14:textId="77777777" w:rsidR="0022487C" w:rsidRDefault="0022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4979E1" w:rsidRDefault="00EC1E97">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87F2" w14:textId="77777777" w:rsidR="0022487C" w:rsidRDefault="0022487C">
      <w:r>
        <w:separator/>
      </w:r>
    </w:p>
  </w:footnote>
  <w:footnote w:type="continuationSeparator" w:id="0">
    <w:p w14:paraId="54E58429" w14:textId="77777777" w:rsidR="0022487C" w:rsidRDefault="0022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64373"/>
    <w:rsid w:val="000C5E1A"/>
    <w:rsid w:val="000D4E5C"/>
    <w:rsid w:val="000F7A00"/>
    <w:rsid w:val="0011405B"/>
    <w:rsid w:val="0011409C"/>
    <w:rsid w:val="00131A71"/>
    <w:rsid w:val="0015253F"/>
    <w:rsid w:val="00165EA8"/>
    <w:rsid w:val="001B50CF"/>
    <w:rsid w:val="001C25BA"/>
    <w:rsid w:val="001C37C4"/>
    <w:rsid w:val="001C4DEE"/>
    <w:rsid w:val="001D757E"/>
    <w:rsid w:val="001F2EB4"/>
    <w:rsid w:val="0022487C"/>
    <w:rsid w:val="00236019"/>
    <w:rsid w:val="002733B8"/>
    <w:rsid w:val="00290665"/>
    <w:rsid w:val="002A5414"/>
    <w:rsid w:val="002C0697"/>
    <w:rsid w:val="002E29E9"/>
    <w:rsid w:val="002F3847"/>
    <w:rsid w:val="002F5E7D"/>
    <w:rsid w:val="003260D1"/>
    <w:rsid w:val="003314B8"/>
    <w:rsid w:val="00333DE2"/>
    <w:rsid w:val="00334291"/>
    <w:rsid w:val="0035176A"/>
    <w:rsid w:val="00382A38"/>
    <w:rsid w:val="003861F8"/>
    <w:rsid w:val="00392F4D"/>
    <w:rsid w:val="00396E64"/>
    <w:rsid w:val="003C25F5"/>
    <w:rsid w:val="00413DD8"/>
    <w:rsid w:val="004440B9"/>
    <w:rsid w:val="00455F51"/>
    <w:rsid w:val="0048445E"/>
    <w:rsid w:val="00485C77"/>
    <w:rsid w:val="004872D4"/>
    <w:rsid w:val="004979E1"/>
    <w:rsid w:val="004B0088"/>
    <w:rsid w:val="004C36D4"/>
    <w:rsid w:val="004E4FE5"/>
    <w:rsid w:val="004F22EC"/>
    <w:rsid w:val="005047B7"/>
    <w:rsid w:val="005470B1"/>
    <w:rsid w:val="00550FC9"/>
    <w:rsid w:val="00574749"/>
    <w:rsid w:val="005A5507"/>
    <w:rsid w:val="005B5937"/>
    <w:rsid w:val="005E793F"/>
    <w:rsid w:val="005F4396"/>
    <w:rsid w:val="005F7279"/>
    <w:rsid w:val="0060702F"/>
    <w:rsid w:val="00622949"/>
    <w:rsid w:val="006378B4"/>
    <w:rsid w:val="00661D06"/>
    <w:rsid w:val="006B4AC7"/>
    <w:rsid w:val="006C4DB3"/>
    <w:rsid w:val="006D0478"/>
    <w:rsid w:val="006D46B7"/>
    <w:rsid w:val="006F3DEF"/>
    <w:rsid w:val="00701FE0"/>
    <w:rsid w:val="00781CCC"/>
    <w:rsid w:val="007A2CFF"/>
    <w:rsid w:val="007A5E20"/>
    <w:rsid w:val="007A74F3"/>
    <w:rsid w:val="007B3C75"/>
    <w:rsid w:val="007B5DEA"/>
    <w:rsid w:val="007D106D"/>
    <w:rsid w:val="007D60AF"/>
    <w:rsid w:val="007F1F99"/>
    <w:rsid w:val="007F5BD2"/>
    <w:rsid w:val="00827176"/>
    <w:rsid w:val="00874171"/>
    <w:rsid w:val="008B4748"/>
    <w:rsid w:val="008D251D"/>
    <w:rsid w:val="008D4B21"/>
    <w:rsid w:val="008F2AF2"/>
    <w:rsid w:val="00912987"/>
    <w:rsid w:val="00914EA4"/>
    <w:rsid w:val="009438ED"/>
    <w:rsid w:val="00957BD8"/>
    <w:rsid w:val="0097311F"/>
    <w:rsid w:val="0098262C"/>
    <w:rsid w:val="00984D84"/>
    <w:rsid w:val="00992346"/>
    <w:rsid w:val="00994AB0"/>
    <w:rsid w:val="009B02F3"/>
    <w:rsid w:val="009F34B8"/>
    <w:rsid w:val="00A22213"/>
    <w:rsid w:val="00A338A1"/>
    <w:rsid w:val="00A6113B"/>
    <w:rsid w:val="00A63869"/>
    <w:rsid w:val="00A75219"/>
    <w:rsid w:val="00A811CF"/>
    <w:rsid w:val="00AA3889"/>
    <w:rsid w:val="00AB5EBF"/>
    <w:rsid w:val="00AD3462"/>
    <w:rsid w:val="00AE1F47"/>
    <w:rsid w:val="00AE398D"/>
    <w:rsid w:val="00AE5F24"/>
    <w:rsid w:val="00AF0D79"/>
    <w:rsid w:val="00B07BD0"/>
    <w:rsid w:val="00B11CCC"/>
    <w:rsid w:val="00B17E58"/>
    <w:rsid w:val="00B320DA"/>
    <w:rsid w:val="00B41065"/>
    <w:rsid w:val="00B41D1A"/>
    <w:rsid w:val="00B54521"/>
    <w:rsid w:val="00B6111E"/>
    <w:rsid w:val="00B671A0"/>
    <w:rsid w:val="00B95F9B"/>
    <w:rsid w:val="00BA38E1"/>
    <w:rsid w:val="00BA3DB6"/>
    <w:rsid w:val="00BB4D62"/>
    <w:rsid w:val="00BD2902"/>
    <w:rsid w:val="00C36765"/>
    <w:rsid w:val="00C65842"/>
    <w:rsid w:val="00CB61E8"/>
    <w:rsid w:val="00CC3E72"/>
    <w:rsid w:val="00CD1070"/>
    <w:rsid w:val="00CD651D"/>
    <w:rsid w:val="00D113A9"/>
    <w:rsid w:val="00D2621A"/>
    <w:rsid w:val="00D27578"/>
    <w:rsid w:val="00D3615C"/>
    <w:rsid w:val="00D56897"/>
    <w:rsid w:val="00D57285"/>
    <w:rsid w:val="00D85A70"/>
    <w:rsid w:val="00D97274"/>
    <w:rsid w:val="00DA063D"/>
    <w:rsid w:val="00DA6EEB"/>
    <w:rsid w:val="00DF6459"/>
    <w:rsid w:val="00E02523"/>
    <w:rsid w:val="00E148F6"/>
    <w:rsid w:val="00E3107B"/>
    <w:rsid w:val="00E32757"/>
    <w:rsid w:val="00E363A8"/>
    <w:rsid w:val="00E401E3"/>
    <w:rsid w:val="00E85246"/>
    <w:rsid w:val="00EB41FF"/>
    <w:rsid w:val="00EC1E97"/>
    <w:rsid w:val="00EC2E8E"/>
    <w:rsid w:val="00F02342"/>
    <w:rsid w:val="00F02B6B"/>
    <w:rsid w:val="00F222E6"/>
    <w:rsid w:val="00F355D0"/>
    <w:rsid w:val="00F834E7"/>
    <w:rsid w:val="00F85C16"/>
    <w:rsid w:val="00FA2466"/>
    <w:rsid w:val="00FA291D"/>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36</cp:revision>
  <dcterms:created xsi:type="dcterms:W3CDTF">2021-02-04T17:41:00Z</dcterms:created>
  <dcterms:modified xsi:type="dcterms:W3CDTF">2021-06-03T17:07:00Z</dcterms:modified>
</cp:coreProperties>
</file>