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7D2F4858"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46B3D">
        <w:rPr>
          <w:rFonts w:ascii="Arial" w:hAnsi="Arial"/>
          <w:u w:val="single"/>
          <w:lang w:val="en-CA"/>
        </w:rPr>
        <w:t>May 1</w:t>
      </w:r>
      <w:r w:rsidR="005F14B6">
        <w:rPr>
          <w:rFonts w:ascii="Arial" w:hAnsi="Arial"/>
          <w:u w:val="single"/>
          <w:lang w:val="en-CA"/>
        </w:rPr>
        <w:t>4</w:t>
      </w:r>
      <w:r w:rsidR="00764DB7">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5E5BD673"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D63F4F" w:rsidRPr="00A46B3D">
        <w:rPr>
          <w:rFonts w:ascii="Arial" w:hAnsi="Arial"/>
          <w:u w:val="single"/>
          <w:lang w:val="en-CA"/>
        </w:rPr>
        <w:t>5</w:t>
      </w:r>
      <w:r w:rsidR="00A46B3D" w:rsidRPr="00A46B3D">
        <w:rPr>
          <w:rFonts w:ascii="Arial" w:hAnsi="Arial"/>
          <w:u w:val="single"/>
          <w:lang w:val="en-CA"/>
        </w:rPr>
        <w:t>9,8</w:t>
      </w:r>
      <w:r w:rsidR="00A46B3D">
        <w:rPr>
          <w:rFonts w:ascii="Arial" w:hAnsi="Arial"/>
          <w:u w:val="single"/>
          <w:lang w:val="en-CA"/>
        </w:rPr>
        <w:t>34,971</w:t>
      </w:r>
      <w:r w:rsidR="00C22EC2">
        <w:rPr>
          <w:rFonts w:ascii="Arial" w:hAnsi="Arial"/>
          <w:u w:val="single"/>
          <w:lang w:val="en-CA"/>
        </w:rPr>
        <w:t xml:space="preserve"> common shares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5F74382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5F14B6">
        <w:rPr>
          <w:rFonts w:ascii="Arial" w:hAnsi="Arial"/>
          <w:u w:val="single"/>
          <w:lang w:val="en-CA"/>
        </w:rPr>
        <w:t>May 14, 2021</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2D7B09E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5F14B6">
        <w:rPr>
          <w:rFonts w:ascii="Arial" w:hAnsi="Arial"/>
          <w:u w:val="single"/>
          <w:lang w:val="en-CA"/>
        </w:rPr>
        <w:t>$0.54</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2BBF8E31"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A46B3D">
        <w:rPr>
          <w:rFonts w:ascii="Arial" w:hAnsi="Arial"/>
          <w:u w:val="single"/>
          <w:lang w:val="en-CA"/>
        </w:rPr>
        <w:t>1,459,546</w:t>
      </w:r>
      <w:r w:rsidR="00C22EC2">
        <w:rPr>
          <w:rFonts w:ascii="Arial" w:hAnsi="Arial"/>
          <w:u w:val="single"/>
          <w:lang w:val="en-CA"/>
        </w:rPr>
        <w:t xml:space="preserve"> common shares</w:t>
      </w:r>
      <w:r w:rsidR="00764DB7">
        <w:rPr>
          <w:rFonts w:ascii="Arial" w:hAnsi="Arial"/>
          <w:u w:val="single"/>
          <w:lang w:val="en-CA"/>
        </w:rPr>
        <w:tab/>
      </w:r>
      <w:r>
        <w:rPr>
          <w:rFonts w:ascii="Arial" w:hAnsi="Arial"/>
          <w:lang w:val="en-CA"/>
        </w:rPr>
        <w:t>_</w:t>
      </w:r>
    </w:p>
    <w:p w14:paraId="58D459C6" w14:textId="43422C5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A46B3D">
        <w:rPr>
          <w:rFonts w:ascii="Arial" w:hAnsi="Arial"/>
          <w:u w:val="single"/>
          <w:lang w:val="en-CA"/>
        </w:rPr>
        <w:t>61,294,517</w:t>
      </w:r>
      <w:r w:rsidR="00C22EC2">
        <w:rPr>
          <w:rFonts w:ascii="Arial" w:hAnsi="Arial"/>
          <w:u w:val="single"/>
          <w:lang w:val="en-CA"/>
        </w:rPr>
        <w:t xml:space="preserve"> common shares</w:t>
      </w:r>
      <w:r w:rsidR="005B7097">
        <w:rPr>
          <w:rFonts w:ascii="Arial" w:hAnsi="Arial"/>
          <w:u w:val="single"/>
          <w:lang w:val="en-CA"/>
        </w:rPr>
        <w:t xml:space="preserve"> </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5FF2B901" w:rsidR="00C536D3" w:rsidRPr="00C536D3" w:rsidRDefault="00690DCB" w:rsidP="00C536D3">
            <w:pPr>
              <w:pStyle w:val="BodyText"/>
              <w:rPr>
                <w:rFonts w:ascii="Arial" w:hAnsi="Arial"/>
                <w:lang w:val="en-CA"/>
              </w:rPr>
            </w:pPr>
            <w:r>
              <w:rPr>
                <w:rFonts w:ascii="Arial" w:hAnsi="Arial"/>
                <w:lang w:val="en-CA"/>
              </w:rPr>
              <w:t>Hong Kong</w:t>
            </w:r>
          </w:p>
        </w:tc>
        <w:tc>
          <w:tcPr>
            <w:tcW w:w="1701" w:type="dxa"/>
          </w:tcPr>
          <w:p w14:paraId="1D8984E8" w14:textId="604C3746" w:rsidR="00C536D3" w:rsidRPr="00C536D3" w:rsidRDefault="00690DCB" w:rsidP="00C536D3">
            <w:pPr>
              <w:pStyle w:val="BodyText"/>
              <w:rPr>
                <w:rFonts w:ascii="Arial" w:hAnsi="Arial"/>
                <w:lang w:val="en-CA"/>
              </w:rPr>
            </w:pPr>
            <w:r>
              <w:rPr>
                <w:rFonts w:ascii="Arial" w:hAnsi="Arial"/>
                <w:lang w:val="en-CA"/>
              </w:rPr>
              <w:t>1</w:t>
            </w:r>
          </w:p>
        </w:tc>
        <w:tc>
          <w:tcPr>
            <w:tcW w:w="1829" w:type="dxa"/>
          </w:tcPr>
          <w:p w14:paraId="3FBC720D" w14:textId="189ED450" w:rsidR="00C536D3" w:rsidRPr="00C536D3" w:rsidRDefault="00690DCB" w:rsidP="00C536D3">
            <w:pPr>
              <w:pStyle w:val="BodyText"/>
              <w:rPr>
                <w:rFonts w:ascii="Arial" w:hAnsi="Arial"/>
                <w:lang w:val="en-CA"/>
              </w:rPr>
            </w:pPr>
            <w:r>
              <w:rPr>
                <w:rFonts w:ascii="Arial" w:hAnsi="Arial"/>
                <w:lang w:val="en-CA"/>
              </w:rPr>
              <w:t>US$0.</w:t>
            </w:r>
            <w:r w:rsidR="00A46B3D">
              <w:rPr>
                <w:rFonts w:ascii="Arial" w:hAnsi="Arial"/>
                <w:lang w:val="en-CA"/>
              </w:rPr>
              <w:t>70</w:t>
            </w:r>
          </w:p>
        </w:tc>
        <w:tc>
          <w:tcPr>
            <w:tcW w:w="2394" w:type="dxa"/>
          </w:tcPr>
          <w:p w14:paraId="3B703849" w14:textId="5639040D" w:rsidR="00C536D3" w:rsidRPr="00C536D3" w:rsidRDefault="00690DCB" w:rsidP="00C536D3">
            <w:pPr>
              <w:pStyle w:val="BodyText"/>
              <w:rPr>
                <w:rFonts w:ascii="Arial" w:hAnsi="Arial"/>
                <w:lang w:val="en-CA"/>
              </w:rPr>
            </w:pPr>
            <w:r>
              <w:rPr>
                <w:rFonts w:ascii="Arial" w:hAnsi="Arial"/>
                <w:lang w:val="en-CA"/>
              </w:rPr>
              <w:t>C$</w:t>
            </w:r>
            <w:r w:rsidR="00A46B3D">
              <w:rPr>
                <w:rFonts w:ascii="Arial" w:hAnsi="Arial"/>
                <w:lang w:val="en-CA"/>
              </w:rPr>
              <w:t>975,610</w:t>
            </w:r>
            <w:r>
              <w:rPr>
                <w:rFonts w:ascii="Arial" w:hAnsi="Arial"/>
                <w:lang w:val="en-CA"/>
              </w:rPr>
              <w:t xml:space="preserve"> (US$</w:t>
            </w:r>
            <w:r w:rsidR="00A46B3D">
              <w:rPr>
                <w:rFonts w:ascii="Arial" w:hAnsi="Arial"/>
                <w:lang w:val="en-CA"/>
              </w:rPr>
              <w:t>800</w:t>
            </w:r>
            <w:r>
              <w:rPr>
                <w:rFonts w:ascii="Arial" w:hAnsi="Arial"/>
                <w:lang w:val="en-CA"/>
              </w:rPr>
              <w:t>,000)</w:t>
            </w:r>
          </w:p>
        </w:tc>
      </w:tr>
      <w:tr w:rsidR="00690DCB" w:rsidRPr="00C536D3" w14:paraId="271A65D7" w14:textId="77777777" w:rsidTr="0064019D">
        <w:tc>
          <w:tcPr>
            <w:tcW w:w="3652" w:type="dxa"/>
          </w:tcPr>
          <w:p w14:paraId="1052DB8E" w14:textId="3D80FF64" w:rsidR="00690DCB" w:rsidRDefault="00690DCB" w:rsidP="00C536D3">
            <w:pPr>
              <w:pStyle w:val="BodyText"/>
              <w:rPr>
                <w:rFonts w:ascii="Arial" w:hAnsi="Arial"/>
                <w:lang w:val="en-CA"/>
              </w:rPr>
            </w:pPr>
            <w:r>
              <w:rPr>
                <w:rFonts w:ascii="Arial" w:hAnsi="Arial"/>
                <w:lang w:val="en-CA"/>
              </w:rPr>
              <w:t>Hong Kong</w:t>
            </w:r>
          </w:p>
        </w:tc>
        <w:tc>
          <w:tcPr>
            <w:tcW w:w="1701" w:type="dxa"/>
          </w:tcPr>
          <w:p w14:paraId="55BD92E7" w14:textId="18D27C18" w:rsidR="00690DCB" w:rsidRDefault="00690DCB" w:rsidP="00C536D3">
            <w:pPr>
              <w:pStyle w:val="BodyText"/>
              <w:rPr>
                <w:rFonts w:ascii="Arial" w:hAnsi="Arial"/>
                <w:lang w:val="en-CA"/>
              </w:rPr>
            </w:pPr>
            <w:r>
              <w:rPr>
                <w:rFonts w:ascii="Arial" w:hAnsi="Arial"/>
                <w:lang w:val="en-CA"/>
              </w:rPr>
              <w:t>1</w:t>
            </w:r>
          </w:p>
        </w:tc>
        <w:tc>
          <w:tcPr>
            <w:tcW w:w="1829" w:type="dxa"/>
          </w:tcPr>
          <w:p w14:paraId="64B98A39" w14:textId="08D2DDDD" w:rsidR="00690DCB" w:rsidRDefault="00690DCB" w:rsidP="00C536D3">
            <w:pPr>
              <w:pStyle w:val="BodyText"/>
              <w:rPr>
                <w:rFonts w:ascii="Arial" w:hAnsi="Arial"/>
                <w:lang w:val="en-CA"/>
              </w:rPr>
            </w:pPr>
            <w:r>
              <w:rPr>
                <w:rFonts w:ascii="Arial" w:hAnsi="Arial"/>
                <w:lang w:val="en-CA"/>
              </w:rPr>
              <w:t>C$0.</w:t>
            </w:r>
            <w:r w:rsidR="00A46B3D">
              <w:rPr>
                <w:rFonts w:ascii="Arial" w:hAnsi="Arial"/>
                <w:lang w:val="en-CA"/>
              </w:rPr>
              <w:t>54</w:t>
            </w:r>
          </w:p>
        </w:tc>
        <w:tc>
          <w:tcPr>
            <w:tcW w:w="2394" w:type="dxa"/>
          </w:tcPr>
          <w:p w14:paraId="3CF89289" w14:textId="288955FF" w:rsidR="00690DCB" w:rsidRDefault="00690DCB" w:rsidP="00C536D3">
            <w:pPr>
              <w:pStyle w:val="BodyText"/>
              <w:rPr>
                <w:rFonts w:ascii="Arial" w:hAnsi="Arial"/>
                <w:lang w:val="en-CA"/>
              </w:rPr>
            </w:pPr>
            <w:r>
              <w:rPr>
                <w:rFonts w:ascii="Arial" w:hAnsi="Arial"/>
                <w:lang w:val="en-CA"/>
              </w:rPr>
              <w:t>C$</w:t>
            </w:r>
            <w:r w:rsidR="00A46B3D">
              <w:rPr>
                <w:rFonts w:ascii="Arial" w:hAnsi="Arial"/>
                <w:lang w:val="en-CA"/>
              </w:rPr>
              <w:t>168,312</w:t>
            </w:r>
          </w:p>
        </w:tc>
      </w:tr>
      <w:tr w:rsidR="00A46B3D" w:rsidRPr="00C536D3" w14:paraId="6D715CF7" w14:textId="77777777" w:rsidTr="0064019D">
        <w:tc>
          <w:tcPr>
            <w:tcW w:w="3652" w:type="dxa"/>
          </w:tcPr>
          <w:p w14:paraId="337E6B6E" w14:textId="69EE2550" w:rsidR="00A46B3D" w:rsidRDefault="00A46B3D" w:rsidP="00C536D3">
            <w:pPr>
              <w:pStyle w:val="BodyText"/>
              <w:rPr>
                <w:rFonts w:ascii="Arial" w:hAnsi="Arial"/>
                <w:lang w:val="en-CA"/>
              </w:rPr>
            </w:pPr>
            <w:r>
              <w:rPr>
                <w:rFonts w:ascii="Arial" w:hAnsi="Arial"/>
                <w:lang w:val="en-CA"/>
              </w:rPr>
              <w:t>Ontario, Canada</w:t>
            </w:r>
          </w:p>
        </w:tc>
        <w:tc>
          <w:tcPr>
            <w:tcW w:w="1701" w:type="dxa"/>
          </w:tcPr>
          <w:p w14:paraId="13EC2392" w14:textId="701A6D10" w:rsidR="00A46B3D" w:rsidRDefault="00A46B3D" w:rsidP="00C536D3">
            <w:pPr>
              <w:pStyle w:val="BodyText"/>
              <w:rPr>
                <w:rFonts w:ascii="Arial" w:hAnsi="Arial"/>
                <w:lang w:val="en-CA"/>
              </w:rPr>
            </w:pPr>
            <w:r>
              <w:rPr>
                <w:rFonts w:ascii="Arial" w:hAnsi="Arial"/>
                <w:lang w:val="en-CA"/>
              </w:rPr>
              <w:t>1</w:t>
            </w:r>
          </w:p>
        </w:tc>
        <w:tc>
          <w:tcPr>
            <w:tcW w:w="1829" w:type="dxa"/>
          </w:tcPr>
          <w:p w14:paraId="651D4BE3" w14:textId="6D48B927" w:rsidR="00A46B3D" w:rsidRDefault="00A46B3D" w:rsidP="00C536D3">
            <w:pPr>
              <w:pStyle w:val="BodyText"/>
              <w:rPr>
                <w:rFonts w:ascii="Arial" w:hAnsi="Arial"/>
                <w:lang w:val="en-CA"/>
              </w:rPr>
            </w:pPr>
            <w:r>
              <w:rPr>
                <w:rFonts w:ascii="Arial" w:hAnsi="Arial"/>
                <w:lang w:val="en-CA"/>
              </w:rPr>
              <w:t>C$0.54</w:t>
            </w:r>
          </w:p>
        </w:tc>
        <w:tc>
          <w:tcPr>
            <w:tcW w:w="2394" w:type="dxa"/>
          </w:tcPr>
          <w:p w14:paraId="2FF537FB" w14:textId="5F35A019" w:rsidR="00A46B3D" w:rsidRDefault="00A46B3D" w:rsidP="00C536D3">
            <w:pPr>
              <w:pStyle w:val="BodyText"/>
              <w:rPr>
                <w:rFonts w:ascii="Arial" w:hAnsi="Arial"/>
                <w:lang w:val="en-CA"/>
              </w:rPr>
            </w:pPr>
            <w:r>
              <w:rPr>
                <w:rFonts w:ascii="Arial" w:hAnsi="Arial"/>
                <w:lang w:val="en-CA"/>
              </w:rPr>
              <w:t>C$2,700</w:t>
            </w: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05EA4FEC" w:rsidR="00C536D3" w:rsidRPr="006C0815" w:rsidRDefault="00A46B3D" w:rsidP="00C536D3">
            <w:pPr>
              <w:pStyle w:val="BodyText"/>
              <w:rPr>
                <w:rFonts w:ascii="Arial" w:hAnsi="Arial"/>
                <w:lang w:val="en-CA"/>
              </w:rPr>
            </w:pPr>
            <w:r>
              <w:rPr>
                <w:rFonts w:ascii="Arial" w:hAnsi="Arial"/>
                <w:lang w:val="en-CA"/>
              </w:rPr>
              <w:t>3</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65C293B0" w:rsidR="00C536D3" w:rsidRPr="00C536D3" w:rsidRDefault="004C1597" w:rsidP="00C536D3">
            <w:pPr>
              <w:pStyle w:val="BodyText"/>
              <w:rPr>
                <w:rFonts w:ascii="Arial" w:hAnsi="Arial"/>
                <w:lang w:val="en-CA"/>
              </w:rPr>
            </w:pPr>
            <w:r>
              <w:rPr>
                <w:rFonts w:ascii="Arial" w:hAnsi="Arial"/>
                <w:lang w:val="en-CA"/>
              </w:rPr>
              <w:t>C$</w:t>
            </w:r>
            <w:r w:rsidR="00A46B3D">
              <w:rPr>
                <w:rFonts w:ascii="Arial" w:hAnsi="Arial"/>
                <w:lang w:val="en-CA"/>
              </w:rPr>
              <w:t>1,146,622</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735D2483" w:rsidR="00A41631" w:rsidRPr="00A41631" w:rsidRDefault="00AE7A10">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3A880CF0"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652C15" w:rsidRPr="00690DCB">
        <w:rPr>
          <w:rFonts w:ascii="Arial" w:hAnsi="Arial"/>
          <w:u w:val="single"/>
        </w:rPr>
        <w:t>C</w:t>
      </w:r>
      <w:r w:rsidR="00652C15" w:rsidRPr="00A46B3D">
        <w:rPr>
          <w:rFonts w:ascii="Arial" w:hAnsi="Arial"/>
          <w:u w:val="single"/>
        </w:rPr>
        <w:t>$</w:t>
      </w:r>
      <w:r w:rsidR="00A46B3D" w:rsidRPr="00A46B3D">
        <w:rPr>
          <w:rFonts w:ascii="Arial" w:hAnsi="Arial"/>
          <w:u w:val="single"/>
          <w:lang w:val="en-CA"/>
        </w:rPr>
        <w:t>975,610</w:t>
      </w:r>
      <w:r w:rsidR="00690DCB" w:rsidRPr="00A46B3D">
        <w:rPr>
          <w:rFonts w:ascii="Arial" w:hAnsi="Arial"/>
          <w:u w:val="single"/>
          <w:lang w:val="en-CA"/>
        </w:rPr>
        <w:t xml:space="preserve"> </w:t>
      </w:r>
      <w:r w:rsidR="00690DCB" w:rsidRPr="00690DCB">
        <w:rPr>
          <w:rFonts w:ascii="Arial" w:hAnsi="Arial"/>
          <w:u w:val="single"/>
          <w:lang w:val="en-CA"/>
        </w:rPr>
        <w:t>(US$</w:t>
      </w:r>
      <w:r w:rsidR="00C64C7A">
        <w:rPr>
          <w:rFonts w:ascii="Arial" w:hAnsi="Arial"/>
          <w:u w:val="single"/>
          <w:lang w:val="en-CA"/>
        </w:rPr>
        <w:t>800</w:t>
      </w:r>
      <w:r w:rsidR="00690DCB" w:rsidRPr="00690DCB">
        <w:rPr>
          <w:rFonts w:ascii="Arial" w:hAnsi="Arial"/>
          <w:u w:val="single"/>
          <w:lang w:val="en-CA"/>
        </w:rPr>
        <w:t>,000)</w:t>
      </w:r>
      <w:r w:rsidRPr="00690DCB">
        <w:rPr>
          <w:rFonts w:ascii="Arial" w:hAnsi="Arial"/>
          <w:u w:val="single"/>
        </w:rPr>
        <w:t>.</w:t>
      </w:r>
    </w:p>
    <w:p w14:paraId="5BB92E3A" w14:textId="6C71503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52C15">
        <w:rPr>
          <w:rFonts w:ascii="Arial" w:hAnsi="Arial"/>
          <w:u w:val="single"/>
        </w:rPr>
        <w:t xml:space="preserve">Working capital and to advance on </w:t>
      </w:r>
      <w:r w:rsidR="004C1597">
        <w:rPr>
          <w:rFonts w:ascii="Arial" w:hAnsi="Arial"/>
          <w:u w:val="single"/>
        </w:rPr>
        <w:t>pre-clinical and clinical activities</w:t>
      </w:r>
      <w:r w:rsidR="00652C15">
        <w:rPr>
          <w:rFonts w:ascii="Arial" w:hAnsi="Arial"/>
          <w:u w:val="single"/>
        </w:rPr>
        <w:t>.</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49052F6D"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64C7A">
        <w:rPr>
          <w:rFonts w:ascii="Arial" w:hAnsi="Arial"/>
          <w:u w:val="single"/>
          <w:lang w:val="en-CA"/>
        </w:rPr>
        <w:t>1,142,857</w:t>
      </w:r>
      <w:r w:rsidR="00652C15">
        <w:rPr>
          <w:rFonts w:ascii="Arial" w:hAnsi="Arial"/>
          <w:u w:val="single"/>
        </w:rPr>
        <w:t xml:space="preserve"> common shares</w:t>
      </w:r>
      <w:r w:rsidR="00690DCB">
        <w:rPr>
          <w:rFonts w:ascii="Arial" w:hAnsi="Arial"/>
          <w:u w:val="single"/>
        </w:rPr>
        <w:t xml:space="preserve"> pursuant to private placement and </w:t>
      </w:r>
      <w:r w:rsidR="00C64C7A">
        <w:rPr>
          <w:rFonts w:ascii="Arial" w:hAnsi="Arial"/>
          <w:u w:val="single"/>
        </w:rPr>
        <w:t>316,689</w:t>
      </w:r>
      <w:r w:rsidR="00690DCB">
        <w:rPr>
          <w:rFonts w:ascii="Arial" w:hAnsi="Arial"/>
          <w:u w:val="single"/>
        </w:rPr>
        <w:t xml:space="preserve"> common shares for services</w:t>
      </w:r>
      <w:r>
        <w:rPr>
          <w:rFonts w:ascii="Arial" w:hAnsi="Arial"/>
          <w:u w:val="single"/>
        </w:rPr>
        <w:tab/>
      </w:r>
      <w:r>
        <w:rPr>
          <w:rFonts w:ascii="Arial" w:hAnsi="Arial"/>
        </w:rPr>
        <w:t xml:space="preserve"> .</w:t>
      </w:r>
    </w:p>
    <w:p w14:paraId="17438856" w14:textId="477F38D3"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US$0.</w:t>
      </w:r>
      <w:r w:rsidR="00C64C7A">
        <w:rPr>
          <w:rFonts w:ascii="Arial" w:hAnsi="Arial"/>
          <w:u w:val="single"/>
        </w:rPr>
        <w:t>70</w:t>
      </w:r>
      <w:r w:rsidR="00690DCB">
        <w:rPr>
          <w:rFonts w:ascii="Arial" w:hAnsi="Arial"/>
          <w:u w:val="single"/>
        </w:rPr>
        <w:t xml:space="preserve"> for common shares issued pursuant to private platement</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09DC259"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AE7A10">
        <w:rPr>
          <w:rFonts w:ascii="Arial" w:hAnsi="Arial"/>
          <w:u w:val="single"/>
        </w:rPr>
        <w:t>N/A</w:t>
      </w:r>
      <w:r>
        <w:rPr>
          <w:rFonts w:ascii="Arial" w:hAnsi="Arial"/>
          <w:u w:val="single"/>
        </w:rPr>
        <w:tab/>
      </w:r>
      <w:r>
        <w:rPr>
          <w:rFonts w:ascii="Arial" w:hAnsi="Arial"/>
        </w:rPr>
        <w:t xml:space="preserve"> .</w:t>
      </w:r>
    </w:p>
    <w:p w14:paraId="7A91E6A1" w14:textId="536EC449"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AE7A10">
        <w:rPr>
          <w:rFonts w:ascii="Arial" w:hAnsi="Arial"/>
          <w:u w:val="single"/>
        </w:rPr>
        <w:t>N/A</w:t>
      </w:r>
      <w:r>
        <w:rPr>
          <w:rFonts w:ascii="Arial" w:hAnsi="Arial"/>
          <w:u w:val="single"/>
        </w:rPr>
        <w:tab/>
      </w:r>
    </w:p>
    <w:p w14:paraId="063E5F62" w14:textId="6E1E3715"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AE7A10">
        <w:rPr>
          <w:rFonts w:ascii="Arial" w:hAnsi="Arial"/>
          <w:u w:val="single"/>
        </w:rPr>
        <w:t>N/A</w:t>
      </w:r>
      <w:r>
        <w:rPr>
          <w:rFonts w:ascii="Arial" w:hAnsi="Arial"/>
          <w:u w:val="single"/>
        </w:rPr>
        <w:tab/>
      </w:r>
      <w:r>
        <w:rPr>
          <w:rFonts w:ascii="Arial" w:hAnsi="Arial"/>
        </w:rPr>
        <w:t xml:space="preserve"> .</w:t>
      </w:r>
    </w:p>
    <w:p w14:paraId="21DDD55F" w14:textId="20F0D32B"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AE7A10">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1CCBC773"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64C7A">
        <w:rPr>
          <w:rFonts w:ascii="Arial" w:hAnsi="Arial"/>
          <w:u w:val="single"/>
        </w:rPr>
        <w:t>Consulting fee paid to Lacie Holdings Limited</w:t>
      </w:r>
      <w:r>
        <w:rPr>
          <w:rFonts w:ascii="Arial" w:hAnsi="Arial"/>
          <w:u w:val="single"/>
        </w:rPr>
        <w:tab/>
      </w:r>
      <w:r>
        <w:rPr>
          <w:rFonts w:ascii="Arial" w:hAnsi="Arial"/>
        </w:rPr>
        <w:t xml:space="preserve"> .</w:t>
      </w:r>
    </w:p>
    <w:p w14:paraId="2AD4D3E9" w14:textId="32CAFF26"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64C7A">
        <w:rPr>
          <w:rFonts w:ascii="Arial" w:hAnsi="Arial"/>
          <w:u w:val="single"/>
        </w:rPr>
        <w:t>$39,025</w:t>
      </w:r>
      <w:r>
        <w:rPr>
          <w:rFonts w:ascii="Arial" w:hAnsi="Arial"/>
          <w:u w:val="single"/>
        </w:rPr>
        <w:tab/>
      </w:r>
      <w:r>
        <w:rPr>
          <w:rFonts w:ascii="Arial" w:hAnsi="Arial"/>
        </w:rPr>
        <w:t xml:space="preserve"> .</w:t>
      </w:r>
    </w:p>
    <w:p w14:paraId="41D2674A" w14:textId="00C0DE0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64C7A">
        <w:rPr>
          <w:rFonts w:ascii="Arial" w:hAnsi="Arial"/>
          <w:u w:val="single"/>
        </w:rPr>
        <w:t>311,689 common shares</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5062F7E6"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AE7A10">
        <w:rPr>
          <w:rFonts w:ascii="Arial" w:hAnsi="Arial"/>
          <w:u w:val="single"/>
        </w:rPr>
        <w:t>N/A</w:t>
      </w:r>
      <w:r>
        <w:rPr>
          <w:rFonts w:ascii="Arial" w:hAnsi="Arial"/>
          <w:u w:val="single"/>
        </w:rPr>
        <w:tab/>
      </w:r>
      <w:r>
        <w:rPr>
          <w:rFonts w:ascii="Arial" w:hAnsi="Arial"/>
        </w:rPr>
        <w:t xml:space="preserve"> .</w:t>
      </w:r>
    </w:p>
    <w:p w14:paraId="31C4A9AB" w14:textId="78784F53"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AE7A10">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4E6FF52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D6FB9">
        <w:rPr>
          <w:rFonts w:ascii="Arial" w:hAnsi="Arial"/>
          <w:u w:val="single"/>
        </w:rPr>
        <w:t>May 1</w:t>
      </w:r>
      <w:r w:rsidR="005F14B6">
        <w:rPr>
          <w:rFonts w:ascii="Arial" w:hAnsi="Arial"/>
          <w:u w:val="single"/>
        </w:rPr>
        <w:t>4</w:t>
      </w:r>
      <w:r w:rsidR="00AE7A10">
        <w:rPr>
          <w:rFonts w:ascii="Arial" w:hAnsi="Arial"/>
          <w:u w:val="single"/>
        </w:rPr>
        <w:t>,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FB92" w14:textId="77777777" w:rsidR="00626CAD" w:rsidRDefault="00626CAD">
      <w:r>
        <w:separator/>
      </w:r>
    </w:p>
  </w:endnote>
  <w:endnote w:type="continuationSeparator" w:id="0">
    <w:p w14:paraId="0F257956" w14:textId="77777777" w:rsidR="00626CAD" w:rsidRDefault="006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626CAD"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DF0162">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7E3D" w14:textId="77777777" w:rsidR="00626CAD" w:rsidRDefault="00626CAD">
      <w:r>
        <w:separator/>
      </w:r>
    </w:p>
  </w:footnote>
  <w:footnote w:type="continuationSeparator" w:id="0">
    <w:p w14:paraId="74554726" w14:textId="77777777" w:rsidR="00626CAD" w:rsidRDefault="00626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74ACD"/>
    <w:rsid w:val="00186DA5"/>
    <w:rsid w:val="002557FD"/>
    <w:rsid w:val="002560F1"/>
    <w:rsid w:val="002B4583"/>
    <w:rsid w:val="002D316D"/>
    <w:rsid w:val="002F0416"/>
    <w:rsid w:val="00305EB6"/>
    <w:rsid w:val="00326D55"/>
    <w:rsid w:val="003431FD"/>
    <w:rsid w:val="0035331C"/>
    <w:rsid w:val="003C6D7E"/>
    <w:rsid w:val="003D4C0B"/>
    <w:rsid w:val="00405894"/>
    <w:rsid w:val="00456624"/>
    <w:rsid w:val="004A1403"/>
    <w:rsid w:val="004B214D"/>
    <w:rsid w:val="004C1597"/>
    <w:rsid w:val="00544BCF"/>
    <w:rsid w:val="005712FB"/>
    <w:rsid w:val="005B7097"/>
    <w:rsid w:val="005C5C64"/>
    <w:rsid w:val="005D6FB9"/>
    <w:rsid w:val="005F14B6"/>
    <w:rsid w:val="00617A0E"/>
    <w:rsid w:val="00626CAD"/>
    <w:rsid w:val="0062717F"/>
    <w:rsid w:val="00652C15"/>
    <w:rsid w:val="00690DCB"/>
    <w:rsid w:val="006C0815"/>
    <w:rsid w:val="006C3C59"/>
    <w:rsid w:val="007568B3"/>
    <w:rsid w:val="00764DB7"/>
    <w:rsid w:val="007B0425"/>
    <w:rsid w:val="007C4F86"/>
    <w:rsid w:val="008003B9"/>
    <w:rsid w:val="00840B45"/>
    <w:rsid w:val="008F27FF"/>
    <w:rsid w:val="008F3A0D"/>
    <w:rsid w:val="009136E7"/>
    <w:rsid w:val="009466F0"/>
    <w:rsid w:val="0097763E"/>
    <w:rsid w:val="009C1EC2"/>
    <w:rsid w:val="00A00C54"/>
    <w:rsid w:val="00A10285"/>
    <w:rsid w:val="00A41631"/>
    <w:rsid w:val="00A46B3D"/>
    <w:rsid w:val="00A90670"/>
    <w:rsid w:val="00A93530"/>
    <w:rsid w:val="00A9392C"/>
    <w:rsid w:val="00AE7A10"/>
    <w:rsid w:val="00B62D98"/>
    <w:rsid w:val="00B923F6"/>
    <w:rsid w:val="00BE2894"/>
    <w:rsid w:val="00C10A32"/>
    <w:rsid w:val="00C22EC2"/>
    <w:rsid w:val="00C500F0"/>
    <w:rsid w:val="00C536D3"/>
    <w:rsid w:val="00C64C7A"/>
    <w:rsid w:val="00CC2519"/>
    <w:rsid w:val="00CF076A"/>
    <w:rsid w:val="00CF2A90"/>
    <w:rsid w:val="00CF5580"/>
    <w:rsid w:val="00CF72A4"/>
    <w:rsid w:val="00D63F4F"/>
    <w:rsid w:val="00DA6830"/>
    <w:rsid w:val="00DB3C2D"/>
    <w:rsid w:val="00DB640C"/>
    <w:rsid w:val="00DF0162"/>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14</cp:revision>
  <cp:lastPrinted>2004-05-20T20:47:00Z</cp:lastPrinted>
  <dcterms:created xsi:type="dcterms:W3CDTF">2018-12-23T13:27:00Z</dcterms:created>
  <dcterms:modified xsi:type="dcterms:W3CDTF">2021-05-14T19:27:00Z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