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08D9766E"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B30351">
        <w:rPr>
          <w:rFonts w:ascii="Arial" w:hAnsi="Arial"/>
          <w:i/>
          <w:color w:val="000000"/>
        </w:rPr>
        <w:t>59,834,971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76C84038"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B30351">
        <w:rPr>
          <w:rFonts w:ascii="Arial" w:hAnsi="Arial"/>
          <w:color w:val="000000"/>
        </w:rPr>
        <w:t>May 4</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6884604B" w14:textId="64FE5ED3" w:rsidR="00B30351" w:rsidRDefault="00B30351" w:rsidP="00B30351">
      <w:pPr>
        <w:pStyle w:val="List"/>
        <w:spacing w:before="120"/>
        <w:ind w:left="720" w:firstLine="0"/>
        <w:jc w:val="both"/>
        <w:rPr>
          <w:rFonts w:ascii="Arial" w:hAnsi="Arial"/>
          <w:i/>
        </w:rPr>
      </w:pPr>
      <w:r w:rsidRPr="00B30351">
        <w:rPr>
          <w:rFonts w:ascii="Arial" w:hAnsi="Arial"/>
          <w:i/>
        </w:rPr>
        <w:t xml:space="preserve">Effective April 3, 2021, The Company issued 6,372,298 common shares and 6,372,298 share purchase warrants with exercise price of $0.60 and expiry date of December 1, 2023 pursuant to the automatic exercise of 5,589,735 Special Warrants, representing the balance of all outstanding Special Warrants exercised into 1.14 Units.  </w:t>
      </w:r>
    </w:p>
    <w:p w14:paraId="51B5E049" w14:textId="035B8184" w:rsidR="00B30351" w:rsidRPr="00B30351" w:rsidRDefault="00B30351" w:rsidP="00B30351">
      <w:pPr>
        <w:pStyle w:val="List"/>
        <w:spacing w:before="120"/>
        <w:ind w:left="720" w:firstLine="0"/>
        <w:jc w:val="both"/>
        <w:rPr>
          <w:rFonts w:ascii="Arial" w:hAnsi="Arial"/>
          <w:i/>
        </w:rPr>
      </w:pPr>
      <w:r w:rsidRPr="00B30351">
        <w:rPr>
          <w:rFonts w:ascii="Arial" w:hAnsi="Arial"/>
          <w:i/>
        </w:rPr>
        <w:t xml:space="preserve">On April 8, 2021, the Company announced that </w:t>
      </w:r>
      <w:proofErr w:type="spellStart"/>
      <w:r w:rsidRPr="00B30351">
        <w:rPr>
          <w:rFonts w:ascii="Arial" w:hAnsi="Arial"/>
          <w:i/>
        </w:rPr>
        <w:t>Dr.</w:t>
      </w:r>
      <w:proofErr w:type="spellEnd"/>
      <w:r w:rsidRPr="00B30351">
        <w:rPr>
          <w:rFonts w:ascii="Arial" w:hAnsi="Arial"/>
          <w:i/>
        </w:rPr>
        <w:t xml:space="preserve"> Thomas </w:t>
      </w:r>
      <w:proofErr w:type="spellStart"/>
      <w:r w:rsidRPr="00B30351">
        <w:rPr>
          <w:rFonts w:ascii="Arial" w:hAnsi="Arial"/>
          <w:i/>
        </w:rPr>
        <w:t>Laughren</w:t>
      </w:r>
      <w:proofErr w:type="spellEnd"/>
      <w:r w:rsidRPr="00B30351">
        <w:rPr>
          <w:rFonts w:ascii="Arial" w:hAnsi="Arial"/>
          <w:i/>
        </w:rPr>
        <w:t xml:space="preserve"> will join </w:t>
      </w:r>
      <w:proofErr w:type="spellStart"/>
      <w:r w:rsidRPr="00B30351">
        <w:rPr>
          <w:rFonts w:ascii="Arial" w:hAnsi="Arial"/>
          <w:i/>
        </w:rPr>
        <w:t>BetterLife</w:t>
      </w:r>
      <w:proofErr w:type="spellEnd"/>
      <w:r w:rsidRPr="00B30351">
        <w:rPr>
          <w:rFonts w:ascii="Arial" w:hAnsi="Arial"/>
          <w:i/>
        </w:rPr>
        <w:t xml:space="preserve"> as a Regulatory Advisor. </w:t>
      </w:r>
      <w:proofErr w:type="spellStart"/>
      <w:r w:rsidRPr="00B30351">
        <w:rPr>
          <w:rFonts w:ascii="Arial" w:hAnsi="Arial"/>
          <w:i/>
        </w:rPr>
        <w:t>Dr.</w:t>
      </w:r>
      <w:proofErr w:type="spellEnd"/>
      <w:r w:rsidRPr="00B30351">
        <w:rPr>
          <w:rFonts w:ascii="Arial" w:hAnsi="Arial"/>
          <w:i/>
        </w:rPr>
        <w:t xml:space="preserve"> </w:t>
      </w:r>
      <w:proofErr w:type="spellStart"/>
      <w:r w:rsidRPr="00B30351">
        <w:rPr>
          <w:rFonts w:ascii="Arial" w:hAnsi="Arial"/>
          <w:i/>
        </w:rPr>
        <w:t>Laughren</w:t>
      </w:r>
      <w:proofErr w:type="spellEnd"/>
      <w:r w:rsidRPr="00B30351">
        <w:rPr>
          <w:rFonts w:ascii="Arial" w:hAnsi="Arial"/>
          <w:i/>
        </w:rPr>
        <w:t xml:space="preserve"> was formerly Director for the Division of Psychiatry Products, </w:t>
      </w:r>
      <w:proofErr w:type="spellStart"/>
      <w:r w:rsidRPr="00B30351">
        <w:rPr>
          <w:rFonts w:ascii="Arial" w:hAnsi="Arial"/>
          <w:i/>
        </w:rPr>
        <w:t>Center</w:t>
      </w:r>
      <w:proofErr w:type="spellEnd"/>
      <w:r w:rsidRPr="00B30351">
        <w:rPr>
          <w:rFonts w:ascii="Arial" w:hAnsi="Arial"/>
          <w:i/>
        </w:rPr>
        <w:t xml:space="preserve"> for Drug Evaluation and Research at the FDA.  Prior to joining the FDA in September 1983, </w:t>
      </w:r>
      <w:proofErr w:type="spellStart"/>
      <w:r w:rsidRPr="00B30351">
        <w:rPr>
          <w:rFonts w:ascii="Arial" w:hAnsi="Arial"/>
          <w:i/>
        </w:rPr>
        <w:t>Dr.</w:t>
      </w:r>
      <w:proofErr w:type="spellEnd"/>
      <w:r w:rsidRPr="00B30351">
        <w:rPr>
          <w:rFonts w:ascii="Arial" w:hAnsi="Arial"/>
          <w:i/>
        </w:rPr>
        <w:t xml:space="preserve"> </w:t>
      </w:r>
      <w:proofErr w:type="spellStart"/>
      <w:r w:rsidRPr="00B30351">
        <w:rPr>
          <w:rFonts w:ascii="Arial" w:hAnsi="Arial"/>
          <w:i/>
        </w:rPr>
        <w:t>Laughren</w:t>
      </w:r>
      <w:proofErr w:type="spellEnd"/>
      <w:r w:rsidRPr="00B30351">
        <w:rPr>
          <w:rFonts w:ascii="Arial" w:hAnsi="Arial"/>
          <w:i/>
        </w:rPr>
        <w:t xml:space="preserve"> was affiliated with the VA Medical </w:t>
      </w:r>
      <w:proofErr w:type="spellStart"/>
      <w:r w:rsidRPr="00B30351">
        <w:rPr>
          <w:rFonts w:ascii="Arial" w:hAnsi="Arial"/>
          <w:i/>
        </w:rPr>
        <w:t>Center</w:t>
      </w:r>
      <w:proofErr w:type="spellEnd"/>
      <w:r w:rsidRPr="00B30351">
        <w:rPr>
          <w:rFonts w:ascii="Arial" w:hAnsi="Arial"/>
          <w:i/>
        </w:rPr>
        <w:t xml:space="preserve"> in Providence, RI, and was on the faculty of the Brown University Program in Medicine.</w:t>
      </w:r>
    </w:p>
    <w:p w14:paraId="1B649D2E" w14:textId="697A47D3" w:rsidR="00B30351" w:rsidRPr="00B30351" w:rsidRDefault="00B30351" w:rsidP="00B30351">
      <w:pPr>
        <w:pStyle w:val="List"/>
        <w:spacing w:before="120"/>
        <w:ind w:left="720" w:firstLine="0"/>
        <w:jc w:val="both"/>
        <w:rPr>
          <w:rFonts w:ascii="Arial" w:hAnsi="Arial"/>
          <w:i/>
        </w:rPr>
      </w:pPr>
      <w:r w:rsidRPr="00B30351">
        <w:rPr>
          <w:rFonts w:ascii="Arial" w:hAnsi="Arial"/>
          <w:i/>
        </w:rPr>
        <w:t xml:space="preserve">On April 26, 2021, the Company filed and obtained a receipt for a final base shelf prospectus (the "Shelf Prospectus") filed with the </w:t>
      </w:r>
      <w:proofErr w:type="gramStart"/>
      <w:r w:rsidRPr="00B30351">
        <w:rPr>
          <w:rFonts w:ascii="Arial" w:hAnsi="Arial"/>
          <w:i/>
        </w:rPr>
        <w:t>securities</w:t>
      </w:r>
      <w:proofErr w:type="gramEnd"/>
      <w:r w:rsidRPr="00B30351">
        <w:rPr>
          <w:rFonts w:ascii="Arial" w:hAnsi="Arial"/>
          <w:i/>
        </w:rPr>
        <w:t xml:space="preserve"> regulatory authorities in British Columbia, Alberta and Ontario, Canada.  The Shelf Prospectus will be valid for a 25-month period, during which time the Company may issue an aggregate offering amount of up to $100 million of common shares, preferred shares, warrants, subscription receipts, units, and debt securities (the "Securities") in amounts and at prices on the terms based on market conditions at the time of sale and set forth in an accompanying prospectus supplement ("Prospectus Supplement").  Unless otherwise specified in a Prospectus Supplement, the net proceeds from the sale of Securities may be used for general corporate and working capital requirements, funding product program costs, or for other corporate purposes. Each Prospectus Supplement will contain specific information concerning the use of proceeds from that sale of the Securities. There is no certainty that any Securities will be offered or sold under the Shelf Prospectus within the 25-month period. </w:t>
      </w:r>
    </w:p>
    <w:p w14:paraId="14256E63" w14:textId="708DA331" w:rsidR="0093703B" w:rsidRDefault="00B30351" w:rsidP="00B30351">
      <w:pPr>
        <w:pStyle w:val="List"/>
        <w:spacing w:before="120"/>
        <w:ind w:left="720" w:firstLine="0"/>
        <w:jc w:val="both"/>
        <w:rPr>
          <w:rFonts w:ascii="Arial" w:hAnsi="Arial"/>
          <w:i/>
        </w:rPr>
      </w:pPr>
      <w:r w:rsidRPr="00B30351">
        <w:rPr>
          <w:rFonts w:ascii="Arial" w:hAnsi="Arial"/>
          <w:i/>
        </w:rPr>
        <w:t xml:space="preserve">The Company has </w:t>
      </w:r>
      <w:proofErr w:type="gramStart"/>
      <w:r w:rsidRPr="00B30351">
        <w:rPr>
          <w:rFonts w:ascii="Arial" w:hAnsi="Arial"/>
          <w:i/>
        </w:rPr>
        <w:t>undertook</w:t>
      </w:r>
      <w:proofErr w:type="gramEnd"/>
      <w:r w:rsidRPr="00B30351">
        <w:rPr>
          <w:rFonts w:ascii="Arial" w:hAnsi="Arial"/>
          <w:i/>
        </w:rPr>
        <w:t xml:space="preserve"> to raise a minimum of $5,300,000 in connection with its first Prospectus Supplement to be filed under the Shelf Prospectus and to </w:t>
      </w:r>
      <w:r w:rsidRPr="00B30351">
        <w:rPr>
          <w:rFonts w:ascii="Arial" w:hAnsi="Arial"/>
          <w:i/>
        </w:rPr>
        <w:lastRenderedPageBreak/>
        <w:t>ensure such proceeds, determined at the time of filing the first Prospectus Supplement, will be sufficient to satisfy its liquidity requirements in the short term and to achieve progress on the development of a key product. The Company, however, maintains broad discretion concerning the use of the net proceeds from any offering, as well as the timing of its expenditures in ways that it deems most efficient, and there can be no assurance as to how the funds will be allocated, especially if the Company determines to revise its business plan and growth strategy.</w:t>
      </w:r>
    </w:p>
    <w:p w14:paraId="04BA918E" w14:textId="28E6F7CD" w:rsidR="00621E6A" w:rsidRDefault="00621E6A" w:rsidP="00B30351">
      <w:pPr>
        <w:pStyle w:val="List"/>
        <w:spacing w:before="120"/>
        <w:ind w:left="720" w:firstLine="0"/>
        <w:jc w:val="both"/>
        <w:rPr>
          <w:rFonts w:ascii="Arial" w:hAnsi="Arial"/>
          <w:i/>
        </w:rPr>
      </w:pPr>
      <w:r w:rsidRPr="00621E6A">
        <w:rPr>
          <w:rFonts w:ascii="Arial" w:hAnsi="Arial"/>
          <w:i/>
        </w:rPr>
        <w:t xml:space="preserve">On April 29, 2021, the Company announced that it has applied for patent protection of its novel implantable subcutaneous product and its use in the prevention of psychedelic drug diversion.  LSD and psilocybin </w:t>
      </w:r>
      <w:proofErr w:type="spellStart"/>
      <w:r w:rsidRPr="00621E6A">
        <w:rPr>
          <w:rFonts w:ascii="Arial" w:hAnsi="Arial"/>
          <w:i/>
        </w:rPr>
        <w:t>microdosing</w:t>
      </w:r>
      <w:proofErr w:type="spellEnd"/>
      <w:r w:rsidRPr="00621E6A">
        <w:rPr>
          <w:rFonts w:ascii="Arial" w:hAnsi="Arial"/>
          <w:i/>
        </w:rPr>
        <w:t xml:space="preserve"> are currently in multiple ongoing clinical trials.  One issue is the possibility of the patient in consuming a full psychedelic dose of Psilocybin or LSD as opposed to the prescribed </w:t>
      </w:r>
      <w:proofErr w:type="spellStart"/>
      <w:r w:rsidRPr="00621E6A">
        <w:rPr>
          <w:rFonts w:ascii="Arial" w:hAnsi="Arial"/>
          <w:i/>
        </w:rPr>
        <w:t>microdose</w:t>
      </w:r>
      <w:proofErr w:type="spellEnd"/>
      <w:r w:rsidRPr="00621E6A">
        <w:rPr>
          <w:rFonts w:ascii="Arial" w:hAnsi="Arial"/>
          <w:i/>
        </w:rPr>
        <w:t xml:space="preserve"> or resale of the drugs to someone other than the patient.  The Company’s invention solves this problem by use of an implant administered by in-office procedure performed by a physician.  The technical specification includes the option for a pulsatile release in accordance with current </w:t>
      </w:r>
      <w:proofErr w:type="spellStart"/>
      <w:r w:rsidRPr="00621E6A">
        <w:rPr>
          <w:rFonts w:ascii="Arial" w:hAnsi="Arial"/>
          <w:i/>
        </w:rPr>
        <w:t>microdosed</w:t>
      </w:r>
      <w:proofErr w:type="spellEnd"/>
      <w:r w:rsidRPr="00621E6A">
        <w:rPr>
          <w:rFonts w:ascii="Arial" w:hAnsi="Arial"/>
          <w:i/>
        </w:rPr>
        <w:t xml:space="preserve"> psychedelic protocols as well as an extended duration of release.</w:t>
      </w:r>
    </w:p>
    <w:p w14:paraId="00AD1853" w14:textId="68618D8F" w:rsidR="00B30351" w:rsidRPr="006C62F7" w:rsidRDefault="00B30351" w:rsidP="00B30351">
      <w:pPr>
        <w:pStyle w:val="List"/>
        <w:spacing w:before="120"/>
        <w:ind w:left="720" w:firstLine="0"/>
        <w:jc w:val="both"/>
        <w:rPr>
          <w:rFonts w:ascii="Arial" w:hAnsi="Arial"/>
          <w:i/>
        </w:rPr>
      </w:pPr>
      <w:r>
        <w:rPr>
          <w:rFonts w:ascii="Arial" w:hAnsi="Arial"/>
          <w:i/>
        </w:rPr>
        <w:t>During April 2021, the Company</w:t>
      </w:r>
      <w:r w:rsidRPr="00B30351">
        <w:rPr>
          <w:rFonts w:ascii="Arial" w:hAnsi="Arial"/>
          <w:i/>
        </w:rPr>
        <w:t xml:space="preserve"> issued 49,864 common shares to third part</w:t>
      </w:r>
      <w:r>
        <w:rPr>
          <w:rFonts w:ascii="Arial" w:hAnsi="Arial"/>
          <w:i/>
        </w:rPr>
        <w:t>ies</w:t>
      </w:r>
      <w:r w:rsidRPr="00B30351">
        <w:rPr>
          <w:rFonts w:ascii="Arial" w:hAnsi="Arial"/>
          <w:i/>
        </w:rPr>
        <w:t xml:space="preserve"> for services rendered.</w:t>
      </w:r>
      <w:r>
        <w:rPr>
          <w:rFonts w:ascii="Arial" w:hAnsi="Arial"/>
          <w:i/>
        </w:rPr>
        <w:t xml:space="preserve">  </w:t>
      </w:r>
      <w:r w:rsidRPr="00B30351">
        <w:rPr>
          <w:rFonts w:ascii="Arial" w:hAnsi="Arial"/>
          <w:i/>
        </w:rPr>
        <w:t>The Company also granted 700,000 stock options, expiry date of April 27, 2023 and exercise price of $0.63, to officers.</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168B1CC" w:rsidR="00A23C08" w:rsidRPr="00D861FE" w:rsidRDefault="006C62F7" w:rsidP="00A23C08">
      <w:pPr>
        <w:pStyle w:val="List"/>
        <w:spacing w:before="120"/>
        <w:ind w:left="720" w:firstLine="0"/>
        <w:jc w:val="both"/>
        <w:rPr>
          <w:rFonts w:ascii="Arial" w:hAnsi="Arial"/>
          <w:i/>
        </w:rPr>
      </w:pPr>
      <w:r>
        <w:rPr>
          <w:rFonts w:ascii="Arial" w:hAnsi="Arial"/>
          <w:i/>
        </w:rPr>
        <w:t>N/A.</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316438EF" w:rsidR="0014406D" w:rsidRPr="0014406D" w:rsidRDefault="00842030" w:rsidP="0014406D">
      <w:pPr>
        <w:pStyle w:val="List"/>
        <w:spacing w:before="120"/>
        <w:ind w:left="720" w:firstLine="0"/>
        <w:jc w:val="both"/>
        <w:rPr>
          <w:rFonts w:ascii="Arial" w:hAnsi="Arial"/>
          <w:i/>
        </w:rPr>
      </w:pPr>
      <w:r>
        <w:rPr>
          <w:rFonts w:ascii="Arial" w:hAnsi="Arial"/>
          <w:i/>
        </w:rPr>
        <w:t>N/A</w:t>
      </w:r>
      <w:r w:rsidR="00D03F31">
        <w:rPr>
          <w:rFonts w:ascii="Arial" w:hAnsi="Arial"/>
          <w:i/>
        </w:rPr>
        <w:t>.</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3095E298" w:rsidR="00C358BE" w:rsidRPr="0014406D" w:rsidRDefault="00BC20AB"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7DD76E19" w:rsidR="003138E2" w:rsidRPr="0014406D" w:rsidRDefault="00621E6A" w:rsidP="003138E2">
      <w:pPr>
        <w:pStyle w:val="List"/>
        <w:spacing w:before="120"/>
        <w:ind w:left="720" w:firstLine="0"/>
        <w:jc w:val="both"/>
        <w:rPr>
          <w:rFonts w:ascii="Arial" w:hAnsi="Arial"/>
          <w:i/>
        </w:rPr>
      </w:pPr>
      <w:r>
        <w:rPr>
          <w:rFonts w:ascii="Arial" w:hAnsi="Arial"/>
          <w:i/>
        </w:rPr>
        <w:t>Please see Item 1.</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0BE0EE83" w:rsidR="000C1488" w:rsidRDefault="00474991" w:rsidP="000C1488">
      <w:pPr>
        <w:pStyle w:val="List"/>
        <w:spacing w:before="120"/>
        <w:ind w:left="720" w:firstLine="0"/>
        <w:jc w:val="both"/>
        <w:rPr>
          <w:rFonts w:ascii="Arial" w:hAnsi="Arial"/>
          <w:i/>
        </w:rPr>
      </w:pPr>
      <w:r>
        <w:rPr>
          <w:rFonts w:ascii="Arial" w:hAnsi="Arial"/>
          <w:i/>
        </w:rPr>
        <w:t xml:space="preserve">As previously disclosed in the Company’s </w:t>
      </w:r>
      <w:r w:rsidR="00621E6A">
        <w:rPr>
          <w:rFonts w:ascii="Arial" w:hAnsi="Arial"/>
          <w:i/>
        </w:rPr>
        <w:t xml:space="preserve">March 2021 </w:t>
      </w:r>
      <w:r w:rsidR="004E4F81">
        <w:rPr>
          <w:rFonts w:ascii="Arial" w:hAnsi="Arial"/>
          <w:i/>
        </w:rPr>
        <w:t>report</w:t>
      </w:r>
      <w:r>
        <w:rPr>
          <w:rFonts w:ascii="Arial" w:hAnsi="Arial"/>
          <w:i/>
        </w:rPr>
        <w:t xml:space="preserve">, </w:t>
      </w:r>
      <w:r w:rsidR="004E4F81">
        <w:rPr>
          <w:rFonts w:ascii="Arial" w:hAnsi="Arial"/>
          <w:i/>
        </w:rPr>
        <w:t>t</w:t>
      </w:r>
      <w:r w:rsidR="00327E49">
        <w:rPr>
          <w:rFonts w:ascii="Arial" w:hAnsi="Arial"/>
          <w:i/>
        </w:rPr>
        <w:t xml:space="preserve">he Company, </w:t>
      </w:r>
      <w:r>
        <w:rPr>
          <w:rFonts w:ascii="Arial" w:hAnsi="Arial"/>
          <w:i/>
        </w:rPr>
        <w:t>as guarantor of the lease</w:t>
      </w:r>
      <w:r w:rsidR="00621E6A">
        <w:rPr>
          <w:rFonts w:ascii="Arial" w:hAnsi="Arial"/>
          <w:i/>
        </w:rPr>
        <w:t xml:space="preserve"> </w:t>
      </w:r>
      <w:r w:rsidR="00621E6A">
        <w:rPr>
          <w:rFonts w:ascii="Arial" w:hAnsi="Arial"/>
          <w:i/>
        </w:rPr>
        <w:t xml:space="preserve">285-295 </w:t>
      </w:r>
      <w:proofErr w:type="spellStart"/>
      <w:r w:rsidR="00621E6A">
        <w:rPr>
          <w:rFonts w:ascii="Arial" w:hAnsi="Arial"/>
          <w:i/>
        </w:rPr>
        <w:t>Kesmark</w:t>
      </w:r>
      <w:proofErr w:type="spellEnd"/>
      <w:r w:rsidR="00621E6A">
        <w:rPr>
          <w:rFonts w:ascii="Arial" w:hAnsi="Arial"/>
          <w:i/>
        </w:rPr>
        <w:t xml:space="preserve"> Street in Quebec, Canada</w:t>
      </w:r>
      <w:r>
        <w:rPr>
          <w:rFonts w:ascii="Arial" w:hAnsi="Arial"/>
          <w:i/>
        </w:rPr>
        <w:t>, was named</w:t>
      </w:r>
      <w:r w:rsidR="004E4F81">
        <w:rPr>
          <w:rFonts w:ascii="Arial" w:hAnsi="Arial"/>
          <w:i/>
        </w:rPr>
        <w:t xml:space="preserve"> together with the owner of Pivot</w:t>
      </w:r>
      <w:r w:rsidR="00621E6A">
        <w:rPr>
          <w:rFonts w:ascii="Arial" w:hAnsi="Arial"/>
          <w:i/>
        </w:rPr>
        <w:t xml:space="preserve"> Pharmaceuticals Manufacturing Corp (“Pivot”), a third party,</w:t>
      </w:r>
      <w:r>
        <w:rPr>
          <w:rFonts w:ascii="Arial" w:hAnsi="Arial"/>
          <w:i/>
        </w:rPr>
        <w:t xml:space="preserve"> in a judgment for payment of March 2021 lease amount.  This amount was paid by the owner of Pivo</w:t>
      </w:r>
      <w:r w:rsidR="00621E6A">
        <w:rPr>
          <w:rFonts w:ascii="Arial" w:hAnsi="Arial"/>
          <w:i/>
        </w:rPr>
        <w:t>t</w:t>
      </w:r>
      <w:r>
        <w:rPr>
          <w:rFonts w:ascii="Arial" w:hAnsi="Arial"/>
          <w:i/>
        </w:rPr>
        <w:t>.</w:t>
      </w:r>
      <w:r w:rsidR="00621E6A">
        <w:rPr>
          <w:rFonts w:ascii="Arial" w:hAnsi="Arial"/>
          <w:i/>
        </w:rPr>
        <w:t xml:space="preserve">  The following disclosure is added in the Company’s April 2021 report:  A safeguard order continues to be outstanding condemning Pivot and the Company to pay the full amount of lease on the first day of each month.  The Company has been indemnified, through the share purchase agreement for the sale of 100% of the issued and outstanding common shares of Pivot, from </w:t>
      </w:r>
      <w:proofErr w:type="gramStart"/>
      <w:r w:rsidR="00621E6A">
        <w:rPr>
          <w:rFonts w:ascii="Arial" w:hAnsi="Arial"/>
          <w:i/>
        </w:rPr>
        <w:t>any and all</w:t>
      </w:r>
      <w:proofErr w:type="gramEnd"/>
      <w:r w:rsidR="00621E6A">
        <w:rPr>
          <w:rFonts w:ascii="Arial" w:hAnsi="Arial"/>
          <w:i/>
        </w:rPr>
        <w:t xml:space="preserve"> claims suffered by it in connection with and as guarantor of the lease.</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0E75AB4" w:rsidR="0084310F" w:rsidRPr="0014406D" w:rsidRDefault="006C62F7" w:rsidP="0014406D">
      <w:pPr>
        <w:pStyle w:val="List"/>
        <w:spacing w:before="120"/>
        <w:ind w:left="720" w:firstLine="0"/>
        <w:jc w:val="both"/>
        <w:rPr>
          <w:rFonts w:ascii="Arial" w:hAnsi="Arial"/>
          <w:i/>
        </w:rPr>
      </w:pPr>
      <w:r>
        <w:rPr>
          <w:rFonts w:ascii="Arial" w:hAnsi="Arial"/>
          <w:i/>
        </w:rPr>
        <w:t>N/A.</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1EEF6A4" w14:textId="77777777" w:rsidR="00621E6A" w:rsidRPr="00621E6A" w:rsidRDefault="00621E6A" w:rsidP="00621E6A">
      <w:pPr>
        <w:pStyle w:val="List"/>
        <w:keepNext/>
        <w:keepLines/>
        <w:spacing w:before="120"/>
        <w:ind w:left="720" w:firstLine="0"/>
        <w:jc w:val="both"/>
        <w:rPr>
          <w:rFonts w:ascii="Arial" w:hAnsi="Arial"/>
        </w:rPr>
      </w:pPr>
      <w:r>
        <w:rPr>
          <w:rFonts w:ascii="Arial" w:hAnsi="Arial"/>
          <w:i/>
        </w:rPr>
        <w:lastRenderedPageBreak/>
        <w:t>Please see Item 1.</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1AE95553"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5683DC94" w:rsidR="00A23C08" w:rsidRPr="00D861FE" w:rsidRDefault="005F4DD8"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511DAB59" w14:textId="537527BD" w:rsidR="00A37A50" w:rsidRPr="004E4F81" w:rsidRDefault="004E4F81" w:rsidP="00C358BE">
      <w:pPr>
        <w:pStyle w:val="List"/>
        <w:keepNext/>
        <w:spacing w:before="120"/>
        <w:ind w:left="720" w:firstLine="0"/>
        <w:jc w:val="both"/>
        <w:rPr>
          <w:rFonts w:ascii="Arial" w:hAnsi="Arial" w:cs="Arial"/>
          <w:bCs/>
          <w:i/>
          <w:iCs/>
        </w:rPr>
      </w:pPr>
      <w:r w:rsidRPr="004E4F81">
        <w:rPr>
          <w:rFonts w:ascii="Arial" w:hAnsi="Arial" w:cs="Arial"/>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0E933E44"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A364F7">
        <w:rPr>
          <w:rFonts w:ascii="Arial" w:hAnsi="Arial"/>
        </w:rPr>
        <w:t>May 4</w:t>
      </w:r>
      <w:r w:rsidR="004E4F81">
        <w:rPr>
          <w:rFonts w:ascii="Arial" w:hAnsi="Arial"/>
        </w:rPr>
        <w:t>,</w:t>
      </w:r>
      <w:r w:rsidR="005F4DD8">
        <w:rPr>
          <w:rFonts w:ascii="Arial" w:hAnsi="Arial"/>
        </w:rPr>
        <w:t xml:space="preserve"> </w:t>
      </w:r>
      <w:r w:rsidR="00F21064">
        <w:rPr>
          <w:rFonts w:ascii="Arial" w:hAnsi="Arial"/>
        </w:rPr>
        <w:t>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324F322A" w:rsidR="007736E2" w:rsidRDefault="00A364F7">
            <w:pPr>
              <w:pStyle w:val="BodyText"/>
              <w:spacing w:before="0"/>
              <w:rPr>
                <w:rFonts w:ascii="Arial" w:hAnsi="Arial"/>
              </w:rPr>
            </w:pPr>
            <w:r>
              <w:rPr>
                <w:rFonts w:ascii="Arial" w:hAnsi="Arial"/>
              </w:rPr>
              <w:t>April</w:t>
            </w:r>
            <w:r w:rsidR="0093703B">
              <w:rPr>
                <w:rFonts w:ascii="Arial" w:hAnsi="Arial"/>
              </w:rPr>
              <w:t xml:space="preserve"> 2021</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38F0C8D8"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w:t>
            </w:r>
            <w:r w:rsidR="00A364F7">
              <w:rPr>
                <w:rFonts w:ascii="Arial" w:hAnsi="Arial"/>
              </w:rPr>
              <w:t>5</w:t>
            </w:r>
            <w:r w:rsidR="00842030">
              <w:rPr>
                <w:rFonts w:ascii="Arial" w:hAnsi="Arial"/>
              </w:rPr>
              <w:t>/</w:t>
            </w:r>
            <w:r w:rsidR="00A364F7">
              <w:rPr>
                <w:rFonts w:ascii="Arial" w:hAnsi="Arial"/>
              </w:rPr>
              <w:t>04</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39170" w14:textId="77777777" w:rsidR="00C46579" w:rsidRDefault="00C46579">
      <w:r>
        <w:separator/>
      </w:r>
    </w:p>
  </w:endnote>
  <w:endnote w:type="continuationSeparator" w:id="0">
    <w:p w14:paraId="639ADAAB" w14:textId="77777777" w:rsidR="00C46579" w:rsidRDefault="00C4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EC00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9963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3E5D0" w14:textId="77777777" w:rsidR="00C46579" w:rsidRDefault="00C46579">
      <w:r>
        <w:separator/>
      </w:r>
    </w:p>
  </w:footnote>
  <w:footnote w:type="continuationSeparator" w:id="0">
    <w:p w14:paraId="6DB52ABA" w14:textId="77777777" w:rsidR="00C46579" w:rsidRDefault="00C4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29"/>
  </w:num>
  <w:num w:numId="9">
    <w:abstractNumId w:val="23"/>
  </w:num>
  <w:num w:numId="10">
    <w:abstractNumId w:val="12"/>
  </w:num>
  <w:num w:numId="11">
    <w:abstractNumId w:val="16"/>
  </w:num>
  <w:num w:numId="12">
    <w:abstractNumId w:val="18"/>
  </w:num>
  <w:num w:numId="13">
    <w:abstractNumId w:val="31"/>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28"/>
  </w:num>
  <w:num w:numId="21">
    <w:abstractNumId w:val="1"/>
  </w:num>
  <w:num w:numId="22">
    <w:abstractNumId w:val="0"/>
  </w:num>
  <w:num w:numId="23">
    <w:abstractNumId w:val="26"/>
  </w:num>
  <w:num w:numId="24">
    <w:abstractNumId w:val="22"/>
  </w:num>
  <w:num w:numId="25">
    <w:abstractNumId w:val="6"/>
  </w:num>
  <w:num w:numId="26">
    <w:abstractNumId w:val="30"/>
  </w:num>
  <w:num w:numId="27">
    <w:abstractNumId w:val="32"/>
  </w:num>
  <w:num w:numId="28">
    <w:abstractNumId w:val="7"/>
  </w:num>
  <w:num w:numId="29">
    <w:abstractNumId w:val="13"/>
  </w:num>
  <w:num w:numId="30">
    <w:abstractNumId w:val="17"/>
  </w:num>
  <w:num w:numId="31">
    <w:abstractNumId w:val="5"/>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94955"/>
    <w:rsid w:val="000A1679"/>
    <w:rsid w:val="000A1AB1"/>
    <w:rsid w:val="000B1BCE"/>
    <w:rsid w:val="000B2461"/>
    <w:rsid w:val="000B5711"/>
    <w:rsid w:val="000C008E"/>
    <w:rsid w:val="000C1488"/>
    <w:rsid w:val="000C228A"/>
    <w:rsid w:val="000C2C22"/>
    <w:rsid w:val="000C4603"/>
    <w:rsid w:val="000E548E"/>
    <w:rsid w:val="000F7CC4"/>
    <w:rsid w:val="001224F6"/>
    <w:rsid w:val="00126180"/>
    <w:rsid w:val="0014081F"/>
    <w:rsid w:val="0014406D"/>
    <w:rsid w:val="00152273"/>
    <w:rsid w:val="00165CB6"/>
    <w:rsid w:val="001740BD"/>
    <w:rsid w:val="00185EC3"/>
    <w:rsid w:val="00196ACD"/>
    <w:rsid w:val="001A5AA6"/>
    <w:rsid w:val="001B28AF"/>
    <w:rsid w:val="001B67EA"/>
    <w:rsid w:val="001C2D52"/>
    <w:rsid w:val="001D0265"/>
    <w:rsid w:val="001D23CE"/>
    <w:rsid w:val="001D6115"/>
    <w:rsid w:val="001E25F7"/>
    <w:rsid w:val="001F49A4"/>
    <w:rsid w:val="00220054"/>
    <w:rsid w:val="00223C6F"/>
    <w:rsid w:val="002377E3"/>
    <w:rsid w:val="00244B2C"/>
    <w:rsid w:val="00245BA2"/>
    <w:rsid w:val="00253AD3"/>
    <w:rsid w:val="0025435B"/>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7E49"/>
    <w:rsid w:val="00347220"/>
    <w:rsid w:val="00347A87"/>
    <w:rsid w:val="003669A9"/>
    <w:rsid w:val="00371A64"/>
    <w:rsid w:val="00375D16"/>
    <w:rsid w:val="00387FA8"/>
    <w:rsid w:val="003B7A52"/>
    <w:rsid w:val="003C02A4"/>
    <w:rsid w:val="003C15A9"/>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74991"/>
    <w:rsid w:val="004822FC"/>
    <w:rsid w:val="004A0A0F"/>
    <w:rsid w:val="004A1C7B"/>
    <w:rsid w:val="004A2915"/>
    <w:rsid w:val="004A3B17"/>
    <w:rsid w:val="004A59B5"/>
    <w:rsid w:val="004B3D99"/>
    <w:rsid w:val="004C07A1"/>
    <w:rsid w:val="004E4F81"/>
    <w:rsid w:val="004E5AD5"/>
    <w:rsid w:val="004E5AFC"/>
    <w:rsid w:val="004F119A"/>
    <w:rsid w:val="004F66AB"/>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DB7"/>
    <w:rsid w:val="005C7EC2"/>
    <w:rsid w:val="005D11CD"/>
    <w:rsid w:val="005E15E0"/>
    <w:rsid w:val="005E7FD4"/>
    <w:rsid w:val="005F4DD8"/>
    <w:rsid w:val="005F6D8F"/>
    <w:rsid w:val="0061199A"/>
    <w:rsid w:val="006124C1"/>
    <w:rsid w:val="00620E7F"/>
    <w:rsid w:val="00621E6A"/>
    <w:rsid w:val="006222DD"/>
    <w:rsid w:val="00633ED3"/>
    <w:rsid w:val="00635E9A"/>
    <w:rsid w:val="00640E94"/>
    <w:rsid w:val="00645202"/>
    <w:rsid w:val="00650B94"/>
    <w:rsid w:val="006729E5"/>
    <w:rsid w:val="00692C83"/>
    <w:rsid w:val="0069326C"/>
    <w:rsid w:val="00694CC7"/>
    <w:rsid w:val="006A0B2A"/>
    <w:rsid w:val="006B36FB"/>
    <w:rsid w:val="006B458A"/>
    <w:rsid w:val="006C1E0C"/>
    <w:rsid w:val="006C62F7"/>
    <w:rsid w:val="006C7370"/>
    <w:rsid w:val="006C7657"/>
    <w:rsid w:val="006D1A06"/>
    <w:rsid w:val="006D4439"/>
    <w:rsid w:val="006E08F1"/>
    <w:rsid w:val="006E3ACF"/>
    <w:rsid w:val="006F67D3"/>
    <w:rsid w:val="00724D53"/>
    <w:rsid w:val="0072797B"/>
    <w:rsid w:val="00732D30"/>
    <w:rsid w:val="00732E24"/>
    <w:rsid w:val="007345E3"/>
    <w:rsid w:val="0075799B"/>
    <w:rsid w:val="007613A6"/>
    <w:rsid w:val="00763A9D"/>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E3B35"/>
    <w:rsid w:val="008F0D4D"/>
    <w:rsid w:val="008F19CC"/>
    <w:rsid w:val="008F30A1"/>
    <w:rsid w:val="00900A38"/>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D16F2"/>
    <w:rsid w:val="009D6A8C"/>
    <w:rsid w:val="009E14BB"/>
    <w:rsid w:val="009E16F8"/>
    <w:rsid w:val="009E6418"/>
    <w:rsid w:val="00A017A6"/>
    <w:rsid w:val="00A0532E"/>
    <w:rsid w:val="00A2251A"/>
    <w:rsid w:val="00A23C08"/>
    <w:rsid w:val="00A241EF"/>
    <w:rsid w:val="00A33D53"/>
    <w:rsid w:val="00A364F7"/>
    <w:rsid w:val="00A37A50"/>
    <w:rsid w:val="00A37FA3"/>
    <w:rsid w:val="00A47914"/>
    <w:rsid w:val="00A66377"/>
    <w:rsid w:val="00A670A4"/>
    <w:rsid w:val="00A6779D"/>
    <w:rsid w:val="00A6786C"/>
    <w:rsid w:val="00A67EA2"/>
    <w:rsid w:val="00A73C0A"/>
    <w:rsid w:val="00A76CAF"/>
    <w:rsid w:val="00A81B8A"/>
    <w:rsid w:val="00A843AF"/>
    <w:rsid w:val="00A85270"/>
    <w:rsid w:val="00A87D08"/>
    <w:rsid w:val="00A94A83"/>
    <w:rsid w:val="00A96F89"/>
    <w:rsid w:val="00AA175B"/>
    <w:rsid w:val="00AB142B"/>
    <w:rsid w:val="00AC7F78"/>
    <w:rsid w:val="00AE2CC4"/>
    <w:rsid w:val="00AE46DB"/>
    <w:rsid w:val="00AE6EAA"/>
    <w:rsid w:val="00AF10EF"/>
    <w:rsid w:val="00B00844"/>
    <w:rsid w:val="00B17AEE"/>
    <w:rsid w:val="00B234CB"/>
    <w:rsid w:val="00B24671"/>
    <w:rsid w:val="00B249ED"/>
    <w:rsid w:val="00B30351"/>
    <w:rsid w:val="00B3075C"/>
    <w:rsid w:val="00B45744"/>
    <w:rsid w:val="00B61330"/>
    <w:rsid w:val="00B6661A"/>
    <w:rsid w:val="00B77573"/>
    <w:rsid w:val="00B85C1C"/>
    <w:rsid w:val="00B926A7"/>
    <w:rsid w:val="00B97A23"/>
    <w:rsid w:val="00BA6077"/>
    <w:rsid w:val="00BB29A2"/>
    <w:rsid w:val="00BB7B06"/>
    <w:rsid w:val="00BC20AB"/>
    <w:rsid w:val="00BC51E5"/>
    <w:rsid w:val="00BD671E"/>
    <w:rsid w:val="00BE06CE"/>
    <w:rsid w:val="00BF1A4D"/>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2B18"/>
    <w:rsid w:val="00E24293"/>
    <w:rsid w:val="00E24ABB"/>
    <w:rsid w:val="00E27E4F"/>
    <w:rsid w:val="00E351EE"/>
    <w:rsid w:val="00E36141"/>
    <w:rsid w:val="00E3730E"/>
    <w:rsid w:val="00E43BC0"/>
    <w:rsid w:val="00E60542"/>
    <w:rsid w:val="00E61B41"/>
    <w:rsid w:val="00E63ACF"/>
    <w:rsid w:val="00E63CFA"/>
    <w:rsid w:val="00E67F38"/>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6154</TotalTime>
  <Pages>5</Pages>
  <Words>1332</Words>
  <Characters>7730</Characters>
  <Application>Microsoft Office Word</Application>
  <DocSecurity>0</DocSecurity>
  <Lines>429</Lines>
  <Paragraphs>348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146</cp:revision>
  <cp:lastPrinted>2004-05-10T18:28:00Z</cp:lastPrinted>
  <dcterms:created xsi:type="dcterms:W3CDTF">2018-02-01T18:59:00Z</dcterms:created>
  <dcterms:modified xsi:type="dcterms:W3CDTF">2021-05-04T20:26:00Z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