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8847" w14:textId="00221C3F" w:rsidR="00447702" w:rsidRDefault="00447702" w:rsidP="00206B03">
      <w:pPr>
        <w:rPr>
          <w:b/>
          <w:bCs/>
          <w:sz w:val="22"/>
          <w:szCs w:val="22"/>
        </w:rPr>
      </w:pPr>
      <w:r w:rsidRPr="00206B03">
        <w:rPr>
          <w:noProof/>
          <w:sz w:val="22"/>
          <w:szCs w:val="22"/>
        </w:rPr>
        <w:drawing>
          <wp:inline distT="0" distB="0" distL="0" distR="0" wp14:anchorId="4E967017" wp14:editId="5581D7EE">
            <wp:extent cx="2332452" cy="638175"/>
            <wp:effectExtent l="0" t="0" r="0" b="0"/>
            <wp:docPr id="3" name="Picture 3" descr="Primary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8406" cy="639804"/>
                    </a:xfrm>
                    <a:prstGeom prst="rect">
                      <a:avLst/>
                    </a:prstGeom>
                    <a:noFill/>
                    <a:ln>
                      <a:noFill/>
                    </a:ln>
                  </pic:spPr>
                </pic:pic>
              </a:graphicData>
            </a:graphic>
          </wp:inline>
        </w:drawing>
      </w:r>
    </w:p>
    <w:p w14:paraId="7E317611" w14:textId="77777777" w:rsidR="00447702" w:rsidRDefault="00447702" w:rsidP="00206B03">
      <w:pPr>
        <w:rPr>
          <w:b/>
          <w:bCs/>
          <w:sz w:val="22"/>
          <w:szCs w:val="22"/>
        </w:rPr>
      </w:pPr>
    </w:p>
    <w:p w14:paraId="4A74D6A2" w14:textId="5B677D2A" w:rsidR="00206B03" w:rsidRPr="00447702" w:rsidRDefault="00B9552C" w:rsidP="00447702">
      <w:pPr>
        <w:jc w:val="center"/>
        <w:rPr>
          <w:color w:val="2F5496" w:themeColor="accent1" w:themeShade="BF"/>
          <w:sz w:val="36"/>
          <w:szCs w:val="36"/>
        </w:rPr>
      </w:pPr>
      <w:r w:rsidRPr="00447702">
        <w:rPr>
          <w:color w:val="2F5496" w:themeColor="accent1" w:themeShade="BF"/>
          <w:sz w:val="36"/>
          <w:szCs w:val="36"/>
        </w:rPr>
        <w:t xml:space="preserve">Former FDA Psychiatry Division Director </w:t>
      </w:r>
      <w:r w:rsidR="00206B03" w:rsidRPr="00447702">
        <w:rPr>
          <w:color w:val="2F5496" w:themeColor="accent1" w:themeShade="BF"/>
          <w:sz w:val="36"/>
          <w:szCs w:val="36"/>
        </w:rPr>
        <w:t xml:space="preserve">Dr. </w:t>
      </w:r>
      <w:r w:rsidRPr="00447702">
        <w:rPr>
          <w:color w:val="2F5496" w:themeColor="accent1" w:themeShade="BF"/>
          <w:sz w:val="36"/>
          <w:szCs w:val="36"/>
        </w:rPr>
        <w:t>Thomas Laughren</w:t>
      </w:r>
      <w:r w:rsidR="00206B03" w:rsidRPr="00447702">
        <w:rPr>
          <w:color w:val="2F5496" w:themeColor="accent1" w:themeShade="BF"/>
          <w:sz w:val="36"/>
          <w:szCs w:val="36"/>
        </w:rPr>
        <w:t xml:space="preserve"> </w:t>
      </w:r>
      <w:r w:rsidR="00F84154">
        <w:rPr>
          <w:color w:val="2F5496" w:themeColor="accent1" w:themeShade="BF"/>
          <w:sz w:val="36"/>
          <w:szCs w:val="36"/>
        </w:rPr>
        <w:t xml:space="preserve">Joins BetterLife </w:t>
      </w:r>
      <w:r w:rsidR="00206B03" w:rsidRPr="00447702">
        <w:rPr>
          <w:color w:val="2F5496" w:themeColor="accent1" w:themeShade="BF"/>
          <w:sz w:val="36"/>
          <w:szCs w:val="36"/>
        </w:rPr>
        <w:t xml:space="preserve">as </w:t>
      </w:r>
      <w:r w:rsidRPr="00447702">
        <w:rPr>
          <w:color w:val="2F5496" w:themeColor="accent1" w:themeShade="BF"/>
          <w:sz w:val="36"/>
          <w:szCs w:val="36"/>
        </w:rPr>
        <w:t>Regulatory</w:t>
      </w:r>
      <w:r w:rsidR="00206B03" w:rsidRPr="00447702">
        <w:rPr>
          <w:color w:val="2F5496" w:themeColor="accent1" w:themeShade="BF"/>
          <w:sz w:val="36"/>
          <w:szCs w:val="36"/>
        </w:rPr>
        <w:t xml:space="preserve"> Advisor</w:t>
      </w:r>
    </w:p>
    <w:p w14:paraId="4CC77BA9" w14:textId="77777777" w:rsidR="00B9552C" w:rsidRDefault="00B9552C" w:rsidP="00206B03">
      <w:pPr>
        <w:rPr>
          <w:sz w:val="22"/>
          <w:szCs w:val="22"/>
        </w:rPr>
      </w:pPr>
    </w:p>
    <w:p w14:paraId="5EFDDCDD" w14:textId="137A415B" w:rsidR="00206B03" w:rsidRPr="00206B03" w:rsidRDefault="00206B03" w:rsidP="00447702">
      <w:pPr>
        <w:jc w:val="both"/>
        <w:rPr>
          <w:sz w:val="22"/>
          <w:szCs w:val="22"/>
        </w:rPr>
      </w:pPr>
      <w:r w:rsidRPr="00206B03">
        <w:rPr>
          <w:sz w:val="22"/>
          <w:szCs w:val="22"/>
        </w:rPr>
        <w:t>V</w:t>
      </w:r>
      <w:r w:rsidR="00447702">
        <w:rPr>
          <w:sz w:val="22"/>
          <w:szCs w:val="22"/>
        </w:rPr>
        <w:t>ANCOUVER</w:t>
      </w:r>
      <w:r w:rsidRPr="00206B03">
        <w:rPr>
          <w:sz w:val="22"/>
          <w:szCs w:val="22"/>
        </w:rPr>
        <w:t>,</w:t>
      </w:r>
      <w:r w:rsidR="00447702">
        <w:rPr>
          <w:sz w:val="22"/>
          <w:szCs w:val="22"/>
        </w:rPr>
        <w:t xml:space="preserve"> British Columbia,</w:t>
      </w:r>
      <w:r w:rsidRPr="00206B03">
        <w:rPr>
          <w:sz w:val="22"/>
          <w:szCs w:val="22"/>
        </w:rPr>
        <w:t xml:space="preserve"> </w:t>
      </w:r>
      <w:r w:rsidR="00B9552C">
        <w:rPr>
          <w:sz w:val="22"/>
          <w:szCs w:val="22"/>
        </w:rPr>
        <w:t>April</w:t>
      </w:r>
      <w:r w:rsidRPr="00206B03">
        <w:rPr>
          <w:sz w:val="22"/>
          <w:szCs w:val="22"/>
        </w:rPr>
        <w:t xml:space="preserve"> </w:t>
      </w:r>
      <w:r w:rsidR="005E799E">
        <w:rPr>
          <w:sz w:val="22"/>
          <w:szCs w:val="22"/>
        </w:rPr>
        <w:t>8</w:t>
      </w:r>
      <w:r w:rsidRPr="00206B03">
        <w:rPr>
          <w:sz w:val="22"/>
          <w:szCs w:val="22"/>
        </w:rPr>
        <w:t>, 202</w:t>
      </w:r>
      <w:r w:rsidR="00B9552C">
        <w:rPr>
          <w:sz w:val="22"/>
          <w:szCs w:val="22"/>
        </w:rPr>
        <w:t>1</w:t>
      </w:r>
      <w:r w:rsidR="00447702">
        <w:rPr>
          <w:sz w:val="22"/>
          <w:szCs w:val="22"/>
        </w:rPr>
        <w:t xml:space="preserve"> - </w:t>
      </w:r>
      <w:r w:rsidRPr="00206B03">
        <w:rPr>
          <w:sz w:val="22"/>
          <w:szCs w:val="22"/>
        </w:rPr>
        <w:t xml:space="preserve">BetterLife Pharma Inc. (“BetterLife” or the “Company”) </w:t>
      </w:r>
      <w:r w:rsidR="00447702" w:rsidRPr="00040CB4">
        <w:rPr>
          <w:rFonts w:cstheme="minorHAnsi"/>
          <w:sz w:val="22"/>
          <w:szCs w:val="22"/>
        </w:rPr>
        <w:t xml:space="preserve">(CSE: </w:t>
      </w:r>
      <w:hyperlink r:id="rId6" w:history="1">
        <w:r w:rsidR="00447702" w:rsidRPr="00040CB4">
          <w:rPr>
            <w:rStyle w:val="Hyperlink"/>
            <w:rFonts w:cstheme="minorHAnsi"/>
            <w:sz w:val="22"/>
            <w:szCs w:val="22"/>
          </w:rPr>
          <w:t>BETR</w:t>
        </w:r>
      </w:hyperlink>
      <w:r w:rsidR="00447702" w:rsidRPr="00040CB4">
        <w:rPr>
          <w:rFonts w:cstheme="minorHAnsi"/>
          <w:sz w:val="22"/>
          <w:szCs w:val="22"/>
        </w:rPr>
        <w:t xml:space="preserve"> </w:t>
      </w:r>
      <w:r w:rsidR="00447702">
        <w:rPr>
          <w:rFonts w:cstheme="minorHAnsi"/>
          <w:sz w:val="22"/>
          <w:szCs w:val="22"/>
        </w:rPr>
        <w:t>/</w:t>
      </w:r>
      <w:r w:rsidR="00447702" w:rsidRPr="00040CB4">
        <w:rPr>
          <w:rFonts w:cstheme="minorHAnsi"/>
          <w:sz w:val="22"/>
          <w:szCs w:val="22"/>
        </w:rPr>
        <w:t> OTCQB</w:t>
      </w:r>
      <w:r w:rsidR="00447702">
        <w:rPr>
          <w:rFonts w:cstheme="minorHAnsi"/>
          <w:sz w:val="22"/>
          <w:szCs w:val="22"/>
        </w:rPr>
        <w:t xml:space="preserve"> </w:t>
      </w:r>
      <w:r w:rsidR="00447702" w:rsidRPr="00040CB4">
        <w:rPr>
          <w:rFonts w:cstheme="minorHAnsi"/>
          <w:sz w:val="22"/>
          <w:szCs w:val="22"/>
        </w:rPr>
        <w:t xml:space="preserve">: </w:t>
      </w:r>
      <w:hyperlink r:id="rId7" w:history="1">
        <w:r w:rsidR="00447702" w:rsidRPr="00040CB4">
          <w:rPr>
            <w:rStyle w:val="Hyperlink"/>
            <w:rFonts w:cstheme="minorHAnsi"/>
            <w:sz w:val="22"/>
            <w:szCs w:val="22"/>
          </w:rPr>
          <w:t>BETRF</w:t>
        </w:r>
      </w:hyperlink>
      <w:r w:rsidR="00447702" w:rsidRPr="00040CB4">
        <w:rPr>
          <w:rFonts w:cstheme="minorHAnsi"/>
          <w:sz w:val="22"/>
          <w:szCs w:val="22"/>
        </w:rPr>
        <w:t xml:space="preserve"> / FRA: </w:t>
      </w:r>
      <w:hyperlink r:id="rId8" w:history="1">
        <w:r w:rsidR="00447702" w:rsidRPr="00040CB4">
          <w:rPr>
            <w:rStyle w:val="Hyperlink"/>
            <w:rFonts w:cstheme="minorHAnsi"/>
            <w:sz w:val="22"/>
            <w:szCs w:val="22"/>
          </w:rPr>
          <w:t>NPAU</w:t>
        </w:r>
      </w:hyperlink>
      <w:r w:rsidR="00447702" w:rsidRPr="00040CB4">
        <w:rPr>
          <w:rFonts w:cstheme="minorHAnsi"/>
          <w:sz w:val="22"/>
          <w:szCs w:val="22"/>
        </w:rPr>
        <w:t>)</w:t>
      </w:r>
      <w:r w:rsidRPr="00206B03">
        <w:rPr>
          <w:sz w:val="22"/>
          <w:szCs w:val="22"/>
        </w:rPr>
        <w:t>, an emerging biotechnology company</w:t>
      </w:r>
      <w:r w:rsidR="00B9552C">
        <w:rPr>
          <w:sz w:val="22"/>
          <w:szCs w:val="22"/>
        </w:rPr>
        <w:t xml:space="preserve"> developing second generation psychedelics for neuro-psychiatric disorders</w:t>
      </w:r>
      <w:r w:rsidRPr="00206B03">
        <w:rPr>
          <w:sz w:val="22"/>
          <w:szCs w:val="22"/>
        </w:rPr>
        <w:t>, today announced that Dr. </w:t>
      </w:r>
      <w:r w:rsidR="00B9552C">
        <w:rPr>
          <w:sz w:val="22"/>
          <w:szCs w:val="22"/>
        </w:rPr>
        <w:t>Thomas Laughren</w:t>
      </w:r>
      <w:r w:rsidRPr="00206B03">
        <w:rPr>
          <w:sz w:val="22"/>
          <w:szCs w:val="22"/>
        </w:rPr>
        <w:t xml:space="preserve"> will </w:t>
      </w:r>
      <w:r w:rsidR="00B9552C">
        <w:rPr>
          <w:sz w:val="22"/>
          <w:szCs w:val="22"/>
        </w:rPr>
        <w:t>join BetterLife as a Regulatory Advisor</w:t>
      </w:r>
      <w:r w:rsidRPr="00206B03">
        <w:rPr>
          <w:sz w:val="22"/>
          <w:szCs w:val="22"/>
        </w:rPr>
        <w:t>.</w:t>
      </w:r>
      <w:r w:rsidR="00B9552C">
        <w:rPr>
          <w:sz w:val="22"/>
          <w:szCs w:val="22"/>
        </w:rPr>
        <w:t xml:space="preserve"> </w:t>
      </w:r>
      <w:r w:rsidRPr="00206B03">
        <w:rPr>
          <w:sz w:val="22"/>
          <w:szCs w:val="22"/>
        </w:rPr>
        <w:t xml:space="preserve">Dr. </w:t>
      </w:r>
      <w:r w:rsidR="00B9552C">
        <w:rPr>
          <w:sz w:val="22"/>
          <w:szCs w:val="22"/>
        </w:rPr>
        <w:t xml:space="preserve">Laughren was formerly </w:t>
      </w:r>
      <w:r w:rsidR="00B9552C" w:rsidRPr="00B9552C">
        <w:rPr>
          <w:sz w:val="22"/>
          <w:szCs w:val="22"/>
        </w:rPr>
        <w:t xml:space="preserve">Director for the Division of Psychiatry Products, Center for Drug Evaluation and Research at </w:t>
      </w:r>
      <w:r w:rsidR="00A5373D">
        <w:rPr>
          <w:sz w:val="22"/>
          <w:szCs w:val="22"/>
        </w:rPr>
        <w:t xml:space="preserve">the </w:t>
      </w:r>
      <w:r w:rsidR="00B9552C" w:rsidRPr="00B9552C">
        <w:rPr>
          <w:sz w:val="22"/>
          <w:szCs w:val="22"/>
        </w:rPr>
        <w:t xml:space="preserve">FDA.  Prior to </w:t>
      </w:r>
      <w:r w:rsidR="00447702">
        <w:rPr>
          <w:sz w:val="22"/>
          <w:szCs w:val="22"/>
        </w:rPr>
        <w:t>joining</w:t>
      </w:r>
      <w:r w:rsidR="00B9552C" w:rsidRPr="00B9552C">
        <w:rPr>
          <w:sz w:val="22"/>
          <w:szCs w:val="22"/>
        </w:rPr>
        <w:t xml:space="preserve"> </w:t>
      </w:r>
      <w:r w:rsidR="00A5373D">
        <w:rPr>
          <w:sz w:val="22"/>
          <w:szCs w:val="22"/>
        </w:rPr>
        <w:t xml:space="preserve">the </w:t>
      </w:r>
      <w:r w:rsidR="00B9552C" w:rsidRPr="00B9552C">
        <w:rPr>
          <w:sz w:val="22"/>
          <w:szCs w:val="22"/>
        </w:rPr>
        <w:t>FDA in September 1983, Dr. Laughren was affiliated with the VA Medical Center in Providence, RI, and was on the faculty of the Brown University Program in Medicine.</w:t>
      </w:r>
    </w:p>
    <w:p w14:paraId="32BBD8B5" w14:textId="77777777" w:rsidR="00B9552C" w:rsidRDefault="00B9552C" w:rsidP="00447702">
      <w:pPr>
        <w:jc w:val="both"/>
        <w:rPr>
          <w:sz w:val="22"/>
          <w:szCs w:val="22"/>
        </w:rPr>
      </w:pPr>
    </w:p>
    <w:p w14:paraId="6AB3FDA7" w14:textId="20EE7829" w:rsidR="00B9552C" w:rsidRDefault="00206B03" w:rsidP="00447702">
      <w:pPr>
        <w:jc w:val="both"/>
        <w:rPr>
          <w:sz w:val="22"/>
          <w:szCs w:val="22"/>
        </w:rPr>
      </w:pPr>
      <w:r w:rsidRPr="00206B03">
        <w:rPr>
          <w:sz w:val="22"/>
          <w:szCs w:val="22"/>
        </w:rPr>
        <w:t xml:space="preserve">Dr. Ahmad Doroudian, CEO of BetterLife, said "We are </w:t>
      </w:r>
      <w:r w:rsidR="00B9552C">
        <w:rPr>
          <w:sz w:val="22"/>
          <w:szCs w:val="22"/>
        </w:rPr>
        <w:t>thrilled</w:t>
      </w:r>
      <w:r w:rsidRPr="00206B03">
        <w:rPr>
          <w:sz w:val="22"/>
          <w:szCs w:val="22"/>
        </w:rPr>
        <w:t xml:space="preserve"> to have Dr. </w:t>
      </w:r>
      <w:r w:rsidR="00B9552C">
        <w:rPr>
          <w:sz w:val="22"/>
          <w:szCs w:val="22"/>
        </w:rPr>
        <w:t xml:space="preserve">Laughren </w:t>
      </w:r>
      <w:r w:rsidR="00A5373D">
        <w:rPr>
          <w:sz w:val="22"/>
          <w:szCs w:val="22"/>
        </w:rPr>
        <w:t xml:space="preserve">join </w:t>
      </w:r>
      <w:r w:rsidR="00F84154">
        <w:rPr>
          <w:sz w:val="22"/>
          <w:szCs w:val="22"/>
        </w:rPr>
        <w:t>the Company</w:t>
      </w:r>
      <w:r w:rsidR="00A5373D">
        <w:rPr>
          <w:sz w:val="22"/>
          <w:szCs w:val="22"/>
        </w:rPr>
        <w:t xml:space="preserve"> </w:t>
      </w:r>
      <w:r w:rsidR="00B9552C">
        <w:rPr>
          <w:sz w:val="22"/>
          <w:szCs w:val="22"/>
        </w:rPr>
        <w:t>as Regulatory Advisor. He brings in</w:t>
      </w:r>
      <w:r w:rsidRPr="00206B03">
        <w:rPr>
          <w:sz w:val="22"/>
          <w:szCs w:val="22"/>
        </w:rPr>
        <w:t xml:space="preserve">valuable </w:t>
      </w:r>
      <w:r w:rsidR="007767FD">
        <w:rPr>
          <w:sz w:val="22"/>
          <w:szCs w:val="22"/>
        </w:rPr>
        <w:t xml:space="preserve">psychiatric drug </w:t>
      </w:r>
      <w:r w:rsidR="00B9552C">
        <w:rPr>
          <w:sz w:val="22"/>
          <w:szCs w:val="22"/>
        </w:rPr>
        <w:t>regulatory</w:t>
      </w:r>
      <w:r w:rsidRPr="00206B03">
        <w:rPr>
          <w:sz w:val="22"/>
          <w:szCs w:val="22"/>
        </w:rPr>
        <w:t xml:space="preserve"> </w:t>
      </w:r>
      <w:r w:rsidR="007767FD">
        <w:rPr>
          <w:sz w:val="22"/>
          <w:szCs w:val="22"/>
        </w:rPr>
        <w:t>and development experience for our pipeline</w:t>
      </w:r>
      <w:r w:rsidR="00F84154">
        <w:rPr>
          <w:sz w:val="22"/>
          <w:szCs w:val="22"/>
        </w:rPr>
        <w:t xml:space="preserve"> as we </w:t>
      </w:r>
      <w:r w:rsidR="00AD586C">
        <w:rPr>
          <w:sz w:val="22"/>
          <w:szCs w:val="22"/>
        </w:rPr>
        <w:t xml:space="preserve">ramp up our </w:t>
      </w:r>
      <w:r w:rsidR="007767FD">
        <w:rPr>
          <w:sz w:val="22"/>
          <w:szCs w:val="22"/>
        </w:rPr>
        <w:t>IND-enabling activities.”</w:t>
      </w:r>
    </w:p>
    <w:p w14:paraId="1B0F7C1A" w14:textId="1BF3FB72" w:rsidR="007767FD" w:rsidRDefault="007767FD" w:rsidP="00447702">
      <w:pPr>
        <w:jc w:val="both"/>
        <w:rPr>
          <w:sz w:val="22"/>
          <w:szCs w:val="22"/>
        </w:rPr>
      </w:pPr>
    </w:p>
    <w:p w14:paraId="3D21A2DD" w14:textId="778491DC" w:rsidR="007767FD" w:rsidRPr="00B9552C" w:rsidRDefault="007767FD" w:rsidP="00447702">
      <w:pPr>
        <w:jc w:val="both"/>
        <w:rPr>
          <w:sz w:val="22"/>
          <w:szCs w:val="22"/>
        </w:rPr>
      </w:pPr>
      <w:r w:rsidRPr="00B9552C">
        <w:rPr>
          <w:sz w:val="22"/>
          <w:szCs w:val="22"/>
        </w:rPr>
        <w:t xml:space="preserve">As Director for the Division of Psychiatry Products, Dr. Laughren oversaw the review of all psychiatric drug development activities conducted under INDs and the review of all NDAs and supplements for new psychiatric drug claims. He has authored and co-authored many papers and book chapters on regulatory and methodological issues pertaining to the development of psychiatric drugs, and is a frequent speaker at professional meetings on these same topics. Dr. Laughren has received numerous awards for his regulatory accomplishments. </w:t>
      </w:r>
    </w:p>
    <w:p w14:paraId="58D322F4" w14:textId="77777777" w:rsidR="00B9552C" w:rsidRDefault="00B9552C" w:rsidP="00447702">
      <w:pPr>
        <w:jc w:val="both"/>
        <w:rPr>
          <w:b/>
          <w:bCs/>
          <w:sz w:val="22"/>
          <w:szCs w:val="22"/>
        </w:rPr>
      </w:pPr>
    </w:p>
    <w:p w14:paraId="3F364ED3" w14:textId="77777777" w:rsidR="00447702" w:rsidRDefault="00447702" w:rsidP="00447702">
      <w:pPr>
        <w:jc w:val="both"/>
        <w:rPr>
          <w:b/>
          <w:bCs/>
          <w:sz w:val="22"/>
          <w:szCs w:val="22"/>
        </w:rPr>
      </w:pPr>
    </w:p>
    <w:p w14:paraId="4CEA2439" w14:textId="4BF63404" w:rsidR="00206B03" w:rsidRDefault="00206B03" w:rsidP="00447702">
      <w:pPr>
        <w:jc w:val="both"/>
        <w:rPr>
          <w:b/>
          <w:bCs/>
          <w:sz w:val="22"/>
          <w:szCs w:val="22"/>
        </w:rPr>
      </w:pPr>
      <w:r w:rsidRPr="00206B03">
        <w:rPr>
          <w:b/>
          <w:bCs/>
          <w:sz w:val="22"/>
          <w:szCs w:val="22"/>
        </w:rPr>
        <w:t>About BetterLife Pharma Inc.</w:t>
      </w:r>
    </w:p>
    <w:p w14:paraId="46492624" w14:textId="77777777" w:rsidR="00447702" w:rsidRPr="00206B03" w:rsidRDefault="00447702" w:rsidP="00447702">
      <w:pPr>
        <w:jc w:val="both"/>
        <w:rPr>
          <w:sz w:val="22"/>
          <w:szCs w:val="22"/>
        </w:rPr>
      </w:pPr>
    </w:p>
    <w:p w14:paraId="6B6C847E" w14:textId="77777777" w:rsidR="00447702" w:rsidRPr="00447702" w:rsidRDefault="00447702" w:rsidP="00447702">
      <w:pPr>
        <w:shd w:val="clear" w:color="auto" w:fill="FFFFFF"/>
        <w:jc w:val="both"/>
        <w:rPr>
          <w:rFonts w:eastAsia="Times New Roman" w:cstheme="minorHAnsi"/>
          <w:color w:val="1D2228"/>
          <w:sz w:val="22"/>
          <w:szCs w:val="22"/>
          <w:lang w:eastAsia="en-GB"/>
        </w:rPr>
      </w:pPr>
      <w:r w:rsidRPr="00447702">
        <w:rPr>
          <w:rFonts w:eastAsia="Times New Roman" w:cstheme="minorHAnsi"/>
          <w:color w:val="1D2228"/>
          <w:sz w:val="22"/>
          <w:szCs w:val="22"/>
          <w:lang w:eastAsia="en-GB"/>
        </w:rPr>
        <w:t xml:space="preserve">BetterLife Pharma Inc. is an emerging biotechnology company engaged in the development and commercialization of next generation psychedelic products for the treatment of mental disorders. Utilizing drug delivery platform technologies, BetterLife is also refining and developing drug candidates from a broad set of complementary interferon-based technologies which have the potential to engage the immune system to fight virus infections, such as the coronavirus disease (COVID-19) and human papillomavirus. </w:t>
      </w:r>
    </w:p>
    <w:p w14:paraId="3D23B4B5" w14:textId="77777777" w:rsidR="00447702" w:rsidRPr="00447702" w:rsidRDefault="00447702" w:rsidP="00447702">
      <w:pPr>
        <w:shd w:val="clear" w:color="auto" w:fill="FFFFFF"/>
        <w:jc w:val="both"/>
        <w:rPr>
          <w:rFonts w:eastAsia="Times New Roman" w:cstheme="minorHAnsi"/>
          <w:color w:val="1D2228"/>
          <w:sz w:val="22"/>
          <w:szCs w:val="22"/>
          <w:lang w:eastAsia="en-GB"/>
        </w:rPr>
      </w:pPr>
    </w:p>
    <w:p w14:paraId="1DD862FD" w14:textId="77777777" w:rsidR="00447702" w:rsidRPr="00447702" w:rsidRDefault="00447702" w:rsidP="00447702">
      <w:pPr>
        <w:shd w:val="clear" w:color="auto" w:fill="FFFFFF"/>
        <w:jc w:val="both"/>
        <w:rPr>
          <w:rFonts w:eastAsia="Times New Roman" w:cstheme="minorHAnsi"/>
          <w:color w:val="1D2228"/>
          <w:sz w:val="22"/>
          <w:szCs w:val="22"/>
          <w:lang w:eastAsia="en-GB"/>
        </w:rPr>
      </w:pPr>
      <w:bookmarkStart w:id="0" w:name="_Hlk61966932"/>
      <w:r w:rsidRPr="00447702">
        <w:rPr>
          <w:rFonts w:eastAsia="Times New Roman" w:cstheme="minorHAnsi"/>
          <w:color w:val="1D2228"/>
          <w:sz w:val="22"/>
          <w:szCs w:val="22"/>
          <w:lang w:eastAsia="en-GB"/>
        </w:rPr>
        <w:t>For further information please visit </w:t>
      </w:r>
      <w:hyperlink r:id="rId9" w:history="1">
        <w:r w:rsidRPr="00447702">
          <w:rPr>
            <w:rStyle w:val="Hyperlink"/>
            <w:rFonts w:eastAsia="Times New Roman" w:cstheme="minorHAnsi"/>
            <w:sz w:val="22"/>
            <w:szCs w:val="22"/>
            <w:lang w:eastAsia="en-GB"/>
          </w:rPr>
          <w:t>www.abetterlifepharma.com</w:t>
        </w:r>
      </w:hyperlink>
      <w:r w:rsidRPr="00447702">
        <w:rPr>
          <w:rFonts w:eastAsia="Times New Roman" w:cstheme="minorHAnsi"/>
          <w:color w:val="1D2228"/>
          <w:sz w:val="22"/>
          <w:szCs w:val="22"/>
          <w:lang w:eastAsia="en-GB"/>
        </w:rPr>
        <w:t>.</w:t>
      </w:r>
    </w:p>
    <w:bookmarkEnd w:id="0"/>
    <w:p w14:paraId="3E0F032A" w14:textId="73A7120D" w:rsidR="00206B03" w:rsidRPr="00447702" w:rsidRDefault="00206B03" w:rsidP="00206B03">
      <w:pPr>
        <w:rPr>
          <w:sz w:val="22"/>
          <w:szCs w:val="22"/>
        </w:rPr>
      </w:pPr>
      <w:r w:rsidRPr="00447702">
        <w:rPr>
          <w:b/>
          <w:bCs/>
          <w:sz w:val="22"/>
          <w:szCs w:val="22"/>
        </w:rPr>
        <w:t>      </w:t>
      </w:r>
    </w:p>
    <w:p w14:paraId="60F94696" w14:textId="1262C7AC" w:rsidR="00206B03" w:rsidRPr="00206B03" w:rsidRDefault="00206B03" w:rsidP="00206B03">
      <w:pPr>
        <w:rPr>
          <w:sz w:val="22"/>
          <w:szCs w:val="22"/>
        </w:rPr>
      </w:pPr>
      <w:r w:rsidRPr="00206B03">
        <w:rPr>
          <w:b/>
          <w:bCs/>
          <w:sz w:val="22"/>
          <w:szCs w:val="22"/>
        </w:rPr>
        <w:t>Contact</w:t>
      </w:r>
      <w:r w:rsidRPr="00206B03">
        <w:rPr>
          <w:sz w:val="22"/>
          <w:szCs w:val="22"/>
        </w:rPr>
        <w:br/>
      </w:r>
      <w:r w:rsidRPr="00206B03">
        <w:rPr>
          <w:sz w:val="22"/>
          <w:szCs w:val="22"/>
        </w:rPr>
        <w:br/>
      </w:r>
      <w:r w:rsidRPr="00206B03">
        <w:rPr>
          <w:b/>
          <w:bCs/>
          <w:sz w:val="22"/>
          <w:szCs w:val="22"/>
        </w:rPr>
        <w:t>Ahmad Doroudian</w:t>
      </w:r>
      <w:r w:rsidRPr="00206B03">
        <w:rPr>
          <w:sz w:val="22"/>
          <w:szCs w:val="22"/>
        </w:rPr>
        <w:t>, Chief Executive Officer</w:t>
      </w:r>
      <w:r w:rsidRPr="00206B03">
        <w:rPr>
          <w:sz w:val="22"/>
          <w:szCs w:val="22"/>
        </w:rPr>
        <w:br/>
        <w:t>Email: </w:t>
      </w:r>
      <w:hyperlink r:id="rId10" w:tgtFrame="_blank" w:history="1">
        <w:r w:rsidRPr="00206B03">
          <w:rPr>
            <w:rStyle w:val="Hyperlink"/>
            <w:sz w:val="22"/>
            <w:szCs w:val="22"/>
          </w:rPr>
          <w:t>Ahmad.Doroudian@blifepharma.com</w:t>
        </w:r>
      </w:hyperlink>
      <w:r w:rsidRPr="00206B03">
        <w:rPr>
          <w:sz w:val="22"/>
          <w:szCs w:val="22"/>
        </w:rPr>
        <w:br/>
        <w:t>Phone:  604-221-0595</w:t>
      </w:r>
    </w:p>
    <w:p w14:paraId="6457ABB2" w14:textId="1D13B77C" w:rsidR="00F84154" w:rsidRDefault="00F84154">
      <w:pPr>
        <w:rPr>
          <w:b/>
          <w:bCs/>
          <w:sz w:val="22"/>
          <w:szCs w:val="22"/>
        </w:rPr>
      </w:pPr>
      <w:r>
        <w:rPr>
          <w:b/>
          <w:bCs/>
          <w:sz w:val="22"/>
          <w:szCs w:val="22"/>
        </w:rPr>
        <w:br w:type="page"/>
      </w:r>
    </w:p>
    <w:p w14:paraId="74241566" w14:textId="77777777" w:rsidR="00447702" w:rsidRPr="00447702" w:rsidRDefault="00447702" w:rsidP="00447702">
      <w:pPr>
        <w:jc w:val="both"/>
        <w:rPr>
          <w:rFonts w:eastAsia="Times New Roman" w:cstheme="minorHAnsi"/>
          <w:b/>
          <w:bCs/>
          <w:sz w:val="22"/>
          <w:szCs w:val="22"/>
        </w:rPr>
      </w:pPr>
      <w:r w:rsidRPr="00296542">
        <w:rPr>
          <w:rFonts w:eastAsia="Times New Roman" w:cstheme="minorHAnsi"/>
          <w:b/>
          <w:bCs/>
        </w:rPr>
        <w:lastRenderedPageBreak/>
        <w:t xml:space="preserve">Cautionary Note </w:t>
      </w:r>
      <w:r w:rsidRPr="00447702">
        <w:rPr>
          <w:rFonts w:eastAsia="Times New Roman" w:cstheme="minorHAnsi"/>
          <w:b/>
          <w:bCs/>
          <w:sz w:val="22"/>
          <w:szCs w:val="22"/>
        </w:rPr>
        <w:t>Regarding Forward-Looking Statements</w:t>
      </w:r>
    </w:p>
    <w:p w14:paraId="2755CF82" w14:textId="77777777" w:rsidR="00447702" w:rsidRPr="00447702" w:rsidRDefault="00447702" w:rsidP="00447702">
      <w:pPr>
        <w:jc w:val="both"/>
        <w:rPr>
          <w:rFonts w:eastAsia="Times New Roman" w:cstheme="minorHAnsi"/>
          <w:sz w:val="22"/>
          <w:szCs w:val="22"/>
        </w:rPr>
      </w:pPr>
    </w:p>
    <w:p w14:paraId="220685F8" w14:textId="77777777" w:rsidR="00447702" w:rsidRPr="00447702" w:rsidRDefault="00447702" w:rsidP="00447702">
      <w:pPr>
        <w:jc w:val="both"/>
        <w:rPr>
          <w:rFonts w:cstheme="minorHAnsi"/>
          <w:sz w:val="22"/>
          <w:szCs w:val="22"/>
        </w:rPr>
      </w:pPr>
      <w:r w:rsidRPr="00447702">
        <w:rPr>
          <w:rFonts w:eastAsia="Arial" w:cstheme="minorHAnsi"/>
          <w:sz w:val="22"/>
          <w:szCs w:val="22"/>
        </w:rPr>
        <w:t>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r w:rsidRPr="00447702">
        <w:rPr>
          <w:rFonts w:cstheme="minorHAnsi"/>
          <w:sz w:val="22"/>
          <w:szCs w:val="22"/>
        </w:rPr>
        <w:t xml:space="preserve"> </w:t>
      </w:r>
    </w:p>
    <w:p w14:paraId="3AF28EF7" w14:textId="77777777" w:rsidR="00206B03" w:rsidRPr="00447702" w:rsidRDefault="00206B03" w:rsidP="00447702">
      <w:pPr>
        <w:rPr>
          <w:sz w:val="22"/>
          <w:szCs w:val="22"/>
        </w:rPr>
      </w:pPr>
    </w:p>
    <w:sectPr w:rsidR="00206B03" w:rsidRPr="0044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3"/>
    <w:rsid w:val="00206B03"/>
    <w:rsid w:val="00447702"/>
    <w:rsid w:val="005E799E"/>
    <w:rsid w:val="007767FD"/>
    <w:rsid w:val="008A3A87"/>
    <w:rsid w:val="00A5373D"/>
    <w:rsid w:val="00AD586C"/>
    <w:rsid w:val="00B9552C"/>
    <w:rsid w:val="00F8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1A5C"/>
  <w15:chartTrackingRefBased/>
  <w15:docId w15:val="{8021B931-C9F9-9447-BBE4-1A9F8075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B03"/>
    <w:rPr>
      <w:color w:val="0563C1" w:themeColor="hyperlink"/>
      <w:u w:val="single"/>
    </w:rPr>
  </w:style>
  <w:style w:type="character" w:styleId="UnresolvedMention">
    <w:name w:val="Unresolved Mention"/>
    <w:basedOn w:val="DefaultParagraphFont"/>
    <w:uiPriority w:val="99"/>
    <w:semiHidden/>
    <w:unhideWhenUsed/>
    <w:rsid w:val="0020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webSettings" Target="webSettings.xml"/><Relationship Id="rId7" Type="http://schemas.openxmlformats.org/officeDocument/2006/relationships/hyperlink" Target="https://www.otcmarkets.com/stock/BETRF/ov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se.com/en/listings/life-sciences/betterlife-pharma-in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lobenewswire.com/Tracker?data=lw7uCXbO_wO2hD07Kz28ptss7ieY0NrmhSSDpEPesauu0E7SnKUBUwyDTphyrx0LnYMRWnZHtX9_BoOjsvKYOMTVKRzCtzepc_Fa-Dp8mH8GNs5ykmkj4g0alDg9I608" TargetMode="External"/><Relationship Id="rId4" Type="http://schemas.openxmlformats.org/officeDocument/2006/relationships/hyperlink" Target="https://www.globenewswire.com/NewsRoom/AttachmentNg/6e821209-a53d-4112-b7ab-096b988b4305" TargetMode="External"/><Relationship Id="rId9" Type="http://schemas.openxmlformats.org/officeDocument/2006/relationships/hyperlink" Target="file:///C:\Users\andre\AppData\Local\Temp\www.abetter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Hooshmand Sheshbaradaran</dc:creator>
  <cp:keywords/>
  <dc:description/>
  <cp:lastModifiedBy>Moira Ong</cp:lastModifiedBy>
  <cp:revision>5</cp:revision>
  <dcterms:created xsi:type="dcterms:W3CDTF">2021-04-06T16:48:00Z</dcterms:created>
  <dcterms:modified xsi:type="dcterms:W3CDTF">2021-04-07T16:56:00Z</dcterms:modified>
</cp:coreProperties>
</file>