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B84F20" w14:textId="05C0BF89" w:rsidR="00B42176" w:rsidRPr="005970A7" w:rsidRDefault="00420D0A" w:rsidP="005970A7">
      <w:pPr>
        <w:jc w:val="both"/>
        <w:rPr>
          <w:rFonts w:ascii="Khula" w:hAnsi="Khula" w:cs="Khula"/>
          <w:b/>
          <w:caps/>
          <w:sz w:val="36"/>
          <w:szCs w:val="36"/>
        </w:rPr>
      </w:pPr>
      <w:r w:rsidRPr="005970A7">
        <w:rPr>
          <w:rFonts w:ascii="Khula" w:hAnsi="Khula" w:cs="Khula"/>
          <w:b/>
          <w:caps/>
          <w:sz w:val="36"/>
          <w:szCs w:val="36"/>
        </w:rPr>
        <w:t>Rockland</w:t>
      </w:r>
      <w:r w:rsidR="00723098" w:rsidRPr="005970A7">
        <w:rPr>
          <w:rFonts w:ascii="Khula" w:hAnsi="Khula" w:cs="Khula"/>
          <w:b/>
          <w:caps/>
          <w:sz w:val="36"/>
          <w:szCs w:val="36"/>
        </w:rPr>
        <w:t xml:space="preserve"> Resources</w:t>
      </w:r>
      <w:r w:rsidR="006B3A1D" w:rsidRPr="005970A7">
        <w:rPr>
          <w:rFonts w:ascii="Khula" w:hAnsi="Khula" w:cs="Khula"/>
          <w:b/>
          <w:caps/>
          <w:sz w:val="36"/>
          <w:szCs w:val="36"/>
        </w:rPr>
        <w:t xml:space="preserve"> </w:t>
      </w:r>
      <w:r w:rsidR="005970A7" w:rsidRPr="005970A7">
        <w:rPr>
          <w:rFonts w:ascii="Khula" w:hAnsi="Khula" w:cs="Khula"/>
          <w:b/>
          <w:caps/>
          <w:sz w:val="36"/>
          <w:szCs w:val="36"/>
        </w:rPr>
        <w:t xml:space="preserve">PREPARES FOR MAIDEN </w:t>
      </w:r>
      <w:r w:rsidR="006B3A1D" w:rsidRPr="005970A7">
        <w:rPr>
          <w:rFonts w:ascii="Khula" w:hAnsi="Khula" w:cs="Khula"/>
          <w:b/>
          <w:caps/>
          <w:sz w:val="36"/>
          <w:szCs w:val="36"/>
        </w:rPr>
        <w:t xml:space="preserve">DRILL </w:t>
      </w:r>
      <w:r w:rsidR="005970A7" w:rsidRPr="005970A7">
        <w:rPr>
          <w:rFonts w:ascii="Khula" w:hAnsi="Khula" w:cs="Khula"/>
          <w:b/>
          <w:caps/>
          <w:sz w:val="36"/>
          <w:szCs w:val="36"/>
        </w:rPr>
        <w:t xml:space="preserve">PROGRAM </w:t>
      </w:r>
      <w:r w:rsidR="006B3A1D" w:rsidRPr="005970A7">
        <w:rPr>
          <w:rFonts w:ascii="Khula" w:hAnsi="Khula" w:cs="Khula"/>
          <w:b/>
          <w:caps/>
          <w:sz w:val="36"/>
          <w:szCs w:val="36"/>
        </w:rPr>
        <w:t xml:space="preserve">ON THE </w:t>
      </w:r>
      <w:r w:rsidR="00DA6403" w:rsidRPr="005970A7">
        <w:rPr>
          <w:rFonts w:ascii="Khula" w:hAnsi="Khula" w:cs="Khula"/>
          <w:b/>
          <w:caps/>
          <w:sz w:val="36"/>
          <w:szCs w:val="36"/>
        </w:rPr>
        <w:t xml:space="preserve">Cole </w:t>
      </w:r>
      <w:r w:rsidR="007C27C6" w:rsidRPr="005970A7">
        <w:rPr>
          <w:rFonts w:ascii="Khula" w:hAnsi="Khula" w:cs="Khula"/>
          <w:b/>
          <w:caps/>
          <w:sz w:val="36"/>
          <w:szCs w:val="36"/>
        </w:rPr>
        <w:t xml:space="preserve">Gold </w:t>
      </w:r>
      <w:r w:rsidR="00DA6403" w:rsidRPr="005970A7">
        <w:rPr>
          <w:rFonts w:ascii="Khula" w:hAnsi="Khula" w:cs="Khula"/>
          <w:b/>
          <w:caps/>
          <w:sz w:val="36"/>
          <w:szCs w:val="36"/>
        </w:rPr>
        <w:t>Mine</w:t>
      </w:r>
      <w:r w:rsidR="008A0672">
        <w:rPr>
          <w:rFonts w:ascii="Khula" w:hAnsi="Khula" w:cs="Khula"/>
          <w:b/>
          <w:caps/>
          <w:sz w:val="36"/>
          <w:szCs w:val="36"/>
        </w:rPr>
        <w:t>S</w:t>
      </w:r>
      <w:r w:rsidR="00DA6403" w:rsidRPr="005970A7">
        <w:rPr>
          <w:rFonts w:ascii="Khula" w:hAnsi="Khula" w:cs="Khula"/>
          <w:b/>
          <w:caps/>
          <w:sz w:val="36"/>
          <w:szCs w:val="36"/>
        </w:rPr>
        <w:t xml:space="preserve"> Property, West Red Lake, Ontario</w:t>
      </w:r>
    </w:p>
    <w:p w14:paraId="115A67A7" w14:textId="4E808D03" w:rsidR="006B3A1D" w:rsidRDefault="00352A02" w:rsidP="00B42176">
      <w:pPr>
        <w:jc w:val="both"/>
        <w:rPr>
          <w:rFonts w:ascii="Khula" w:hAnsi="Khula" w:cs="Khula"/>
          <w:sz w:val="24"/>
          <w:szCs w:val="24"/>
        </w:rPr>
      </w:pPr>
      <w:r w:rsidRPr="00B42176">
        <w:rPr>
          <w:rFonts w:ascii="Khula" w:hAnsi="Khula" w:cs="Khula"/>
          <w:b/>
          <w:sz w:val="24"/>
          <w:szCs w:val="24"/>
        </w:rPr>
        <w:t>Vancouve</w:t>
      </w:r>
      <w:r w:rsidR="007E14BA" w:rsidRPr="00B42176">
        <w:rPr>
          <w:rFonts w:ascii="Khula" w:hAnsi="Khula" w:cs="Khula"/>
          <w:b/>
          <w:sz w:val="24"/>
          <w:szCs w:val="24"/>
        </w:rPr>
        <w:t xml:space="preserve">r, British Columbia, </w:t>
      </w:r>
      <w:r w:rsidR="006B3A1D">
        <w:rPr>
          <w:rFonts w:ascii="Khula" w:hAnsi="Khula" w:cs="Khula"/>
          <w:b/>
          <w:sz w:val="24"/>
          <w:szCs w:val="24"/>
        </w:rPr>
        <w:t xml:space="preserve">April 6, </w:t>
      </w:r>
      <w:r w:rsidR="00202024" w:rsidRPr="00B42176">
        <w:rPr>
          <w:rFonts w:ascii="Khula" w:hAnsi="Khula" w:cs="Khula"/>
          <w:b/>
          <w:sz w:val="24"/>
          <w:szCs w:val="24"/>
        </w:rPr>
        <w:t>2021</w:t>
      </w:r>
      <w:r w:rsidRPr="00B42176">
        <w:rPr>
          <w:rFonts w:ascii="Khula" w:hAnsi="Khula" w:cs="Khula"/>
          <w:b/>
          <w:sz w:val="24"/>
          <w:szCs w:val="24"/>
        </w:rPr>
        <w:t>:</w:t>
      </w:r>
      <w:r w:rsidRPr="00B42176">
        <w:rPr>
          <w:rFonts w:ascii="Khula" w:hAnsi="Khula" w:cs="Khula"/>
          <w:sz w:val="24"/>
          <w:szCs w:val="24"/>
        </w:rPr>
        <w:t xml:space="preserve">  </w:t>
      </w:r>
      <w:r w:rsidR="00202024" w:rsidRPr="00B42176">
        <w:rPr>
          <w:rFonts w:ascii="Khula" w:hAnsi="Khula" w:cs="Khula"/>
          <w:sz w:val="24"/>
          <w:szCs w:val="24"/>
        </w:rPr>
        <w:t>Rockland</w:t>
      </w:r>
      <w:r w:rsidR="00723098" w:rsidRPr="00B42176">
        <w:rPr>
          <w:rFonts w:ascii="Khula" w:hAnsi="Khula" w:cs="Khula"/>
          <w:sz w:val="24"/>
          <w:szCs w:val="24"/>
        </w:rPr>
        <w:t xml:space="preserve"> Resources Ltd</w:t>
      </w:r>
      <w:r w:rsidR="00A87955" w:rsidRPr="00B42176">
        <w:rPr>
          <w:rFonts w:ascii="Khula" w:hAnsi="Khula" w:cs="Khula"/>
          <w:sz w:val="24"/>
          <w:szCs w:val="24"/>
        </w:rPr>
        <w:t>.</w:t>
      </w:r>
      <w:r w:rsidRPr="00B42176">
        <w:rPr>
          <w:rFonts w:ascii="Khula" w:hAnsi="Khula" w:cs="Khula"/>
          <w:sz w:val="24"/>
          <w:szCs w:val="24"/>
        </w:rPr>
        <w:t xml:space="preserve"> (the "Company" or</w:t>
      </w:r>
      <w:r w:rsidR="00136B76" w:rsidRPr="00B42176">
        <w:rPr>
          <w:rFonts w:ascii="Khula" w:hAnsi="Khula" w:cs="Khula"/>
          <w:sz w:val="24"/>
          <w:szCs w:val="24"/>
        </w:rPr>
        <w:t> </w:t>
      </w:r>
      <w:r w:rsidRPr="00B42176">
        <w:rPr>
          <w:rFonts w:ascii="Khula" w:hAnsi="Khula" w:cs="Khula"/>
          <w:sz w:val="24"/>
          <w:szCs w:val="24"/>
        </w:rPr>
        <w:t>"</w:t>
      </w:r>
      <w:r w:rsidR="0025619C" w:rsidRPr="00B42176">
        <w:rPr>
          <w:rFonts w:ascii="Khula" w:hAnsi="Khula" w:cs="Khula"/>
          <w:sz w:val="24"/>
          <w:szCs w:val="24"/>
        </w:rPr>
        <w:t>Rockland</w:t>
      </w:r>
      <w:r w:rsidRPr="00B42176">
        <w:rPr>
          <w:rFonts w:ascii="Khula" w:hAnsi="Khula" w:cs="Khula"/>
          <w:sz w:val="24"/>
          <w:szCs w:val="24"/>
        </w:rPr>
        <w:t>")</w:t>
      </w:r>
      <w:r w:rsidR="00CC44F0" w:rsidRPr="00B42176">
        <w:rPr>
          <w:rFonts w:ascii="Khula" w:hAnsi="Khula" w:cs="Khula"/>
          <w:sz w:val="24"/>
          <w:szCs w:val="24"/>
        </w:rPr>
        <w:t xml:space="preserve"> </w:t>
      </w:r>
      <w:r w:rsidR="00021B75" w:rsidRPr="00B42176">
        <w:rPr>
          <w:rFonts w:ascii="Khula" w:hAnsi="Khula" w:cs="Khula"/>
          <w:sz w:val="24"/>
          <w:szCs w:val="24"/>
        </w:rPr>
        <w:t>(</w:t>
      </w:r>
      <w:r w:rsidR="00021B75" w:rsidRPr="00B42176">
        <w:rPr>
          <w:rFonts w:ascii="Khula" w:hAnsi="Khula" w:cs="Khula"/>
          <w:b/>
          <w:bCs/>
          <w:sz w:val="24"/>
          <w:szCs w:val="24"/>
        </w:rPr>
        <w:t xml:space="preserve">CSE: </w:t>
      </w:r>
      <w:r w:rsidR="0025619C" w:rsidRPr="00B42176">
        <w:rPr>
          <w:rFonts w:ascii="Khula" w:hAnsi="Khula" w:cs="Khula"/>
          <w:b/>
          <w:bCs/>
          <w:sz w:val="24"/>
          <w:szCs w:val="24"/>
        </w:rPr>
        <w:t>RKL</w:t>
      </w:r>
      <w:r w:rsidR="00021B75" w:rsidRPr="00B42176">
        <w:rPr>
          <w:rFonts w:ascii="Khula" w:hAnsi="Khula" w:cs="Khula"/>
          <w:sz w:val="24"/>
          <w:szCs w:val="24"/>
        </w:rPr>
        <w:t>)</w:t>
      </w:r>
      <w:r w:rsidRPr="00B42176">
        <w:rPr>
          <w:rFonts w:ascii="Khula" w:hAnsi="Khula" w:cs="Khula"/>
          <w:sz w:val="24"/>
          <w:szCs w:val="24"/>
        </w:rPr>
        <w:t xml:space="preserve"> </w:t>
      </w:r>
      <w:r w:rsidR="006B3A1D">
        <w:rPr>
          <w:rFonts w:ascii="Khula" w:hAnsi="Khula" w:cs="Khula"/>
          <w:sz w:val="24"/>
          <w:szCs w:val="24"/>
        </w:rPr>
        <w:t xml:space="preserve">has initiated logistic activities and personnel placements directed at the start of a maiden drill program in May, on the newly acquired (see Press Release March 29, 2021) </w:t>
      </w:r>
      <w:r w:rsidR="00DA6403" w:rsidRPr="00B42176">
        <w:rPr>
          <w:rFonts w:ascii="Khula" w:hAnsi="Khula" w:cs="Khula"/>
          <w:sz w:val="24"/>
          <w:szCs w:val="24"/>
        </w:rPr>
        <w:t xml:space="preserve">“Cole </w:t>
      </w:r>
      <w:r w:rsidR="00601E30" w:rsidRPr="00B42176">
        <w:rPr>
          <w:rFonts w:ascii="Khula" w:hAnsi="Khula" w:cs="Khula"/>
          <w:sz w:val="24"/>
          <w:szCs w:val="24"/>
        </w:rPr>
        <w:t xml:space="preserve">Gold </w:t>
      </w:r>
      <w:r w:rsidR="00DA6403" w:rsidRPr="00B42176">
        <w:rPr>
          <w:rFonts w:ascii="Khula" w:hAnsi="Khula" w:cs="Khula"/>
          <w:sz w:val="24"/>
          <w:szCs w:val="24"/>
        </w:rPr>
        <w:t>Mine</w:t>
      </w:r>
      <w:r w:rsidR="008A0672">
        <w:rPr>
          <w:rFonts w:ascii="Khula" w:hAnsi="Khula" w:cs="Khula"/>
          <w:sz w:val="24"/>
          <w:szCs w:val="24"/>
        </w:rPr>
        <w:t>s</w:t>
      </w:r>
      <w:r w:rsidR="00DA6403" w:rsidRPr="00B42176">
        <w:rPr>
          <w:rFonts w:ascii="Khula" w:hAnsi="Khula" w:cs="Khula"/>
          <w:sz w:val="24"/>
          <w:szCs w:val="24"/>
        </w:rPr>
        <w:t xml:space="preserve"> Property”</w:t>
      </w:r>
      <w:r w:rsidR="00E4704E" w:rsidRPr="00B42176">
        <w:rPr>
          <w:rFonts w:ascii="Khula" w:hAnsi="Khula" w:cs="Khula"/>
          <w:sz w:val="24"/>
          <w:szCs w:val="24"/>
        </w:rPr>
        <w:t xml:space="preserve"> (Property”)</w:t>
      </w:r>
      <w:r w:rsidR="00DA6403" w:rsidRPr="00B42176">
        <w:rPr>
          <w:rFonts w:ascii="Khula" w:hAnsi="Khula" w:cs="Khula"/>
          <w:sz w:val="24"/>
          <w:szCs w:val="24"/>
        </w:rPr>
        <w:t xml:space="preserve">, located in </w:t>
      </w:r>
      <w:r w:rsidR="00E4704E" w:rsidRPr="00B42176">
        <w:rPr>
          <w:rFonts w:ascii="Khula" w:hAnsi="Khula" w:cs="Khula"/>
          <w:sz w:val="24"/>
          <w:szCs w:val="24"/>
        </w:rPr>
        <w:t xml:space="preserve">Ball Township, </w:t>
      </w:r>
      <w:r w:rsidR="00DA6403" w:rsidRPr="00B42176">
        <w:rPr>
          <w:rFonts w:ascii="Khula" w:hAnsi="Khula" w:cs="Khula"/>
          <w:sz w:val="24"/>
          <w:szCs w:val="24"/>
        </w:rPr>
        <w:t xml:space="preserve">Red Lake Mining District. </w:t>
      </w:r>
    </w:p>
    <w:p w14:paraId="1BB52FB4" w14:textId="23081C32" w:rsidR="005970A7" w:rsidRDefault="00502767" w:rsidP="00B42176">
      <w:pPr>
        <w:jc w:val="both"/>
        <w:rPr>
          <w:rFonts w:ascii="Khula" w:hAnsi="Khula" w:cs="Khula"/>
          <w:sz w:val="24"/>
          <w:szCs w:val="24"/>
        </w:rPr>
      </w:pPr>
      <w:r w:rsidRPr="00B42176">
        <w:rPr>
          <w:rFonts w:ascii="Khula" w:hAnsi="Khula" w:cs="Khula"/>
          <w:sz w:val="24"/>
          <w:szCs w:val="24"/>
        </w:rPr>
        <w:t xml:space="preserve">The current Cole </w:t>
      </w:r>
      <w:r w:rsidR="00601E30" w:rsidRPr="00B42176">
        <w:rPr>
          <w:rFonts w:ascii="Khula" w:hAnsi="Khula" w:cs="Khula"/>
          <w:sz w:val="24"/>
          <w:szCs w:val="24"/>
        </w:rPr>
        <w:t xml:space="preserve">Gold </w:t>
      </w:r>
      <w:r w:rsidRPr="00B42176">
        <w:rPr>
          <w:rFonts w:ascii="Khula" w:hAnsi="Khula" w:cs="Khula"/>
          <w:sz w:val="24"/>
          <w:szCs w:val="24"/>
        </w:rPr>
        <w:t>Mine</w:t>
      </w:r>
      <w:r w:rsidR="008A0672">
        <w:rPr>
          <w:rFonts w:ascii="Khula" w:hAnsi="Khula" w:cs="Khula"/>
          <w:sz w:val="24"/>
          <w:szCs w:val="24"/>
        </w:rPr>
        <w:t>s</w:t>
      </w:r>
      <w:r w:rsidRPr="00B42176">
        <w:rPr>
          <w:rFonts w:ascii="Khula" w:hAnsi="Khula" w:cs="Khula"/>
          <w:sz w:val="24"/>
          <w:szCs w:val="24"/>
        </w:rPr>
        <w:t xml:space="preserve"> Property consists of 28 mining claims (568 ha) located 30 kilometers west of the Cochenour, Campbell, Red Lake Mine Complex</w:t>
      </w:r>
      <w:r w:rsidR="0043300D" w:rsidRPr="00B42176">
        <w:rPr>
          <w:rFonts w:ascii="Khula" w:hAnsi="Khula" w:cs="Khula"/>
          <w:sz w:val="24"/>
          <w:szCs w:val="24"/>
        </w:rPr>
        <w:t xml:space="preserve"> owned and operated by Evolution Mining</w:t>
      </w:r>
      <w:r w:rsidRPr="00B42176">
        <w:rPr>
          <w:rFonts w:ascii="Khula" w:hAnsi="Khula" w:cs="Khula"/>
          <w:sz w:val="24"/>
          <w:szCs w:val="24"/>
        </w:rPr>
        <w:t>.</w:t>
      </w:r>
      <w:r w:rsidR="00377788" w:rsidRPr="00B42176">
        <w:rPr>
          <w:rFonts w:ascii="Khula" w:hAnsi="Khula" w:cs="Khula"/>
          <w:sz w:val="24"/>
          <w:szCs w:val="24"/>
        </w:rPr>
        <w:t xml:space="preserve"> The property is being acquired </w:t>
      </w:r>
      <w:r w:rsidR="00730469">
        <w:rPr>
          <w:rFonts w:ascii="Khula" w:hAnsi="Khula" w:cs="Khula"/>
          <w:sz w:val="24"/>
          <w:szCs w:val="24"/>
        </w:rPr>
        <w:t xml:space="preserve">(100%) </w:t>
      </w:r>
      <w:r w:rsidR="00377788" w:rsidRPr="00B42176">
        <w:rPr>
          <w:rFonts w:ascii="Khula" w:hAnsi="Khula" w:cs="Khula"/>
          <w:sz w:val="24"/>
          <w:szCs w:val="24"/>
        </w:rPr>
        <w:t xml:space="preserve">from </w:t>
      </w:r>
      <w:proofErr w:type="spellStart"/>
      <w:r w:rsidR="00377788" w:rsidRPr="00B42176">
        <w:rPr>
          <w:rFonts w:ascii="Khula" w:hAnsi="Khula" w:cs="Khula"/>
          <w:sz w:val="24"/>
          <w:szCs w:val="24"/>
        </w:rPr>
        <w:t>Wabassi</w:t>
      </w:r>
      <w:proofErr w:type="spellEnd"/>
      <w:r w:rsidR="00377788" w:rsidRPr="00B42176">
        <w:rPr>
          <w:rFonts w:ascii="Khula" w:hAnsi="Khula" w:cs="Khula"/>
          <w:sz w:val="24"/>
          <w:szCs w:val="24"/>
        </w:rPr>
        <w:t xml:space="preserve"> Resources ULC. (“</w:t>
      </w:r>
      <w:proofErr w:type="spellStart"/>
      <w:r w:rsidR="00377788" w:rsidRPr="00B42176">
        <w:rPr>
          <w:rFonts w:ascii="Khula" w:hAnsi="Khula" w:cs="Khula"/>
          <w:sz w:val="24"/>
          <w:szCs w:val="24"/>
        </w:rPr>
        <w:t>Wabassi</w:t>
      </w:r>
      <w:proofErr w:type="spellEnd"/>
      <w:r w:rsidR="00377788" w:rsidRPr="00B42176">
        <w:rPr>
          <w:rFonts w:ascii="Khula" w:hAnsi="Khula" w:cs="Khula"/>
          <w:sz w:val="24"/>
          <w:szCs w:val="24"/>
        </w:rPr>
        <w:t xml:space="preserve">”), whom have an option to acquire </w:t>
      </w:r>
      <w:r w:rsidR="00730469">
        <w:rPr>
          <w:rFonts w:ascii="Khula" w:hAnsi="Khula" w:cs="Khula"/>
          <w:sz w:val="24"/>
          <w:szCs w:val="24"/>
        </w:rPr>
        <w:t xml:space="preserve">the Property </w:t>
      </w:r>
      <w:r w:rsidR="00377788" w:rsidRPr="00B42176">
        <w:rPr>
          <w:rFonts w:ascii="Khula" w:hAnsi="Khula" w:cs="Khula"/>
          <w:sz w:val="24"/>
          <w:szCs w:val="24"/>
        </w:rPr>
        <w:t xml:space="preserve">from </w:t>
      </w:r>
      <w:r w:rsidR="00730469">
        <w:rPr>
          <w:rFonts w:ascii="Khula" w:hAnsi="Khula" w:cs="Khula"/>
          <w:sz w:val="24"/>
          <w:szCs w:val="24"/>
        </w:rPr>
        <w:t>a</w:t>
      </w:r>
      <w:r w:rsidR="00E0383C">
        <w:rPr>
          <w:rFonts w:ascii="Khula" w:hAnsi="Khula" w:cs="Khula"/>
          <w:sz w:val="24"/>
          <w:szCs w:val="24"/>
        </w:rPr>
        <w:t>n</w:t>
      </w:r>
      <w:r w:rsidR="00730469">
        <w:rPr>
          <w:rFonts w:ascii="Khula" w:hAnsi="Khula" w:cs="Khula"/>
          <w:sz w:val="24"/>
          <w:szCs w:val="24"/>
        </w:rPr>
        <w:t xml:space="preserve"> </w:t>
      </w:r>
      <w:r w:rsidR="00377788" w:rsidRPr="00B42176">
        <w:rPr>
          <w:rFonts w:ascii="Khula" w:hAnsi="Khula" w:cs="Khula"/>
          <w:sz w:val="24"/>
          <w:szCs w:val="24"/>
        </w:rPr>
        <w:t>underlying owner.</w:t>
      </w:r>
      <w:r w:rsidR="005970A7">
        <w:rPr>
          <w:rFonts w:ascii="Khula" w:hAnsi="Khula" w:cs="Khula"/>
          <w:sz w:val="24"/>
          <w:szCs w:val="24"/>
        </w:rPr>
        <w:t xml:space="preserve"> </w:t>
      </w:r>
    </w:p>
    <w:p w14:paraId="428E90EB" w14:textId="18960DA5" w:rsidR="00502767" w:rsidRDefault="005970A7" w:rsidP="00B42176">
      <w:pPr>
        <w:jc w:val="both"/>
        <w:rPr>
          <w:rFonts w:ascii="Khula" w:hAnsi="Khula" w:cs="Khula"/>
          <w:sz w:val="24"/>
          <w:szCs w:val="24"/>
        </w:rPr>
      </w:pPr>
      <w:r>
        <w:rPr>
          <w:rFonts w:ascii="Khula" w:hAnsi="Khula" w:cs="Khula"/>
          <w:sz w:val="24"/>
          <w:szCs w:val="24"/>
        </w:rPr>
        <w:t>The Cole Gold property historically indicated h</w:t>
      </w:r>
      <w:r w:rsidRPr="005970A7">
        <w:rPr>
          <w:rFonts w:ascii="Khula" w:hAnsi="Khula" w:cs="Khula"/>
          <w:sz w:val="24"/>
          <w:szCs w:val="24"/>
        </w:rPr>
        <w:t xml:space="preserve">igh-grade gold values are associated with sphalerite-chalcopyrite-scheelite-bearing quartz veins in shear and structural zones in porphyry and felsic rocks, striking approximately east-west and dipping steeply to the north. </w:t>
      </w:r>
      <w:r w:rsidR="008A0672">
        <w:rPr>
          <w:rFonts w:ascii="Khula" w:hAnsi="Khula" w:cs="Khula"/>
          <w:sz w:val="24"/>
          <w:szCs w:val="24"/>
        </w:rPr>
        <w:t>D</w:t>
      </w:r>
      <w:r>
        <w:rPr>
          <w:rFonts w:ascii="Khula" w:hAnsi="Khula" w:cs="Khula"/>
          <w:sz w:val="24"/>
          <w:szCs w:val="24"/>
        </w:rPr>
        <w:t xml:space="preserve">evelopment work by </w:t>
      </w:r>
      <w:r w:rsidRPr="005970A7">
        <w:rPr>
          <w:rFonts w:ascii="Khula" w:hAnsi="Khula" w:cs="Khula"/>
          <w:sz w:val="24"/>
          <w:szCs w:val="24"/>
        </w:rPr>
        <w:t xml:space="preserve">Cole Gold Mines </w:t>
      </w:r>
      <w:r>
        <w:rPr>
          <w:rFonts w:ascii="Khula" w:hAnsi="Khula" w:cs="Khula"/>
          <w:sz w:val="24"/>
          <w:szCs w:val="24"/>
        </w:rPr>
        <w:t xml:space="preserve">in the 1930’s included a vertical shaft to </w:t>
      </w:r>
      <w:r w:rsidRPr="005970A7">
        <w:rPr>
          <w:rFonts w:ascii="Khula" w:hAnsi="Khula" w:cs="Khula"/>
          <w:sz w:val="24"/>
          <w:szCs w:val="24"/>
        </w:rPr>
        <w:t xml:space="preserve">a depth of 161.5 metres (530 feet), with </w:t>
      </w:r>
      <w:r>
        <w:rPr>
          <w:rFonts w:ascii="Khula" w:hAnsi="Khula" w:cs="Khula"/>
          <w:sz w:val="24"/>
          <w:szCs w:val="24"/>
        </w:rPr>
        <w:t xml:space="preserve">four levels established, and </w:t>
      </w:r>
      <w:r w:rsidRPr="005970A7">
        <w:rPr>
          <w:rFonts w:ascii="Khula" w:hAnsi="Khula" w:cs="Khula"/>
          <w:sz w:val="24"/>
          <w:szCs w:val="24"/>
        </w:rPr>
        <w:t>over 2,133.6 metres (7,000 feet) of drifting</w:t>
      </w:r>
      <w:r>
        <w:rPr>
          <w:rFonts w:ascii="Khula" w:hAnsi="Khula" w:cs="Khula"/>
          <w:sz w:val="24"/>
          <w:szCs w:val="24"/>
        </w:rPr>
        <w:t xml:space="preserve"> and crosscutting (mostly</w:t>
      </w:r>
      <w:r w:rsidRPr="005970A7">
        <w:rPr>
          <w:rFonts w:ascii="Khula" w:hAnsi="Khula" w:cs="Khula"/>
          <w:sz w:val="24"/>
          <w:szCs w:val="24"/>
        </w:rPr>
        <w:t xml:space="preserve"> </w:t>
      </w:r>
      <w:r>
        <w:rPr>
          <w:rFonts w:ascii="Khula" w:hAnsi="Khula" w:cs="Khula"/>
          <w:sz w:val="24"/>
          <w:szCs w:val="24"/>
        </w:rPr>
        <w:t xml:space="preserve">“on vein”) </w:t>
      </w:r>
      <w:r w:rsidRPr="005970A7">
        <w:rPr>
          <w:rFonts w:ascii="Khula" w:hAnsi="Khula" w:cs="Khula"/>
          <w:sz w:val="24"/>
          <w:szCs w:val="24"/>
        </w:rPr>
        <w:t>and 1,219.2 metres (4,000 feet) of underground diamond drilling</w:t>
      </w:r>
      <w:r>
        <w:rPr>
          <w:rFonts w:ascii="Khula" w:hAnsi="Khula" w:cs="Khula"/>
          <w:sz w:val="24"/>
          <w:szCs w:val="24"/>
        </w:rPr>
        <w:t>.</w:t>
      </w:r>
      <w:r w:rsidR="00730469">
        <w:rPr>
          <w:rFonts w:ascii="Khula" w:hAnsi="Khula" w:cs="Khula"/>
          <w:sz w:val="24"/>
          <w:szCs w:val="24"/>
        </w:rPr>
        <w:t xml:space="preserve"> </w:t>
      </w:r>
      <w:r w:rsidRPr="005970A7">
        <w:rPr>
          <w:rFonts w:ascii="Khula" w:hAnsi="Khula" w:cs="Khula"/>
          <w:sz w:val="24"/>
          <w:szCs w:val="24"/>
        </w:rPr>
        <w:t xml:space="preserve">Historic </w:t>
      </w:r>
      <w:r>
        <w:rPr>
          <w:rFonts w:ascii="Khula" w:hAnsi="Khula" w:cs="Khula"/>
          <w:sz w:val="24"/>
          <w:szCs w:val="24"/>
        </w:rPr>
        <w:t xml:space="preserve">(1973) </w:t>
      </w:r>
      <w:r w:rsidRPr="005970A7">
        <w:rPr>
          <w:rFonts w:ascii="Khula" w:hAnsi="Khula" w:cs="Khula"/>
          <w:sz w:val="24"/>
          <w:szCs w:val="24"/>
        </w:rPr>
        <w:t xml:space="preserve">diamond drilling by Kerr Addison Mines has returned values up </w:t>
      </w:r>
      <w:r w:rsidRPr="005970A7">
        <w:rPr>
          <w:rFonts w:ascii="Khula" w:hAnsi="Khula" w:cs="Khula"/>
          <w:sz w:val="24"/>
          <w:szCs w:val="24"/>
        </w:rPr>
        <w:lastRenderedPageBreak/>
        <w:t>to 2.2 ounces per ton (oz/ton) gold (68.3 grams per tonne (g/t) gold (Au) over 1.5 feet (ft) (0.46 metre) core width in sulphide mineralized quartz veins.</w:t>
      </w:r>
    </w:p>
    <w:p w14:paraId="7DD99306" w14:textId="4F96345A" w:rsidR="00AD40F4" w:rsidRPr="00B42176" w:rsidRDefault="00AD40F4" w:rsidP="00AD40F4">
      <w:pPr>
        <w:jc w:val="both"/>
        <w:rPr>
          <w:rFonts w:ascii="Khula" w:hAnsi="Khula" w:cs="Khula"/>
          <w:sz w:val="24"/>
          <w:szCs w:val="24"/>
        </w:rPr>
      </w:pPr>
      <w:r w:rsidRPr="00B42176">
        <w:rPr>
          <w:rFonts w:ascii="Khula" w:hAnsi="Khula" w:cs="Khula"/>
          <w:sz w:val="24"/>
          <w:szCs w:val="24"/>
        </w:rPr>
        <w:t xml:space="preserve">Company director Mike England </w:t>
      </w:r>
      <w:r>
        <w:rPr>
          <w:rFonts w:ascii="Khula" w:hAnsi="Khula" w:cs="Khula"/>
          <w:sz w:val="24"/>
          <w:szCs w:val="24"/>
        </w:rPr>
        <w:t>report</w:t>
      </w:r>
      <w:r w:rsidRPr="00B42176">
        <w:rPr>
          <w:rFonts w:ascii="Khula" w:hAnsi="Khula" w:cs="Khula"/>
          <w:sz w:val="24"/>
          <w:szCs w:val="24"/>
        </w:rPr>
        <w:t>s: “</w:t>
      </w:r>
      <w:r>
        <w:rPr>
          <w:rFonts w:ascii="Khula" w:hAnsi="Khula" w:cs="Khula"/>
          <w:sz w:val="24"/>
          <w:szCs w:val="24"/>
        </w:rPr>
        <w:t xml:space="preserve">Acquiring a project that is fully permitted and can be advanced quickly (less than 2 months) to a maiden drill program is beneficial to a newly listed exploration company. </w:t>
      </w:r>
      <w:r w:rsidRPr="00B42176">
        <w:rPr>
          <w:rFonts w:ascii="Khula" w:hAnsi="Khula" w:cs="Khula"/>
          <w:sz w:val="24"/>
          <w:szCs w:val="24"/>
        </w:rPr>
        <w:t>The Cole Gold Mine</w:t>
      </w:r>
      <w:r w:rsidR="008A0672">
        <w:rPr>
          <w:rFonts w:ascii="Khula" w:hAnsi="Khula" w:cs="Khula"/>
          <w:sz w:val="24"/>
          <w:szCs w:val="24"/>
        </w:rPr>
        <w:t>s Property</w:t>
      </w:r>
      <w:r w:rsidRPr="00B42176">
        <w:rPr>
          <w:rFonts w:ascii="Khula" w:hAnsi="Khula" w:cs="Khula"/>
          <w:sz w:val="24"/>
          <w:szCs w:val="24"/>
        </w:rPr>
        <w:t xml:space="preserve"> acquisition represents a</w:t>
      </w:r>
      <w:r>
        <w:rPr>
          <w:rFonts w:ascii="Khula" w:hAnsi="Khula" w:cs="Khula"/>
          <w:sz w:val="24"/>
          <w:szCs w:val="24"/>
        </w:rPr>
        <w:t>n</w:t>
      </w:r>
      <w:r w:rsidRPr="00B42176">
        <w:rPr>
          <w:rFonts w:ascii="Khula" w:hAnsi="Khula" w:cs="Khula"/>
          <w:sz w:val="24"/>
          <w:szCs w:val="24"/>
        </w:rPr>
        <w:t xml:space="preserve"> under</w:t>
      </w:r>
      <w:r>
        <w:rPr>
          <w:rFonts w:ascii="Khula" w:hAnsi="Khula" w:cs="Khula"/>
          <w:sz w:val="24"/>
          <w:szCs w:val="24"/>
        </w:rPr>
        <w:t>-</w:t>
      </w:r>
      <w:r w:rsidRPr="00B42176">
        <w:rPr>
          <w:rFonts w:ascii="Khula" w:hAnsi="Khula" w:cs="Khula"/>
          <w:sz w:val="24"/>
          <w:szCs w:val="24"/>
        </w:rPr>
        <w:t xml:space="preserve">explored, </w:t>
      </w:r>
      <w:proofErr w:type="gramStart"/>
      <w:r w:rsidRPr="00B42176">
        <w:rPr>
          <w:rFonts w:ascii="Khula" w:hAnsi="Khula" w:cs="Khula"/>
          <w:sz w:val="24"/>
          <w:szCs w:val="24"/>
        </w:rPr>
        <w:t>exciting</w:t>
      </w:r>
      <w:proofErr w:type="gramEnd"/>
      <w:r w:rsidR="00E0383C">
        <w:rPr>
          <w:rFonts w:ascii="Khula" w:hAnsi="Khula" w:cs="Khula"/>
          <w:sz w:val="24"/>
          <w:szCs w:val="24"/>
        </w:rPr>
        <w:t xml:space="preserve"> and</w:t>
      </w:r>
      <w:r w:rsidRPr="00B42176">
        <w:rPr>
          <w:rFonts w:ascii="Khula" w:hAnsi="Khula" w:cs="Khula"/>
          <w:sz w:val="24"/>
          <w:szCs w:val="24"/>
        </w:rPr>
        <w:t xml:space="preserve"> strategically located gold property in one of the most active, prolific producing mining districts in Canada.</w:t>
      </w:r>
      <w:r>
        <w:rPr>
          <w:rFonts w:ascii="Khula" w:hAnsi="Khula" w:cs="Khula"/>
          <w:sz w:val="24"/>
          <w:szCs w:val="24"/>
        </w:rPr>
        <w:t xml:space="preserve"> Our proposed drill program will be the first drill program on the indicated gold targets since 1973. </w:t>
      </w:r>
      <w:r w:rsidRPr="00B42176">
        <w:rPr>
          <w:rFonts w:ascii="Khula" w:hAnsi="Khula" w:cs="Khula"/>
          <w:sz w:val="24"/>
          <w:szCs w:val="24"/>
        </w:rPr>
        <w:t>The property has historic indications to host high-grade gold values in a classic “Red Lake type” quartz veins and silica-sulphide replacement zones.”</w:t>
      </w:r>
    </w:p>
    <w:p w14:paraId="298B4539" w14:textId="5EEB77DE" w:rsidR="00AD40F4" w:rsidRDefault="00AD40F4" w:rsidP="00B42176">
      <w:pPr>
        <w:jc w:val="both"/>
        <w:rPr>
          <w:rFonts w:ascii="Khula" w:hAnsi="Khula" w:cs="Khula"/>
          <w:sz w:val="24"/>
          <w:szCs w:val="24"/>
        </w:rPr>
      </w:pPr>
      <w:r w:rsidRPr="00B42176">
        <w:rPr>
          <w:rFonts w:ascii="Khula" w:hAnsi="Khula" w:cs="Khula"/>
          <w:noProof/>
          <w:sz w:val="24"/>
          <w:szCs w:val="24"/>
        </w:rPr>
        <w:drawing>
          <wp:inline distT="0" distB="0" distL="0" distR="0" wp14:anchorId="0A626987" wp14:editId="5D3791A8">
            <wp:extent cx="5943600" cy="3305175"/>
            <wp:effectExtent l="0" t="0" r="0" b="9525"/>
            <wp:docPr id="3" name="Picture 3" descr="A map of the solar syst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the solar system&#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05175"/>
                    </a:xfrm>
                    <a:prstGeom prst="rect">
                      <a:avLst/>
                    </a:prstGeom>
                  </pic:spPr>
                </pic:pic>
              </a:graphicData>
            </a:graphic>
          </wp:inline>
        </w:drawing>
      </w:r>
    </w:p>
    <w:p w14:paraId="4E73391C" w14:textId="63C2217B" w:rsidR="006B3A1D" w:rsidRDefault="006B3A1D" w:rsidP="00B42176">
      <w:pPr>
        <w:jc w:val="both"/>
        <w:rPr>
          <w:rFonts w:ascii="Khula" w:hAnsi="Khula" w:cs="Khula"/>
          <w:sz w:val="24"/>
          <w:szCs w:val="24"/>
        </w:rPr>
      </w:pPr>
      <w:r>
        <w:rPr>
          <w:rFonts w:ascii="Khula" w:hAnsi="Khula" w:cs="Khula"/>
          <w:sz w:val="24"/>
          <w:szCs w:val="24"/>
        </w:rPr>
        <w:t>Current activities include:</w:t>
      </w:r>
    </w:p>
    <w:p w14:paraId="51AAB6BA" w14:textId="37DBD178" w:rsidR="000B6FD7" w:rsidRDefault="006B3A1D" w:rsidP="006B3A1D">
      <w:pPr>
        <w:pStyle w:val="ListParagraph"/>
        <w:numPr>
          <w:ilvl w:val="0"/>
          <w:numId w:val="2"/>
        </w:numPr>
        <w:jc w:val="both"/>
        <w:rPr>
          <w:rFonts w:ascii="Khula" w:hAnsi="Khula" w:cs="Khula"/>
          <w:sz w:val="24"/>
          <w:szCs w:val="24"/>
        </w:rPr>
      </w:pPr>
      <w:r>
        <w:rPr>
          <w:rFonts w:ascii="Khula" w:hAnsi="Khula" w:cs="Khula"/>
          <w:sz w:val="24"/>
          <w:szCs w:val="24"/>
        </w:rPr>
        <w:lastRenderedPageBreak/>
        <w:t xml:space="preserve">A contract proposal for 2,500 meters of HQ diamond drilling has been submitted to established drill contractors in Manitoba and Ontario to mobilize </w:t>
      </w:r>
      <w:r w:rsidR="000B6FD7">
        <w:rPr>
          <w:rFonts w:ascii="Khula" w:hAnsi="Khula" w:cs="Khula"/>
          <w:sz w:val="24"/>
          <w:szCs w:val="24"/>
        </w:rPr>
        <w:t>a rig to the Property o</w:t>
      </w:r>
      <w:r>
        <w:rPr>
          <w:rFonts w:ascii="Khula" w:hAnsi="Khula" w:cs="Khula"/>
          <w:sz w:val="24"/>
          <w:szCs w:val="24"/>
        </w:rPr>
        <w:t>n</w:t>
      </w:r>
      <w:r w:rsidR="000B6FD7">
        <w:rPr>
          <w:rFonts w:ascii="Khula" w:hAnsi="Khula" w:cs="Khula"/>
          <w:sz w:val="24"/>
          <w:szCs w:val="24"/>
        </w:rPr>
        <w:t>, or near,</w:t>
      </w:r>
      <w:r>
        <w:rPr>
          <w:rFonts w:ascii="Khula" w:hAnsi="Khula" w:cs="Khula"/>
          <w:sz w:val="24"/>
          <w:szCs w:val="24"/>
        </w:rPr>
        <w:t xml:space="preserve"> the 3</w:t>
      </w:r>
      <w:r w:rsidRPr="006B3A1D">
        <w:rPr>
          <w:rFonts w:ascii="Khula" w:hAnsi="Khula" w:cs="Khula"/>
          <w:sz w:val="24"/>
          <w:szCs w:val="24"/>
          <w:vertAlign w:val="superscript"/>
        </w:rPr>
        <w:t>rd</w:t>
      </w:r>
      <w:r>
        <w:rPr>
          <w:rFonts w:ascii="Khula" w:hAnsi="Khula" w:cs="Khula"/>
          <w:sz w:val="24"/>
          <w:szCs w:val="24"/>
        </w:rPr>
        <w:t xml:space="preserve"> week of May.</w:t>
      </w:r>
      <w:r w:rsidR="00AD40F4">
        <w:rPr>
          <w:rFonts w:ascii="Khula" w:hAnsi="Khula" w:cs="Khula"/>
          <w:sz w:val="24"/>
          <w:szCs w:val="24"/>
        </w:rPr>
        <w:t xml:space="preserve"> </w:t>
      </w:r>
    </w:p>
    <w:p w14:paraId="0BCEEE23" w14:textId="62C0ACDE" w:rsidR="000B6FD7" w:rsidRDefault="000B6FD7" w:rsidP="006B3A1D">
      <w:pPr>
        <w:pStyle w:val="ListParagraph"/>
        <w:numPr>
          <w:ilvl w:val="0"/>
          <w:numId w:val="2"/>
        </w:numPr>
        <w:jc w:val="both"/>
        <w:rPr>
          <w:rFonts w:ascii="Khula" w:hAnsi="Khula" w:cs="Khula"/>
          <w:sz w:val="24"/>
          <w:szCs w:val="24"/>
        </w:rPr>
      </w:pPr>
      <w:r>
        <w:rPr>
          <w:rFonts w:ascii="Khula" w:hAnsi="Khula" w:cs="Khula"/>
          <w:sz w:val="24"/>
          <w:szCs w:val="24"/>
        </w:rPr>
        <w:t xml:space="preserve">A </w:t>
      </w:r>
      <w:r w:rsidR="00996D62">
        <w:rPr>
          <w:rFonts w:ascii="Khula" w:hAnsi="Khula" w:cs="Khula"/>
          <w:sz w:val="24"/>
          <w:szCs w:val="24"/>
        </w:rPr>
        <w:t xml:space="preserve">senior </w:t>
      </w:r>
      <w:r>
        <w:rPr>
          <w:rFonts w:ascii="Khula" w:hAnsi="Khula" w:cs="Khula"/>
          <w:sz w:val="24"/>
          <w:szCs w:val="24"/>
        </w:rPr>
        <w:t>consultant geologist has been engaged by the Company to supervise the drill program, with support from the vendor’s (</w:t>
      </w:r>
      <w:proofErr w:type="spellStart"/>
      <w:r>
        <w:rPr>
          <w:rFonts w:ascii="Khula" w:hAnsi="Khula" w:cs="Khula"/>
          <w:sz w:val="24"/>
          <w:szCs w:val="24"/>
        </w:rPr>
        <w:t>Wabassi</w:t>
      </w:r>
      <w:proofErr w:type="spellEnd"/>
      <w:r>
        <w:rPr>
          <w:rFonts w:ascii="Khula" w:hAnsi="Khula" w:cs="Khula"/>
          <w:sz w:val="24"/>
          <w:szCs w:val="24"/>
        </w:rPr>
        <w:t xml:space="preserve">) senior geologist, and </w:t>
      </w:r>
      <w:r w:rsidR="00996D62">
        <w:rPr>
          <w:rFonts w:ascii="Khula" w:hAnsi="Khula" w:cs="Khula"/>
          <w:sz w:val="24"/>
          <w:szCs w:val="24"/>
        </w:rPr>
        <w:t xml:space="preserve">other </w:t>
      </w:r>
      <w:r>
        <w:rPr>
          <w:rFonts w:ascii="Khula" w:hAnsi="Khula" w:cs="Khula"/>
          <w:sz w:val="24"/>
          <w:szCs w:val="24"/>
        </w:rPr>
        <w:t>Company technical advisors.</w:t>
      </w:r>
      <w:r w:rsidR="00996D62">
        <w:rPr>
          <w:rFonts w:ascii="Khula" w:hAnsi="Khula" w:cs="Khula"/>
          <w:sz w:val="24"/>
          <w:szCs w:val="24"/>
        </w:rPr>
        <w:t xml:space="preserve"> The site senior geologist is contracted from </w:t>
      </w:r>
      <w:r w:rsidR="00996D62" w:rsidRPr="00996D62">
        <w:rPr>
          <w:rFonts w:ascii="Khula" w:hAnsi="Khula" w:cs="Khula"/>
          <w:sz w:val="24"/>
          <w:szCs w:val="24"/>
        </w:rPr>
        <w:t>Planet X Exploration Services Ltd.'s</w:t>
      </w:r>
      <w:r w:rsidR="00996D62">
        <w:rPr>
          <w:rFonts w:ascii="Khula" w:hAnsi="Khula" w:cs="Khula"/>
          <w:sz w:val="24"/>
          <w:szCs w:val="24"/>
        </w:rPr>
        <w:t xml:space="preserve">, </w:t>
      </w:r>
      <w:r w:rsidR="00996D62" w:rsidRPr="00996D62">
        <w:rPr>
          <w:rFonts w:ascii="Khula" w:hAnsi="Khula" w:cs="Khula"/>
          <w:sz w:val="24"/>
          <w:szCs w:val="24"/>
        </w:rPr>
        <w:t>retained through Grassroots Prospecting</w:t>
      </w:r>
      <w:r w:rsidR="00996D62">
        <w:rPr>
          <w:rFonts w:ascii="Khula" w:hAnsi="Khula" w:cs="Khula"/>
          <w:sz w:val="24"/>
          <w:szCs w:val="24"/>
        </w:rPr>
        <w:t>. Additional technical and logistical support will be supplied by Clark Exploration Consulting of Thunder Bay.</w:t>
      </w:r>
    </w:p>
    <w:p w14:paraId="6609A20E" w14:textId="7E95C8F3" w:rsidR="006B3A1D" w:rsidRPr="006B3A1D" w:rsidRDefault="000B6FD7" w:rsidP="006B3A1D">
      <w:pPr>
        <w:pStyle w:val="ListParagraph"/>
        <w:numPr>
          <w:ilvl w:val="0"/>
          <w:numId w:val="2"/>
        </w:numPr>
        <w:jc w:val="both"/>
        <w:rPr>
          <w:rFonts w:ascii="Khula" w:hAnsi="Khula" w:cs="Khula"/>
          <w:sz w:val="24"/>
          <w:szCs w:val="24"/>
        </w:rPr>
      </w:pPr>
      <w:r>
        <w:rPr>
          <w:rFonts w:ascii="Khula" w:hAnsi="Khula" w:cs="Khula"/>
          <w:sz w:val="24"/>
          <w:szCs w:val="24"/>
        </w:rPr>
        <w:t>The company has also engaged a geophysical con</w:t>
      </w:r>
      <w:r w:rsidR="00996D62">
        <w:rPr>
          <w:rFonts w:ascii="Khula" w:hAnsi="Khula" w:cs="Khula"/>
          <w:sz w:val="24"/>
          <w:szCs w:val="24"/>
        </w:rPr>
        <w:t>tract</w:t>
      </w:r>
      <w:r>
        <w:rPr>
          <w:rFonts w:ascii="Khula" w:hAnsi="Khula" w:cs="Khula"/>
          <w:sz w:val="24"/>
          <w:szCs w:val="24"/>
        </w:rPr>
        <w:t xml:space="preserve"> </w:t>
      </w:r>
      <w:r w:rsidR="00996D62">
        <w:rPr>
          <w:rFonts w:ascii="Khula" w:hAnsi="Khula" w:cs="Khula"/>
          <w:sz w:val="24"/>
          <w:szCs w:val="24"/>
        </w:rPr>
        <w:t xml:space="preserve">company </w:t>
      </w:r>
      <w:r>
        <w:rPr>
          <w:rFonts w:ascii="Khula" w:hAnsi="Khula" w:cs="Khula"/>
          <w:sz w:val="24"/>
          <w:szCs w:val="24"/>
        </w:rPr>
        <w:t xml:space="preserve">to complete an airborne (Drone) high resolution magnetic survey of the property </w:t>
      </w:r>
      <w:r w:rsidR="00996D62">
        <w:rPr>
          <w:rFonts w:ascii="Khula" w:hAnsi="Khula" w:cs="Khula"/>
          <w:sz w:val="24"/>
          <w:szCs w:val="24"/>
        </w:rPr>
        <w:t xml:space="preserve">to assist with the geological and structural interpretation. This work is planned during the month of </w:t>
      </w:r>
      <w:r>
        <w:rPr>
          <w:rFonts w:ascii="Khula" w:hAnsi="Khula" w:cs="Khula"/>
          <w:sz w:val="24"/>
          <w:szCs w:val="24"/>
        </w:rPr>
        <w:t xml:space="preserve">April.    </w:t>
      </w:r>
      <w:r w:rsidR="006B3A1D">
        <w:rPr>
          <w:rFonts w:ascii="Khula" w:hAnsi="Khula" w:cs="Khula"/>
          <w:sz w:val="24"/>
          <w:szCs w:val="24"/>
        </w:rPr>
        <w:t xml:space="preserve">  </w:t>
      </w:r>
    </w:p>
    <w:p w14:paraId="60C531AE" w14:textId="006EBC54" w:rsidR="000B6FD7" w:rsidRDefault="000B6FD7" w:rsidP="00B42176">
      <w:pPr>
        <w:jc w:val="both"/>
        <w:rPr>
          <w:rFonts w:ascii="Khula" w:hAnsi="Khula" w:cs="Khula"/>
          <w:bCs/>
          <w:sz w:val="24"/>
          <w:szCs w:val="24"/>
          <w:lang w:val="en-US"/>
        </w:rPr>
      </w:pPr>
      <w:r>
        <w:rPr>
          <w:rFonts w:ascii="Khula" w:hAnsi="Khula" w:cs="Khula"/>
          <w:bCs/>
          <w:sz w:val="24"/>
          <w:szCs w:val="24"/>
          <w:lang w:val="en-US"/>
        </w:rPr>
        <w:t>As reported on March 29, 2021, t</w:t>
      </w:r>
      <w:r w:rsidRPr="00B42176">
        <w:rPr>
          <w:rFonts w:ascii="Khula" w:hAnsi="Khula" w:cs="Khula"/>
          <w:bCs/>
          <w:sz w:val="24"/>
          <w:szCs w:val="24"/>
          <w:lang w:val="en-US"/>
        </w:rPr>
        <w:t>he Property has an approved Exploration Permit PR-20-000368 that is valid until March 3, 2024</w:t>
      </w:r>
      <w:r>
        <w:rPr>
          <w:rFonts w:ascii="Khula" w:hAnsi="Khula" w:cs="Khula"/>
          <w:bCs/>
          <w:sz w:val="24"/>
          <w:szCs w:val="24"/>
          <w:lang w:val="en-US"/>
        </w:rPr>
        <w:t xml:space="preserve">. The Company will </w:t>
      </w:r>
      <w:r w:rsidR="00996D62">
        <w:rPr>
          <w:rFonts w:ascii="Khula" w:hAnsi="Khula" w:cs="Khula"/>
          <w:bCs/>
          <w:sz w:val="24"/>
          <w:szCs w:val="24"/>
          <w:lang w:val="en-US"/>
        </w:rPr>
        <w:t>also initiate</w:t>
      </w:r>
      <w:r>
        <w:rPr>
          <w:rFonts w:ascii="Khula" w:hAnsi="Khula" w:cs="Khula"/>
          <w:bCs/>
          <w:sz w:val="24"/>
          <w:szCs w:val="24"/>
          <w:lang w:val="en-US"/>
        </w:rPr>
        <w:t xml:space="preserve"> community consultations</w:t>
      </w:r>
      <w:r w:rsidR="00996D62">
        <w:rPr>
          <w:rFonts w:ascii="Khula" w:hAnsi="Khula" w:cs="Khula"/>
          <w:bCs/>
          <w:sz w:val="24"/>
          <w:szCs w:val="24"/>
          <w:lang w:val="en-US"/>
        </w:rPr>
        <w:t>, to be</w:t>
      </w:r>
      <w:r>
        <w:rPr>
          <w:rFonts w:ascii="Khula" w:hAnsi="Khula" w:cs="Khula"/>
          <w:bCs/>
          <w:sz w:val="24"/>
          <w:szCs w:val="24"/>
          <w:lang w:val="en-US"/>
        </w:rPr>
        <w:t xml:space="preserve"> </w:t>
      </w:r>
      <w:r w:rsidRPr="000B6FD7">
        <w:rPr>
          <w:rFonts w:ascii="Khula" w:hAnsi="Khula" w:cs="Khula"/>
          <w:bCs/>
          <w:sz w:val="24"/>
          <w:szCs w:val="24"/>
          <w:lang w:val="en-US"/>
        </w:rPr>
        <w:t>conducted under federal and provincial COVID-19 operating protocols and safety measures as required</w:t>
      </w:r>
      <w:r w:rsidR="00996D62">
        <w:rPr>
          <w:rFonts w:ascii="Khula" w:hAnsi="Khula" w:cs="Khula"/>
          <w:bCs/>
          <w:sz w:val="24"/>
          <w:szCs w:val="24"/>
          <w:lang w:val="en-US"/>
        </w:rPr>
        <w:t>.</w:t>
      </w:r>
    </w:p>
    <w:p w14:paraId="020F6D88" w14:textId="2AD5CD0E" w:rsidR="003D134F" w:rsidRPr="003D134F" w:rsidRDefault="003D134F" w:rsidP="003D134F">
      <w:pPr>
        <w:jc w:val="both"/>
        <w:rPr>
          <w:rFonts w:ascii="Khula" w:hAnsi="Khula" w:cs="Khula"/>
          <w:bCs/>
          <w:sz w:val="24"/>
          <w:szCs w:val="24"/>
        </w:rPr>
      </w:pPr>
      <w:r>
        <w:rPr>
          <w:rFonts w:ascii="Khula" w:hAnsi="Khula" w:cs="Khula"/>
          <w:bCs/>
          <w:sz w:val="24"/>
          <w:szCs w:val="24"/>
          <w:lang w:val="en-US"/>
        </w:rPr>
        <w:t xml:space="preserve">Rockland further announces </w:t>
      </w:r>
      <w:r w:rsidRPr="003D134F">
        <w:rPr>
          <w:rFonts w:ascii="Khula" w:hAnsi="Khula" w:cs="Khula"/>
          <w:bCs/>
          <w:sz w:val="24"/>
          <w:szCs w:val="24"/>
          <w:lang w:val="en-US"/>
        </w:rPr>
        <w:t>that it has arranged a non-brokered private placement of up to 1</w:t>
      </w:r>
      <w:r>
        <w:rPr>
          <w:rFonts w:ascii="Khula" w:hAnsi="Khula" w:cs="Khula"/>
          <w:bCs/>
          <w:sz w:val="24"/>
          <w:szCs w:val="24"/>
          <w:lang w:val="en-US"/>
        </w:rPr>
        <w:t>0</w:t>
      </w:r>
      <w:r w:rsidRPr="003D134F">
        <w:rPr>
          <w:rFonts w:ascii="Khula" w:hAnsi="Khula" w:cs="Khula"/>
          <w:bCs/>
          <w:sz w:val="24"/>
          <w:szCs w:val="24"/>
          <w:lang w:val="en-US"/>
        </w:rPr>
        <w:t xml:space="preserve"> million units ("Units") at a price of $0.</w:t>
      </w:r>
      <w:r>
        <w:rPr>
          <w:rFonts w:ascii="Khula" w:hAnsi="Khula" w:cs="Khula"/>
          <w:bCs/>
          <w:sz w:val="24"/>
          <w:szCs w:val="24"/>
          <w:lang w:val="en-US"/>
        </w:rPr>
        <w:t>20</w:t>
      </w:r>
      <w:r w:rsidRPr="003D134F">
        <w:rPr>
          <w:rFonts w:ascii="Khula" w:hAnsi="Khula" w:cs="Khula"/>
          <w:bCs/>
          <w:sz w:val="24"/>
          <w:szCs w:val="24"/>
          <w:lang w:val="en-US"/>
        </w:rPr>
        <w:t xml:space="preserve"> per Unit for aggregate gross proceeds of $</w:t>
      </w:r>
      <w:r>
        <w:rPr>
          <w:rFonts w:ascii="Khula" w:hAnsi="Khula" w:cs="Khula"/>
          <w:bCs/>
          <w:sz w:val="24"/>
          <w:szCs w:val="24"/>
          <w:lang w:val="en-US"/>
        </w:rPr>
        <w:t>2</w:t>
      </w:r>
      <w:r w:rsidRPr="003D134F">
        <w:rPr>
          <w:rFonts w:ascii="Khula" w:hAnsi="Khula" w:cs="Khula"/>
          <w:bCs/>
          <w:sz w:val="24"/>
          <w:szCs w:val="24"/>
          <w:lang w:val="en-US"/>
        </w:rPr>
        <w:t>,</w:t>
      </w:r>
      <w:r>
        <w:rPr>
          <w:rFonts w:ascii="Khula" w:hAnsi="Khula" w:cs="Khula"/>
          <w:bCs/>
          <w:sz w:val="24"/>
          <w:szCs w:val="24"/>
          <w:lang w:val="en-US"/>
        </w:rPr>
        <w:t>0</w:t>
      </w:r>
      <w:r w:rsidRPr="003D134F">
        <w:rPr>
          <w:rFonts w:ascii="Khula" w:hAnsi="Khula" w:cs="Khula"/>
          <w:bCs/>
          <w:sz w:val="24"/>
          <w:szCs w:val="24"/>
          <w:lang w:val="en-US"/>
        </w:rPr>
        <w:t>00,000.00 (the "Offering").  Each Unit will be comprised of one common share ("Share") and one half of one transferable Share purchase warrant of the Company ("Warrant").  Each whole Warrant will entitle the Subscriber to purchase one Warrant Share for a 24-month period after the Closing Date at an exercise price of $0.</w:t>
      </w:r>
      <w:r>
        <w:rPr>
          <w:rFonts w:ascii="Khula" w:hAnsi="Khula" w:cs="Khula"/>
          <w:bCs/>
          <w:sz w:val="24"/>
          <w:szCs w:val="24"/>
          <w:lang w:val="en-US"/>
        </w:rPr>
        <w:t>3</w:t>
      </w:r>
      <w:r w:rsidRPr="003D134F">
        <w:rPr>
          <w:rFonts w:ascii="Khula" w:hAnsi="Khula" w:cs="Khula"/>
          <w:bCs/>
          <w:sz w:val="24"/>
          <w:szCs w:val="24"/>
          <w:lang w:val="en-US"/>
        </w:rPr>
        <w:t xml:space="preserve">0 per share. </w:t>
      </w:r>
      <w:r w:rsidRPr="003D134F">
        <w:rPr>
          <w:rFonts w:ascii="Khula" w:hAnsi="Khula" w:cs="Khula"/>
          <w:bCs/>
          <w:sz w:val="24"/>
          <w:szCs w:val="24"/>
        </w:rPr>
        <w:t xml:space="preserve">Net proceeds of the Financing will be used to advance the </w:t>
      </w:r>
      <w:r>
        <w:rPr>
          <w:rFonts w:ascii="Khula" w:hAnsi="Khula" w:cs="Khula"/>
          <w:bCs/>
          <w:sz w:val="24"/>
          <w:szCs w:val="24"/>
        </w:rPr>
        <w:t>c</w:t>
      </w:r>
      <w:r w:rsidRPr="003D134F">
        <w:rPr>
          <w:rFonts w:ascii="Khula" w:hAnsi="Khula" w:cs="Khula"/>
          <w:bCs/>
          <w:sz w:val="24"/>
          <w:szCs w:val="24"/>
        </w:rPr>
        <w:t xml:space="preserve">orporation's </w:t>
      </w:r>
      <w:r>
        <w:rPr>
          <w:rFonts w:ascii="Khula" w:hAnsi="Khula" w:cs="Khula"/>
          <w:bCs/>
          <w:sz w:val="24"/>
          <w:szCs w:val="24"/>
          <w:lang w:val="en-US"/>
        </w:rPr>
        <w:t>Cole Gold Mines project</w:t>
      </w:r>
      <w:r w:rsidRPr="003D134F">
        <w:rPr>
          <w:rFonts w:ascii="Khula" w:hAnsi="Khula" w:cs="Khula"/>
          <w:bCs/>
          <w:sz w:val="24"/>
          <w:szCs w:val="24"/>
          <w:lang w:val="en-US"/>
        </w:rPr>
        <w:t xml:space="preserve"> </w:t>
      </w:r>
      <w:r w:rsidRPr="00B42176">
        <w:rPr>
          <w:rFonts w:ascii="Khula" w:hAnsi="Khula" w:cs="Khula"/>
          <w:sz w:val="24"/>
          <w:szCs w:val="24"/>
        </w:rPr>
        <w:t>Ball Township, Red Lake Mining District</w:t>
      </w:r>
      <w:r w:rsidRPr="003D134F">
        <w:rPr>
          <w:rFonts w:ascii="Khula" w:hAnsi="Khula" w:cs="Khula"/>
          <w:bCs/>
          <w:sz w:val="24"/>
          <w:szCs w:val="24"/>
          <w:lang w:val="en-US"/>
        </w:rPr>
        <w:t xml:space="preserve"> and for </w:t>
      </w:r>
      <w:r w:rsidRPr="003D134F">
        <w:rPr>
          <w:rFonts w:ascii="Khula" w:hAnsi="Khula" w:cs="Khula"/>
          <w:bCs/>
          <w:sz w:val="24"/>
          <w:szCs w:val="24"/>
        </w:rPr>
        <w:t>general working capital purposes</w:t>
      </w:r>
      <w:r>
        <w:rPr>
          <w:rFonts w:ascii="Khula" w:hAnsi="Khula" w:cs="Khula"/>
          <w:bCs/>
          <w:sz w:val="24"/>
          <w:szCs w:val="24"/>
        </w:rPr>
        <w:t>.</w:t>
      </w:r>
      <w:r>
        <w:rPr>
          <w:rFonts w:ascii="Khula" w:hAnsi="Khula" w:cs="Khula"/>
          <w:bCs/>
          <w:sz w:val="24"/>
          <w:szCs w:val="24"/>
          <w:lang w:val="en-US"/>
        </w:rPr>
        <w:t xml:space="preserve"> </w:t>
      </w:r>
    </w:p>
    <w:p w14:paraId="35F3EF6E" w14:textId="2A470476" w:rsidR="003D134F" w:rsidRPr="003D134F" w:rsidRDefault="003D134F" w:rsidP="003D134F">
      <w:pPr>
        <w:jc w:val="both"/>
        <w:rPr>
          <w:rFonts w:ascii="Khula" w:hAnsi="Khula" w:cs="Khula"/>
          <w:bCs/>
          <w:sz w:val="24"/>
          <w:szCs w:val="24"/>
        </w:rPr>
      </w:pPr>
      <w:r w:rsidRPr="003D134F">
        <w:rPr>
          <w:rFonts w:ascii="Khula" w:hAnsi="Khula" w:cs="Khula"/>
          <w:bCs/>
          <w:sz w:val="24"/>
          <w:szCs w:val="24"/>
        </w:rPr>
        <w:lastRenderedPageBreak/>
        <w:t xml:space="preserve">Shares issued pursuant to the Financing will be subject to a four-month hold period according to applicable securities laws of Canada. </w:t>
      </w:r>
    </w:p>
    <w:p w14:paraId="6A3516E4" w14:textId="77777777" w:rsidR="003D134F" w:rsidRPr="003D134F" w:rsidRDefault="003D134F" w:rsidP="003D134F">
      <w:pPr>
        <w:jc w:val="both"/>
        <w:rPr>
          <w:rFonts w:ascii="Khula" w:hAnsi="Khula" w:cs="Khula"/>
          <w:bCs/>
          <w:sz w:val="24"/>
          <w:szCs w:val="24"/>
          <w:lang w:val="en-US"/>
        </w:rPr>
      </w:pPr>
      <w:r w:rsidRPr="003D134F">
        <w:rPr>
          <w:rFonts w:ascii="Khula" w:hAnsi="Khula" w:cs="Khula"/>
          <w:bCs/>
          <w:sz w:val="24"/>
          <w:szCs w:val="24"/>
          <w:lang w:val="en-US"/>
        </w:rPr>
        <w:t>Finders' fees may be payable on the private placement, subject to the policies of the Canadian Securities Exchange.</w:t>
      </w:r>
    </w:p>
    <w:p w14:paraId="333B8ECD" w14:textId="11BC110E" w:rsidR="003D134F" w:rsidRDefault="003D134F" w:rsidP="00B42176">
      <w:pPr>
        <w:jc w:val="both"/>
        <w:rPr>
          <w:rFonts w:ascii="Khula" w:hAnsi="Khula" w:cs="Khula"/>
          <w:bCs/>
          <w:sz w:val="24"/>
          <w:szCs w:val="24"/>
          <w:lang w:val="en-US"/>
        </w:rPr>
      </w:pPr>
    </w:p>
    <w:p w14:paraId="5ACD936D" w14:textId="7FDB47BA" w:rsidR="00C21D43" w:rsidRPr="00B42176" w:rsidRDefault="00C21D43" w:rsidP="00B42176">
      <w:pPr>
        <w:jc w:val="both"/>
        <w:rPr>
          <w:rFonts w:ascii="Khula" w:hAnsi="Khula" w:cs="Khula"/>
          <w:i/>
          <w:iCs/>
          <w:sz w:val="24"/>
          <w:szCs w:val="24"/>
        </w:rPr>
      </w:pPr>
      <w:r w:rsidRPr="00B42176">
        <w:rPr>
          <w:rFonts w:ascii="Khula" w:hAnsi="Khula" w:cs="Khula"/>
          <w:i/>
          <w:iCs/>
          <w:sz w:val="24"/>
          <w:szCs w:val="24"/>
        </w:rPr>
        <w:t>The reader is cautioned that historic data and information presented above were completed prior to the implementation of National Instrument 43-101 and must be considered only as a historic reference. Neither the Company nor its Qualified Person have completed sufficient work to verify this historic drill hole, and they should not be relied upon.</w:t>
      </w:r>
    </w:p>
    <w:p w14:paraId="2A058E90" w14:textId="4A99D4DE" w:rsidR="00C21D43" w:rsidRPr="00B42176" w:rsidRDefault="00C21D43" w:rsidP="00B42176">
      <w:pPr>
        <w:jc w:val="both"/>
        <w:rPr>
          <w:rFonts w:ascii="Khula" w:hAnsi="Khula" w:cs="Khula"/>
          <w:sz w:val="24"/>
          <w:szCs w:val="24"/>
        </w:rPr>
      </w:pPr>
      <w:r w:rsidRPr="00B42176">
        <w:rPr>
          <w:rFonts w:ascii="Khula" w:hAnsi="Khula" w:cs="Khula"/>
          <w:sz w:val="24"/>
          <w:szCs w:val="24"/>
        </w:rPr>
        <w:t>Qualified Person</w:t>
      </w:r>
    </w:p>
    <w:p w14:paraId="733AA328" w14:textId="272D1A94" w:rsidR="00C21D43" w:rsidRPr="00B42176" w:rsidRDefault="00C21D43" w:rsidP="00B42176">
      <w:pPr>
        <w:jc w:val="both"/>
        <w:rPr>
          <w:rFonts w:ascii="Khula" w:hAnsi="Khula" w:cs="Khula"/>
          <w:sz w:val="24"/>
          <w:szCs w:val="24"/>
        </w:rPr>
      </w:pPr>
      <w:r w:rsidRPr="00B42176">
        <w:rPr>
          <w:rFonts w:ascii="Khula" w:hAnsi="Khula" w:cs="Khula"/>
          <w:sz w:val="24"/>
          <w:szCs w:val="24"/>
        </w:rPr>
        <w:t xml:space="preserve">Garry Clark </w:t>
      </w:r>
      <w:proofErr w:type="spellStart"/>
      <w:r w:rsidRPr="00B42176">
        <w:rPr>
          <w:rFonts w:ascii="Khula" w:hAnsi="Khula" w:cs="Khula"/>
          <w:sz w:val="24"/>
          <w:szCs w:val="24"/>
        </w:rPr>
        <w:t>P.Geo</w:t>
      </w:r>
      <w:proofErr w:type="spellEnd"/>
      <w:r w:rsidRPr="00B42176">
        <w:rPr>
          <w:rFonts w:ascii="Khula" w:hAnsi="Khula" w:cs="Khula"/>
          <w:sz w:val="24"/>
          <w:szCs w:val="24"/>
        </w:rPr>
        <w:t xml:space="preserve">., a Qualified Person under National Instrument 43-101, is the Qualified Person responsible for reviewing and approving the technical contents of this news release as they pertain to the Cole </w:t>
      </w:r>
      <w:r w:rsidR="00D53D10" w:rsidRPr="00B42176">
        <w:rPr>
          <w:rFonts w:ascii="Khula" w:hAnsi="Khula" w:cs="Khula"/>
          <w:sz w:val="24"/>
          <w:szCs w:val="24"/>
        </w:rPr>
        <w:t xml:space="preserve">Gold </w:t>
      </w:r>
      <w:r w:rsidRPr="00B42176">
        <w:rPr>
          <w:rFonts w:ascii="Khula" w:hAnsi="Khula" w:cs="Khula"/>
          <w:sz w:val="24"/>
          <w:szCs w:val="24"/>
        </w:rPr>
        <w:t>Mine</w:t>
      </w:r>
      <w:r w:rsidR="008A0672">
        <w:rPr>
          <w:rFonts w:ascii="Khula" w:hAnsi="Khula" w:cs="Khula"/>
          <w:sz w:val="24"/>
          <w:szCs w:val="24"/>
        </w:rPr>
        <w:t>s</w:t>
      </w:r>
      <w:r w:rsidRPr="00B42176">
        <w:rPr>
          <w:rFonts w:ascii="Khula" w:hAnsi="Khula" w:cs="Khula"/>
          <w:sz w:val="24"/>
          <w:szCs w:val="24"/>
        </w:rPr>
        <w:t xml:space="preserve"> Property.</w:t>
      </w:r>
    </w:p>
    <w:p w14:paraId="346951AB" w14:textId="58485787" w:rsidR="00352A02" w:rsidRPr="00B42176" w:rsidRDefault="00352A02" w:rsidP="00B42176">
      <w:pPr>
        <w:rPr>
          <w:rFonts w:ascii="Khula" w:hAnsi="Khula" w:cs="Khula"/>
          <w:b/>
          <w:sz w:val="24"/>
          <w:szCs w:val="24"/>
        </w:rPr>
      </w:pPr>
      <w:r w:rsidRPr="00B42176">
        <w:rPr>
          <w:rFonts w:ascii="Khula" w:hAnsi="Khula" w:cs="Khula"/>
          <w:b/>
          <w:sz w:val="24"/>
          <w:szCs w:val="24"/>
        </w:rPr>
        <w:t xml:space="preserve">About </w:t>
      </w:r>
      <w:r w:rsidR="005F361F" w:rsidRPr="00B42176">
        <w:rPr>
          <w:rFonts w:ascii="Khula" w:hAnsi="Khula" w:cs="Khula"/>
          <w:b/>
          <w:sz w:val="24"/>
          <w:szCs w:val="24"/>
        </w:rPr>
        <w:t>Rockland</w:t>
      </w:r>
      <w:r w:rsidR="00B72918" w:rsidRPr="00B42176">
        <w:rPr>
          <w:rFonts w:ascii="Khula" w:hAnsi="Khula" w:cs="Khula"/>
          <w:b/>
          <w:sz w:val="24"/>
          <w:szCs w:val="24"/>
        </w:rPr>
        <w:t xml:space="preserve"> Resources Ltd</w:t>
      </w:r>
      <w:r w:rsidR="00A938A1" w:rsidRPr="00B42176">
        <w:rPr>
          <w:rFonts w:ascii="Khula" w:hAnsi="Khula" w:cs="Khula"/>
          <w:b/>
          <w:sz w:val="24"/>
          <w:szCs w:val="24"/>
        </w:rPr>
        <w:t>.</w:t>
      </w:r>
    </w:p>
    <w:p w14:paraId="459D2D16" w14:textId="319AB6AA" w:rsidR="009466C7" w:rsidRPr="00B42176" w:rsidRDefault="005F361F" w:rsidP="00B42176">
      <w:pPr>
        <w:jc w:val="both"/>
        <w:rPr>
          <w:rFonts w:ascii="Khula" w:hAnsi="Khula" w:cs="Khula"/>
          <w:sz w:val="24"/>
          <w:szCs w:val="24"/>
        </w:rPr>
      </w:pPr>
      <w:r w:rsidRPr="00B42176">
        <w:rPr>
          <w:rFonts w:ascii="Khula" w:hAnsi="Khula" w:cs="Khula"/>
          <w:sz w:val="24"/>
          <w:szCs w:val="24"/>
        </w:rPr>
        <w:t>Rockland</w:t>
      </w:r>
      <w:r w:rsidR="00B72918" w:rsidRPr="00B42176">
        <w:rPr>
          <w:rFonts w:ascii="Khula" w:hAnsi="Khula" w:cs="Khula"/>
          <w:sz w:val="24"/>
          <w:szCs w:val="24"/>
        </w:rPr>
        <w:t xml:space="preserve"> Resources</w:t>
      </w:r>
      <w:r w:rsidR="00A87955" w:rsidRPr="00B42176">
        <w:rPr>
          <w:rFonts w:ascii="Khula" w:hAnsi="Khula" w:cs="Khula"/>
          <w:sz w:val="24"/>
          <w:szCs w:val="24"/>
        </w:rPr>
        <w:t xml:space="preserve"> </w:t>
      </w:r>
      <w:r w:rsidR="00352A02" w:rsidRPr="00B42176">
        <w:rPr>
          <w:rFonts w:ascii="Khula" w:hAnsi="Khula" w:cs="Khula"/>
          <w:sz w:val="24"/>
          <w:szCs w:val="24"/>
        </w:rPr>
        <w:t xml:space="preserve">is engaged in the business of mineral exploration and the acquisition of mineral property assets in </w:t>
      </w:r>
      <w:r w:rsidR="00136B76" w:rsidRPr="00B42176">
        <w:rPr>
          <w:rFonts w:ascii="Khula" w:hAnsi="Khula" w:cs="Khula"/>
          <w:sz w:val="24"/>
          <w:szCs w:val="24"/>
        </w:rPr>
        <w:t>Canada</w:t>
      </w:r>
      <w:r w:rsidR="00352A02" w:rsidRPr="00B42176">
        <w:rPr>
          <w:rFonts w:ascii="Khula" w:hAnsi="Khula" w:cs="Khula"/>
          <w:sz w:val="24"/>
          <w:szCs w:val="24"/>
        </w:rPr>
        <w:t xml:space="preserve">.  Its objective is to locate and develop economic precious and base metal properties of merit and to conduct its exploration program on the </w:t>
      </w:r>
      <w:r w:rsidR="008A0672">
        <w:rPr>
          <w:rFonts w:ascii="Khula" w:hAnsi="Khula" w:cs="Khula"/>
          <w:sz w:val="24"/>
          <w:szCs w:val="24"/>
        </w:rPr>
        <w:t>properties</w:t>
      </w:r>
      <w:r w:rsidR="00352A02" w:rsidRPr="00B42176">
        <w:rPr>
          <w:rFonts w:ascii="Khula" w:hAnsi="Khula" w:cs="Khula"/>
          <w:sz w:val="24"/>
          <w:szCs w:val="24"/>
        </w:rPr>
        <w:t xml:space="preserve">.  </w:t>
      </w:r>
      <w:r w:rsidR="008A0672">
        <w:rPr>
          <w:rFonts w:ascii="Khula" w:hAnsi="Khula" w:cs="Khula"/>
          <w:sz w:val="24"/>
          <w:szCs w:val="24"/>
        </w:rPr>
        <w:t>In addition to the Cole Gold Property, Rockland is exploring t</w:t>
      </w:r>
      <w:r w:rsidR="006F259E" w:rsidRPr="00B42176">
        <w:rPr>
          <w:rFonts w:ascii="Khula" w:hAnsi="Khula" w:cs="Khula"/>
          <w:sz w:val="24"/>
          <w:szCs w:val="24"/>
        </w:rPr>
        <w:t xml:space="preserve">he </w:t>
      </w:r>
      <w:r w:rsidR="00A15F2B" w:rsidRPr="00B42176">
        <w:rPr>
          <w:rFonts w:ascii="Khula" w:hAnsi="Khula" w:cs="Khula"/>
          <w:sz w:val="24"/>
          <w:szCs w:val="24"/>
        </w:rPr>
        <w:t>Summit Old Timer</w:t>
      </w:r>
      <w:r w:rsidR="00136B76" w:rsidRPr="00B42176">
        <w:rPr>
          <w:rFonts w:ascii="Khula" w:hAnsi="Khula" w:cs="Khula"/>
          <w:sz w:val="24"/>
          <w:szCs w:val="24"/>
        </w:rPr>
        <w:t xml:space="preserve"> </w:t>
      </w:r>
      <w:r w:rsidR="008E1BE0" w:rsidRPr="00B42176">
        <w:rPr>
          <w:rFonts w:ascii="Khula" w:hAnsi="Khula" w:cs="Khula"/>
          <w:sz w:val="24"/>
          <w:szCs w:val="24"/>
        </w:rPr>
        <w:t xml:space="preserve">Property </w:t>
      </w:r>
      <w:r w:rsidR="008A0672">
        <w:rPr>
          <w:rFonts w:ascii="Khula" w:hAnsi="Khula" w:cs="Khula"/>
          <w:sz w:val="24"/>
          <w:szCs w:val="24"/>
        </w:rPr>
        <w:t xml:space="preserve">that </w:t>
      </w:r>
      <w:r w:rsidR="006F259E" w:rsidRPr="00B42176">
        <w:rPr>
          <w:rFonts w:ascii="Khula" w:hAnsi="Khula" w:cs="Khula"/>
          <w:sz w:val="24"/>
          <w:szCs w:val="24"/>
        </w:rPr>
        <w:t xml:space="preserve">consists of </w:t>
      </w:r>
      <w:r w:rsidR="002E0F15" w:rsidRPr="00B42176">
        <w:rPr>
          <w:rFonts w:ascii="Khula" w:hAnsi="Khula" w:cs="Khula"/>
          <w:sz w:val="24"/>
          <w:szCs w:val="24"/>
        </w:rPr>
        <w:t>three (3)</w:t>
      </w:r>
      <w:r w:rsidR="00B72918" w:rsidRPr="00B42176">
        <w:rPr>
          <w:rFonts w:ascii="Khula" w:hAnsi="Khula" w:cs="Khula"/>
          <w:sz w:val="24"/>
          <w:szCs w:val="24"/>
        </w:rPr>
        <w:t xml:space="preserve"> mineral claims covering an area of </w:t>
      </w:r>
      <w:r w:rsidR="006A3A9F" w:rsidRPr="00B42176">
        <w:rPr>
          <w:rFonts w:ascii="Khula" w:hAnsi="Khula" w:cs="Khula"/>
          <w:sz w:val="24"/>
          <w:szCs w:val="24"/>
        </w:rPr>
        <w:t xml:space="preserve">1,915 </w:t>
      </w:r>
      <w:r w:rsidR="00B72918" w:rsidRPr="00B42176">
        <w:rPr>
          <w:rFonts w:ascii="Khula" w:hAnsi="Khula" w:cs="Khula"/>
          <w:sz w:val="24"/>
          <w:szCs w:val="24"/>
        </w:rPr>
        <w:t>hectares located</w:t>
      </w:r>
      <w:r w:rsidR="00C46421" w:rsidRPr="00B42176">
        <w:rPr>
          <w:rFonts w:ascii="Khula" w:hAnsi="Khula" w:cs="Khula"/>
          <w:sz w:val="24"/>
          <w:szCs w:val="24"/>
        </w:rPr>
        <w:t xml:space="preserve"> </w:t>
      </w:r>
      <w:r w:rsidR="009466C7" w:rsidRPr="00B42176">
        <w:rPr>
          <w:rFonts w:ascii="Khula" w:hAnsi="Khula" w:cs="Khula"/>
          <w:sz w:val="24"/>
          <w:szCs w:val="24"/>
        </w:rPr>
        <w:t>approximately 17 km southeast of the City of Nelson, within the Nelson Mining Division, British Columbia</w:t>
      </w:r>
      <w:r w:rsidR="00C46421" w:rsidRPr="00B42176">
        <w:rPr>
          <w:rFonts w:ascii="Khula" w:hAnsi="Khula" w:cs="Khula"/>
          <w:sz w:val="24"/>
          <w:szCs w:val="24"/>
        </w:rPr>
        <w:t>.</w:t>
      </w:r>
    </w:p>
    <w:p w14:paraId="6B0879B0" w14:textId="34686340" w:rsidR="00352A02" w:rsidRPr="00B42176" w:rsidRDefault="00352A02" w:rsidP="00B42176">
      <w:pPr>
        <w:jc w:val="both"/>
        <w:rPr>
          <w:rFonts w:ascii="Khula" w:hAnsi="Khula" w:cs="Khula"/>
          <w:sz w:val="24"/>
          <w:szCs w:val="24"/>
        </w:rPr>
      </w:pPr>
      <w:r w:rsidRPr="00B42176">
        <w:rPr>
          <w:rFonts w:ascii="Khula" w:hAnsi="Khula" w:cs="Khula"/>
          <w:sz w:val="24"/>
          <w:szCs w:val="24"/>
        </w:rPr>
        <w:lastRenderedPageBreak/>
        <w:t xml:space="preserve">For more information, please refer to the Company's prospectus dated </w:t>
      </w:r>
      <w:bookmarkStart w:id="0" w:name="_Hlk35352474"/>
      <w:r w:rsidR="001103B0" w:rsidRPr="00B42176">
        <w:rPr>
          <w:rFonts w:ascii="Khula" w:hAnsi="Khula" w:cs="Khula"/>
          <w:sz w:val="24"/>
          <w:szCs w:val="24"/>
        </w:rPr>
        <w:t>February 3, 2021</w:t>
      </w:r>
      <w:r w:rsidRPr="00B42176">
        <w:rPr>
          <w:rFonts w:ascii="Khula" w:hAnsi="Khula" w:cs="Khula"/>
          <w:sz w:val="24"/>
          <w:szCs w:val="24"/>
        </w:rPr>
        <w:t xml:space="preserve"> </w:t>
      </w:r>
      <w:bookmarkEnd w:id="0"/>
      <w:r w:rsidRPr="00B42176">
        <w:rPr>
          <w:rFonts w:ascii="Khula" w:hAnsi="Khula" w:cs="Khula"/>
          <w:sz w:val="24"/>
          <w:szCs w:val="24"/>
        </w:rPr>
        <w:t>available on SEDAR (www.sedar.com).</w:t>
      </w:r>
    </w:p>
    <w:p w14:paraId="5D71D350" w14:textId="77777777" w:rsidR="00352A02" w:rsidRPr="00B42176" w:rsidRDefault="00352A02" w:rsidP="00B42176">
      <w:pPr>
        <w:keepNext/>
        <w:keepLines/>
        <w:jc w:val="both"/>
        <w:rPr>
          <w:rFonts w:ascii="Khula" w:hAnsi="Khula" w:cs="Khula"/>
          <w:b/>
          <w:sz w:val="24"/>
          <w:szCs w:val="24"/>
        </w:rPr>
      </w:pPr>
      <w:r w:rsidRPr="00B42176">
        <w:rPr>
          <w:rFonts w:ascii="Khula" w:hAnsi="Khula" w:cs="Khula"/>
          <w:b/>
          <w:sz w:val="24"/>
          <w:szCs w:val="24"/>
        </w:rPr>
        <w:t>On Behalf of the Board of Directors</w:t>
      </w:r>
    </w:p>
    <w:p w14:paraId="41A59FA1" w14:textId="27AFF07E" w:rsidR="00352A02" w:rsidRPr="00B42176" w:rsidRDefault="00D53D10" w:rsidP="0039006A">
      <w:pPr>
        <w:keepNext/>
        <w:keepLines/>
        <w:rPr>
          <w:rFonts w:ascii="Khula" w:hAnsi="Khula" w:cs="Khula"/>
          <w:sz w:val="24"/>
          <w:szCs w:val="24"/>
        </w:rPr>
      </w:pPr>
      <w:r w:rsidRPr="00B42176">
        <w:rPr>
          <w:rFonts w:ascii="Khula" w:hAnsi="Khula" w:cs="Khula"/>
          <w:sz w:val="24"/>
          <w:szCs w:val="24"/>
        </w:rPr>
        <w:t>Mike England</w:t>
      </w:r>
      <w:r w:rsidR="0039006A">
        <w:rPr>
          <w:rFonts w:ascii="Khula" w:hAnsi="Khula" w:cs="Khula"/>
          <w:sz w:val="24"/>
          <w:szCs w:val="24"/>
        </w:rPr>
        <w:br/>
      </w:r>
      <w:r w:rsidRPr="00B42176">
        <w:rPr>
          <w:rFonts w:ascii="Khula" w:hAnsi="Khula" w:cs="Khula"/>
          <w:sz w:val="24"/>
          <w:szCs w:val="24"/>
        </w:rPr>
        <w:t>CEO, President and Director</w:t>
      </w:r>
    </w:p>
    <w:p w14:paraId="65EBDE60" w14:textId="77777777" w:rsidR="00352A02" w:rsidRPr="00B42176" w:rsidRDefault="00352A02" w:rsidP="00B42176">
      <w:pPr>
        <w:jc w:val="both"/>
        <w:rPr>
          <w:rFonts w:ascii="Khula" w:hAnsi="Khula" w:cs="Khula"/>
          <w:b/>
          <w:sz w:val="24"/>
          <w:szCs w:val="24"/>
        </w:rPr>
      </w:pPr>
      <w:r w:rsidRPr="00B42176">
        <w:rPr>
          <w:rFonts w:ascii="Khula" w:hAnsi="Khula" w:cs="Khula"/>
          <w:b/>
          <w:sz w:val="24"/>
          <w:szCs w:val="24"/>
        </w:rPr>
        <w:t>For further information, please contact:</w:t>
      </w:r>
    </w:p>
    <w:p w14:paraId="4617A5D2" w14:textId="3C38AA5B" w:rsidR="00D53D10" w:rsidRPr="00B42176" w:rsidRDefault="00D53D10" w:rsidP="0039006A">
      <w:pPr>
        <w:keepNext/>
        <w:keepLines/>
        <w:rPr>
          <w:rFonts w:ascii="Khula" w:hAnsi="Khula" w:cs="Khula"/>
          <w:sz w:val="24"/>
          <w:szCs w:val="24"/>
        </w:rPr>
      </w:pPr>
      <w:r w:rsidRPr="00B42176">
        <w:rPr>
          <w:rFonts w:ascii="Khula" w:hAnsi="Khula" w:cs="Khula"/>
          <w:sz w:val="24"/>
          <w:szCs w:val="24"/>
        </w:rPr>
        <w:t>Mike England</w:t>
      </w:r>
      <w:r w:rsidR="0039006A">
        <w:rPr>
          <w:rFonts w:ascii="Khula" w:hAnsi="Khula" w:cs="Khula"/>
          <w:sz w:val="24"/>
          <w:szCs w:val="24"/>
        </w:rPr>
        <w:br/>
        <w:t>Office</w:t>
      </w:r>
      <w:r w:rsidR="00F00B1D" w:rsidRPr="00B42176">
        <w:rPr>
          <w:rFonts w:ascii="Khula" w:hAnsi="Khula" w:cs="Khula"/>
          <w:sz w:val="24"/>
          <w:szCs w:val="24"/>
        </w:rPr>
        <w:t>: 604-683-3995</w:t>
      </w:r>
      <w:r w:rsidR="0039006A">
        <w:rPr>
          <w:rFonts w:ascii="Khula" w:hAnsi="Khula" w:cs="Khula"/>
          <w:sz w:val="24"/>
          <w:szCs w:val="24"/>
        </w:rPr>
        <w:br/>
      </w:r>
      <w:r w:rsidR="008C1AB4" w:rsidRPr="00B42176">
        <w:rPr>
          <w:rFonts w:ascii="Khula" w:hAnsi="Khula" w:cs="Khula"/>
          <w:sz w:val="24"/>
          <w:szCs w:val="24"/>
        </w:rPr>
        <w:t xml:space="preserve">Email:  </w:t>
      </w:r>
      <w:hyperlink r:id="rId9" w:history="1">
        <w:r w:rsidRPr="00B42176">
          <w:rPr>
            <w:rStyle w:val="Hyperlink"/>
            <w:rFonts w:ascii="Khula" w:hAnsi="Khula" w:cs="Khula"/>
            <w:sz w:val="24"/>
            <w:szCs w:val="24"/>
          </w:rPr>
          <w:t>mike@engcom.ca</w:t>
        </w:r>
      </w:hyperlink>
    </w:p>
    <w:p w14:paraId="014ABB25" w14:textId="5610303E" w:rsidR="00352A02" w:rsidRPr="00B42176" w:rsidRDefault="00352A02" w:rsidP="00B42176">
      <w:pPr>
        <w:jc w:val="both"/>
        <w:rPr>
          <w:rFonts w:ascii="Khula" w:hAnsi="Khula" w:cs="Khula"/>
          <w:b/>
          <w:sz w:val="20"/>
          <w:szCs w:val="20"/>
        </w:rPr>
      </w:pPr>
      <w:r w:rsidRPr="00B42176">
        <w:rPr>
          <w:rFonts w:ascii="Khula" w:hAnsi="Khula" w:cs="Khula"/>
          <w:b/>
          <w:sz w:val="20"/>
          <w:szCs w:val="20"/>
        </w:rPr>
        <w:t>Forward-Looking Statements:</w:t>
      </w:r>
    </w:p>
    <w:p w14:paraId="242452CF" w14:textId="175E556D" w:rsidR="003E5488" w:rsidRPr="00B42176" w:rsidRDefault="007D6277" w:rsidP="00B42176">
      <w:pPr>
        <w:widowControl w:val="0"/>
        <w:jc w:val="both"/>
        <w:rPr>
          <w:rFonts w:ascii="Khula" w:hAnsi="Khula" w:cs="Khula"/>
          <w:sz w:val="20"/>
          <w:szCs w:val="20"/>
        </w:rPr>
      </w:pPr>
      <w:r w:rsidRPr="00B42176">
        <w:rPr>
          <w:rFonts w:ascii="Khula" w:hAnsi="Khula" w:cs="Khula"/>
          <w:sz w:val="20"/>
          <w:szCs w:val="20"/>
        </w:rPr>
        <w:t xml:space="preserve">This news release includes certain forward-looking statements and forward-looking information (collectively, </w:t>
      </w:r>
      <w:r w:rsidR="00833DA9" w:rsidRPr="00B42176">
        <w:rPr>
          <w:rFonts w:ascii="Khula" w:hAnsi="Khula" w:cs="Khula"/>
          <w:sz w:val="20"/>
          <w:szCs w:val="20"/>
        </w:rPr>
        <w:t>"</w:t>
      </w:r>
      <w:r w:rsidRPr="00B42176">
        <w:rPr>
          <w:rFonts w:ascii="Khula" w:hAnsi="Khula" w:cs="Khula"/>
          <w:sz w:val="20"/>
          <w:szCs w:val="20"/>
        </w:rPr>
        <w:t>forward-looking statements</w:t>
      </w:r>
      <w:r w:rsidR="00833DA9" w:rsidRPr="00B42176">
        <w:rPr>
          <w:rFonts w:ascii="Khula" w:hAnsi="Khula" w:cs="Khula"/>
          <w:sz w:val="20"/>
          <w:szCs w:val="20"/>
        </w:rPr>
        <w:t>"</w:t>
      </w:r>
      <w:r w:rsidRPr="00B42176">
        <w:rPr>
          <w:rFonts w:ascii="Khula" w:hAnsi="Khula" w:cs="Khula"/>
          <w:sz w:val="20"/>
          <w:szCs w:val="20"/>
        </w:rPr>
        <w:t xml:space="preserve">) within the meaning of applicable Canadian securities legislation.  All statements, other than statements of historical fact, included herein including, without limitation, statements regarding future capital expenditures, anticipated content, commencement, and cost of exploration programs in respect of the Company's projects and mineral properties, anticipated exploration program results from exploration activities, resources and/or reserves on the Company's projects and mineral properties, and the anticipated business plans and timing of future activities of the Company, are forward-looking statements.  Although the Company believes that such statements are reasonable, it can give no assurance that such expectations will prove to be correct.  Often, but not always, forward looking information can be identified by words such as "pro forma", "plans", "expects", </w:t>
      </w:r>
      <w:r w:rsidR="00136B76" w:rsidRPr="00B42176">
        <w:rPr>
          <w:rFonts w:ascii="Khula" w:hAnsi="Khula" w:cs="Khula"/>
          <w:sz w:val="20"/>
          <w:szCs w:val="20"/>
        </w:rPr>
        <w:t xml:space="preserve">"will", </w:t>
      </w:r>
      <w:r w:rsidRPr="00B42176">
        <w:rPr>
          <w:rFonts w:ascii="Khula" w:hAnsi="Khula" w:cs="Khula"/>
          <w:sz w:val="20"/>
          <w:szCs w:val="20"/>
        </w:rPr>
        <w:t>"may", "should", "budget", "scheduled", "estimates", "forecasts", "intends", "anticipates", "believes", "potential" or variations of such words including negative variations thereof, and phrases that refer to certain actions, events or results that may, could, would, might or will occur or be taken or achieved.</w:t>
      </w:r>
      <w:r w:rsidR="003E5488" w:rsidRPr="00B42176">
        <w:rPr>
          <w:rFonts w:ascii="Khula" w:hAnsi="Khula" w:cs="Khula"/>
          <w:sz w:val="20"/>
          <w:szCs w:val="20"/>
        </w:rPr>
        <w:t xml:space="preserve">  In making the forward-looking statements in this news release, the Company has applied several material assumptions, including without limitation, that market fundamentals will result in sustained precious and base metals demand and prices, the receipt of any necessary permits, licenses and regulatory approvals in connection with the future exploration of the Company's properties, that the COVID-</w:t>
      </w:r>
      <w:r w:rsidR="003E5488" w:rsidRPr="00B42176">
        <w:rPr>
          <w:rFonts w:ascii="Khula" w:hAnsi="Khula" w:cs="Khula"/>
          <w:sz w:val="20"/>
          <w:szCs w:val="20"/>
        </w:rPr>
        <w:lastRenderedPageBreak/>
        <w:t>19 global pandemic will not affect the ability of the Company to conduct the exploration program</w:t>
      </w:r>
      <w:r w:rsidR="008A0672">
        <w:rPr>
          <w:rFonts w:ascii="Khula" w:hAnsi="Khula" w:cs="Khula"/>
          <w:sz w:val="20"/>
          <w:szCs w:val="20"/>
        </w:rPr>
        <w:t>s</w:t>
      </w:r>
      <w:r w:rsidR="003E5488" w:rsidRPr="00B42176">
        <w:rPr>
          <w:rFonts w:ascii="Khula" w:hAnsi="Khula" w:cs="Khula"/>
          <w:sz w:val="20"/>
          <w:szCs w:val="20"/>
        </w:rPr>
        <w:t xml:space="preserve"> on the </w:t>
      </w:r>
      <w:r w:rsidR="008A0672">
        <w:rPr>
          <w:rFonts w:ascii="Khula" w:hAnsi="Khula" w:cs="Khula"/>
          <w:sz w:val="20"/>
          <w:szCs w:val="20"/>
        </w:rPr>
        <w:t xml:space="preserve">Cole Gold Mines and </w:t>
      </w:r>
      <w:r w:rsidR="00657A15" w:rsidRPr="00B42176">
        <w:rPr>
          <w:rFonts w:ascii="Khula" w:hAnsi="Khula" w:cs="Khula"/>
          <w:sz w:val="20"/>
          <w:szCs w:val="20"/>
        </w:rPr>
        <w:t>Summit Old Time</w:t>
      </w:r>
      <w:r w:rsidR="006A6A8D" w:rsidRPr="00B42176">
        <w:rPr>
          <w:rFonts w:ascii="Khula" w:hAnsi="Khula" w:cs="Khula"/>
          <w:sz w:val="20"/>
          <w:szCs w:val="20"/>
        </w:rPr>
        <w:t>r</w:t>
      </w:r>
      <w:r w:rsidR="003E5488" w:rsidRPr="00B42176">
        <w:rPr>
          <w:rFonts w:ascii="Khula" w:hAnsi="Khula" w:cs="Khula"/>
          <w:sz w:val="20"/>
          <w:szCs w:val="20"/>
        </w:rPr>
        <w:t xml:space="preserve"> Propert</w:t>
      </w:r>
      <w:r w:rsidR="008A0672">
        <w:rPr>
          <w:rFonts w:ascii="Khula" w:hAnsi="Khula" w:cs="Khula"/>
          <w:sz w:val="20"/>
          <w:szCs w:val="20"/>
        </w:rPr>
        <w:t>ies</w:t>
      </w:r>
      <w:r w:rsidR="003E5488" w:rsidRPr="00B42176">
        <w:rPr>
          <w:rFonts w:ascii="Khula" w:hAnsi="Khula" w:cs="Khula"/>
          <w:sz w:val="20"/>
          <w:szCs w:val="20"/>
        </w:rPr>
        <w:t>, the availability of financing on suitable terms, and the Company's ability to comply with environmental, health and safety laws.</w:t>
      </w:r>
    </w:p>
    <w:p w14:paraId="59B22E33" w14:textId="6256F5D4" w:rsidR="007D6277" w:rsidRPr="00B42176" w:rsidRDefault="007D6277" w:rsidP="00B42176">
      <w:pPr>
        <w:widowControl w:val="0"/>
        <w:jc w:val="both"/>
        <w:rPr>
          <w:rFonts w:ascii="Khula" w:hAnsi="Khula" w:cs="Khula"/>
          <w:sz w:val="20"/>
          <w:szCs w:val="20"/>
        </w:rPr>
      </w:pPr>
      <w:r w:rsidRPr="00B42176">
        <w:rPr>
          <w:rFonts w:ascii="Khula" w:hAnsi="Khula" w:cs="Khula"/>
          <w:sz w:val="20"/>
          <w:szCs w:val="20"/>
        </w:rPr>
        <w:t>Forward-looking statements involve known and unknown risks, uncertainties and other factors which may cause the actual results,</w:t>
      </w:r>
      <w:r w:rsidR="0039006A">
        <w:rPr>
          <w:rFonts w:ascii="Khula" w:hAnsi="Khula" w:cs="Khula"/>
          <w:sz w:val="20"/>
          <w:szCs w:val="20"/>
        </w:rPr>
        <w:t xml:space="preserve"> </w:t>
      </w:r>
      <w:r w:rsidR="0039006A" w:rsidRPr="00B42176">
        <w:rPr>
          <w:rFonts w:ascii="Khula" w:hAnsi="Khula" w:cs="Khula"/>
          <w:sz w:val="20"/>
          <w:szCs w:val="20"/>
        </w:rPr>
        <w:t>performance,</w:t>
      </w:r>
      <w:r w:rsidRPr="00B42176">
        <w:rPr>
          <w:rFonts w:ascii="Khula" w:hAnsi="Khula" w:cs="Khula"/>
          <w:sz w:val="20"/>
          <w:szCs w:val="20"/>
        </w:rPr>
        <w:t xml:space="preserve"> or achievements of the Company to differ materially from any future results, performance or achievements expressed or implied by the forward-looking statements.  Such risks and other factors include, among others,</w:t>
      </w:r>
      <w:r w:rsidR="002F210B" w:rsidRPr="00B42176">
        <w:rPr>
          <w:rFonts w:ascii="Khula" w:hAnsi="Khula" w:cs="Khula"/>
        </w:rPr>
        <w:t xml:space="preserve"> </w:t>
      </w:r>
      <w:r w:rsidR="002F210B" w:rsidRPr="00B42176">
        <w:rPr>
          <w:rFonts w:ascii="Khula" w:hAnsi="Khula" w:cs="Khula"/>
          <w:sz w:val="20"/>
          <w:szCs w:val="20"/>
        </w:rPr>
        <w:t xml:space="preserve">statements as to the anticipated business plans and timing of future activities of the Company, including the Company's option to acquire the </w:t>
      </w:r>
      <w:r w:rsidR="00E77203" w:rsidRPr="00B42176">
        <w:rPr>
          <w:rFonts w:ascii="Khula" w:hAnsi="Khula" w:cs="Khula"/>
          <w:sz w:val="20"/>
          <w:szCs w:val="20"/>
        </w:rPr>
        <w:t xml:space="preserve">Summit Old </w:t>
      </w:r>
      <w:r w:rsidR="00270D7E" w:rsidRPr="00B42176">
        <w:rPr>
          <w:rFonts w:ascii="Khula" w:hAnsi="Khula" w:cs="Khula"/>
          <w:sz w:val="20"/>
          <w:szCs w:val="20"/>
        </w:rPr>
        <w:t>T</w:t>
      </w:r>
      <w:r w:rsidR="00E77203" w:rsidRPr="00B42176">
        <w:rPr>
          <w:rFonts w:ascii="Khula" w:hAnsi="Khula" w:cs="Khula"/>
          <w:sz w:val="20"/>
          <w:szCs w:val="20"/>
        </w:rPr>
        <w:t>imer</w:t>
      </w:r>
      <w:r w:rsidR="008E1BE0" w:rsidRPr="00B42176">
        <w:rPr>
          <w:rFonts w:ascii="Khula" w:hAnsi="Khula" w:cs="Khula"/>
          <w:sz w:val="20"/>
          <w:szCs w:val="20"/>
        </w:rPr>
        <w:t xml:space="preserve"> Property</w:t>
      </w:r>
      <w:r w:rsidR="00833DA9" w:rsidRPr="00B42176">
        <w:rPr>
          <w:rFonts w:ascii="Khula" w:hAnsi="Khula" w:cs="Khula"/>
          <w:sz w:val="20"/>
          <w:szCs w:val="20"/>
        </w:rPr>
        <w:t>,</w:t>
      </w:r>
      <w:r w:rsidR="002F210B" w:rsidRPr="00B42176">
        <w:rPr>
          <w:rFonts w:ascii="Khula" w:hAnsi="Khula" w:cs="Khula"/>
          <w:sz w:val="20"/>
          <w:szCs w:val="20"/>
        </w:rPr>
        <w:t xml:space="preserve"> the proposed expenditures for exploration work thereon,</w:t>
      </w:r>
      <w:r w:rsidRPr="00B42176">
        <w:rPr>
          <w:rFonts w:ascii="Khula" w:hAnsi="Khula" w:cs="Khula"/>
          <w:sz w:val="20"/>
          <w:szCs w:val="20"/>
        </w:rPr>
        <w:t xml:space="preserve"> the ability of the Company to obtain sufficient financing to fund its business activities and plans, delays in obtaining governmental and regulatory approvals (including of the Canadian Securities Exchange), permits or financing</w:t>
      </w:r>
      <w:r w:rsidR="007E33A3" w:rsidRPr="00B42176">
        <w:rPr>
          <w:rFonts w:ascii="Khula" w:hAnsi="Khula" w:cs="Khula"/>
          <w:sz w:val="20"/>
          <w:szCs w:val="20"/>
        </w:rPr>
        <w:t xml:space="preserve">, </w:t>
      </w:r>
      <w:r w:rsidRPr="00B42176">
        <w:rPr>
          <w:rFonts w:ascii="Khula" w:hAnsi="Khula" w:cs="Khula"/>
          <w:sz w:val="20"/>
          <w:szCs w:val="20"/>
        </w:rPr>
        <w:t xml:space="preserve">changes in laws, regulations and policies affecting mining operations, </w:t>
      </w:r>
      <w:r w:rsidR="00415026" w:rsidRPr="00B42176">
        <w:rPr>
          <w:rFonts w:ascii="Khula" w:hAnsi="Khula" w:cs="Khula"/>
          <w:sz w:val="20"/>
          <w:szCs w:val="20"/>
        </w:rPr>
        <w:t xml:space="preserve">risks relating to epidemics or pandemics such as COVID–19, including the impact of COVID–19 on the Company's business, financial condition and results of operations, </w:t>
      </w:r>
      <w:r w:rsidR="002F210B" w:rsidRPr="00B42176">
        <w:rPr>
          <w:rFonts w:ascii="Khula" w:hAnsi="Khula" w:cs="Khula"/>
          <w:sz w:val="20"/>
          <w:szCs w:val="20"/>
        </w:rPr>
        <w:t xml:space="preserve">the Company's limited operating history, </w:t>
      </w:r>
      <w:r w:rsidRPr="00B42176">
        <w:rPr>
          <w:rFonts w:ascii="Khula" w:hAnsi="Khula" w:cs="Khula"/>
          <w:sz w:val="20"/>
          <w:szCs w:val="20"/>
        </w:rPr>
        <w:t xml:space="preserve">currency fluctuations, title disputes or claims, environmental issues and liabilities, as well as those factors discussed under the heading "Risk Factors" in the Company's prospectus dated </w:t>
      </w:r>
      <w:r w:rsidR="00832AB1" w:rsidRPr="00B42176">
        <w:rPr>
          <w:rFonts w:ascii="Khula" w:hAnsi="Khula" w:cs="Khula"/>
          <w:sz w:val="20"/>
          <w:szCs w:val="20"/>
        </w:rPr>
        <w:t>February 3</w:t>
      </w:r>
      <w:r w:rsidR="000D3F79" w:rsidRPr="00B42176">
        <w:rPr>
          <w:rFonts w:ascii="Khula" w:hAnsi="Khula" w:cs="Khula"/>
          <w:sz w:val="20"/>
          <w:szCs w:val="20"/>
        </w:rPr>
        <w:t>, 2021</w:t>
      </w:r>
      <w:r w:rsidRPr="00B42176">
        <w:rPr>
          <w:rFonts w:ascii="Khula" w:hAnsi="Khula" w:cs="Khula"/>
          <w:sz w:val="20"/>
          <w:szCs w:val="20"/>
        </w:rPr>
        <w:t xml:space="preserve"> and other filings of the Company with the Canadian Securities Authorities, copies of which can be found under the Company's profile on the SEDAR website at www.sedar.com.</w:t>
      </w:r>
    </w:p>
    <w:p w14:paraId="23A3432B" w14:textId="77777777" w:rsidR="007D6277" w:rsidRPr="00B42176" w:rsidRDefault="007D6277" w:rsidP="00B42176">
      <w:pPr>
        <w:widowControl w:val="0"/>
        <w:jc w:val="both"/>
        <w:rPr>
          <w:rFonts w:ascii="Khula" w:hAnsi="Khula" w:cs="Khula"/>
          <w:sz w:val="20"/>
          <w:szCs w:val="20"/>
        </w:rPr>
      </w:pPr>
    </w:p>
    <w:p w14:paraId="1D43C66E" w14:textId="26C0657A" w:rsidR="00352A02" w:rsidRPr="00B42176" w:rsidRDefault="007D6277" w:rsidP="00B42176">
      <w:pPr>
        <w:widowControl w:val="0"/>
        <w:jc w:val="both"/>
        <w:rPr>
          <w:rFonts w:ascii="Khula" w:hAnsi="Khula" w:cs="Khula"/>
          <w:sz w:val="20"/>
          <w:szCs w:val="20"/>
        </w:rPr>
      </w:pPr>
      <w:r w:rsidRPr="00B42176">
        <w:rPr>
          <w:rFonts w:ascii="Khula" w:hAnsi="Khula" w:cs="Khula"/>
          <w:sz w:val="20"/>
          <w:szCs w:val="20"/>
        </w:rPr>
        <w:t xml:space="preserve">Readers are cautioned not to place undue reliance on forward-looking statements.  The Company undertakes no obligation to update any of the forward-looking statements in this </w:t>
      </w:r>
      <w:r w:rsidR="00236D4B" w:rsidRPr="00B42176">
        <w:rPr>
          <w:rFonts w:ascii="Khula" w:hAnsi="Khula" w:cs="Khula"/>
          <w:sz w:val="20"/>
          <w:szCs w:val="20"/>
        </w:rPr>
        <w:t>news release</w:t>
      </w:r>
      <w:r w:rsidRPr="00B42176">
        <w:rPr>
          <w:rFonts w:ascii="Khula" w:hAnsi="Khula" w:cs="Khula"/>
          <w:sz w:val="20"/>
          <w:szCs w:val="20"/>
        </w:rPr>
        <w:t xml:space="preserve"> except as otherwise required by law.</w:t>
      </w:r>
    </w:p>
    <w:sectPr w:rsidR="00352A02" w:rsidRPr="00B42176" w:rsidSect="00352A02">
      <w:headerReference w:type="default" r:id="rId10"/>
      <w:footerReference w:type="default" r:id="rId11"/>
      <w:headerReference w:type="first" r:id="rId12"/>
      <w:footerReference w:type="first" r:id="rId1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7382E0" w14:textId="77777777" w:rsidR="00B715F4" w:rsidRDefault="00B715F4" w:rsidP="00352A02">
      <w:pPr>
        <w:spacing w:after="0" w:line="240" w:lineRule="auto"/>
      </w:pPr>
      <w:r>
        <w:separator/>
      </w:r>
    </w:p>
  </w:endnote>
  <w:endnote w:type="continuationSeparator" w:id="0">
    <w:p w14:paraId="2A2BFB6D" w14:textId="77777777" w:rsidR="00B715F4" w:rsidRDefault="00B715F4" w:rsidP="00352A02">
      <w:pPr>
        <w:spacing w:after="0" w:line="240" w:lineRule="auto"/>
      </w:pPr>
      <w:r>
        <w:continuationSeparator/>
      </w:r>
    </w:p>
  </w:endnote>
  <w:endnote w:type="continuationNotice" w:id="1">
    <w:p w14:paraId="1F167393" w14:textId="77777777" w:rsidR="00B715F4" w:rsidRDefault="00B715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hula">
    <w:altName w:val="Mangal"/>
    <w:charset w:val="00"/>
    <w:family w:val="auto"/>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FAE45" w14:textId="668E2FE6" w:rsidR="00F0594A" w:rsidRPr="00B61F39" w:rsidRDefault="009260D2" w:rsidP="00F0594A">
    <w:pPr>
      <w:pStyle w:val="Footer"/>
      <w:rPr>
        <w:rFonts w:ascii="Times New Roman" w:hAnsi="Times New Roman" w:cs="Times New Roman"/>
      </w:rPr>
    </w:pPr>
    <w:r w:rsidRPr="009260D2">
      <w:rPr>
        <w:rFonts w:ascii="Times New Roman" w:hAnsi="Times New Roman" w:cs="Times New Roman"/>
        <w:noProof/>
        <w:vanish/>
        <w:sz w:val="14"/>
      </w:rPr>
      <w:t>{</w:t>
    </w:r>
    <w:r w:rsidRPr="009260D2">
      <w:rPr>
        <w:rFonts w:ascii="Times New Roman" w:hAnsi="Times New Roman" w:cs="Times New Roman"/>
        <w:noProof/>
        <w:sz w:val="14"/>
      </w:rPr>
      <w:t>LC247418-1</w:t>
    </w:r>
    <w:r w:rsidRPr="009260D2">
      <w:rPr>
        <w:rFonts w:ascii="Times New Roman" w:hAnsi="Times New Roman" w:cs="Times New Roman"/>
        <w:noProof/>
        <w:vanish/>
        <w:sz w:val="1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E347D" w14:textId="7764F8AF" w:rsidR="00F0594A" w:rsidRPr="00097D9C" w:rsidRDefault="009260D2" w:rsidP="003E63E2">
    <w:pPr>
      <w:pStyle w:val="Footer"/>
      <w:rPr>
        <w:rFonts w:ascii="Times New Roman" w:hAnsi="Times New Roman" w:cs="Times New Roman"/>
      </w:rPr>
    </w:pPr>
    <w:r w:rsidRPr="009260D2">
      <w:rPr>
        <w:rFonts w:ascii="Times New Roman" w:hAnsi="Times New Roman" w:cs="Times New Roman"/>
        <w:noProof/>
        <w:vanish/>
        <w:sz w:val="14"/>
      </w:rPr>
      <w:t>{</w:t>
    </w:r>
    <w:r w:rsidRPr="009260D2">
      <w:rPr>
        <w:rFonts w:ascii="Times New Roman" w:hAnsi="Times New Roman" w:cs="Times New Roman"/>
        <w:noProof/>
        <w:sz w:val="14"/>
      </w:rPr>
      <w:t>LC247418-1</w:t>
    </w:r>
    <w:r w:rsidRPr="009260D2">
      <w:rPr>
        <w:rFonts w:ascii="Times New Roman" w:hAnsi="Times New Roman" w:cs="Times New Roman"/>
        <w:noProof/>
        <w:vanish/>
        <w:sz w:val="14"/>
      </w:rPr>
      <w:t>}</w:t>
    </w:r>
    <w:r w:rsidR="00F0594A" w:rsidRPr="00097D9C">
      <w:rPr>
        <w:rFonts w:ascii="Times New Roman" w:hAnsi="Times New Roman" w:cs="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62D9AB" w14:textId="77777777" w:rsidR="00B715F4" w:rsidRDefault="00B715F4" w:rsidP="00352A02">
      <w:pPr>
        <w:spacing w:after="0" w:line="240" w:lineRule="auto"/>
        <w:rPr>
          <w:noProof/>
        </w:rPr>
      </w:pPr>
      <w:r>
        <w:rPr>
          <w:noProof/>
        </w:rPr>
        <w:separator/>
      </w:r>
    </w:p>
  </w:footnote>
  <w:footnote w:type="continuationSeparator" w:id="0">
    <w:p w14:paraId="76CD2430" w14:textId="77777777" w:rsidR="00B715F4" w:rsidRDefault="00B715F4" w:rsidP="00352A02">
      <w:pPr>
        <w:spacing w:after="0" w:line="240" w:lineRule="auto"/>
      </w:pPr>
      <w:r>
        <w:continuationSeparator/>
      </w:r>
    </w:p>
  </w:footnote>
  <w:footnote w:type="continuationNotice" w:id="1">
    <w:p w14:paraId="05B189FC" w14:textId="77777777" w:rsidR="00B715F4" w:rsidRDefault="00B715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5653320"/>
      <w:docPartObj>
        <w:docPartGallery w:val="Page Numbers (Top of Page)"/>
        <w:docPartUnique/>
      </w:docPartObj>
    </w:sdtPr>
    <w:sdtEndPr>
      <w:rPr>
        <w:rFonts w:ascii="Times New Roman" w:hAnsi="Times New Roman" w:cs="Times New Roman"/>
        <w:noProof/>
        <w:sz w:val="24"/>
        <w:szCs w:val="24"/>
      </w:rPr>
    </w:sdtEndPr>
    <w:sdtContent>
      <w:p w14:paraId="70525B05" w14:textId="0D3A258E" w:rsidR="001A5498" w:rsidRDefault="00B42176" w:rsidP="001A5498">
        <w:pPr>
          <w:pStyle w:val="Header"/>
        </w:pPr>
        <w:r>
          <w:rPr>
            <w:noProof/>
          </w:rPr>
          <w:drawing>
            <wp:anchor distT="0" distB="0" distL="114300" distR="114300" simplePos="0" relativeHeight="251661312" behindDoc="1" locked="0" layoutInCell="1" allowOverlap="1" wp14:anchorId="516B4EAC" wp14:editId="02FD71F9">
              <wp:simplePos x="0" y="0"/>
              <wp:positionH relativeFrom="page">
                <wp:align>right</wp:align>
              </wp:positionH>
              <wp:positionV relativeFrom="paragraph">
                <wp:posOffset>-449580</wp:posOffset>
              </wp:positionV>
              <wp:extent cx="7770134" cy="1004887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134" cy="1004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4BAC5" w14:textId="0E8D0A4F" w:rsidR="00352A02" w:rsidRPr="001A5498" w:rsidRDefault="00300306" w:rsidP="001A5498">
        <w:pPr>
          <w:pStyle w:val="Header"/>
        </w:pPr>
      </w:p>
    </w:sdtContent>
  </w:sdt>
  <w:p w14:paraId="385DEF4F" w14:textId="5935981A" w:rsidR="00352A02" w:rsidRDefault="00352A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D81D2" w14:textId="4049F328" w:rsidR="00B42176" w:rsidRDefault="00B42176">
    <w:pPr>
      <w:pStyle w:val="Header"/>
    </w:pPr>
    <w:r>
      <w:rPr>
        <w:noProof/>
      </w:rPr>
      <w:drawing>
        <wp:anchor distT="0" distB="0" distL="114300" distR="114300" simplePos="0" relativeHeight="251660288" behindDoc="1" locked="0" layoutInCell="1" allowOverlap="1" wp14:anchorId="70022C68" wp14:editId="4DCC2427">
          <wp:simplePos x="0" y="0"/>
          <wp:positionH relativeFrom="page">
            <wp:align>right</wp:align>
          </wp:positionH>
          <wp:positionV relativeFrom="paragraph">
            <wp:posOffset>-449580</wp:posOffset>
          </wp:positionV>
          <wp:extent cx="7762875" cy="10039350"/>
          <wp:effectExtent l="0" t="0" r="9525" b="0"/>
          <wp:wrapNone/>
          <wp:docPr id="4"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62875" cy="10039350"/>
                  </a:xfrm>
                  <a:prstGeom prst="rect">
                    <a:avLst/>
                  </a:prstGeom>
                </pic:spPr>
              </pic:pic>
            </a:graphicData>
          </a:graphic>
          <wp14:sizeRelH relativeFrom="page">
            <wp14:pctWidth>0</wp14:pctWidth>
          </wp14:sizeRelH>
          <wp14:sizeRelV relativeFrom="page">
            <wp14:pctHeight>0</wp14:pctHeight>
          </wp14:sizeRelV>
        </wp:anchor>
      </w:drawing>
    </w:r>
  </w:p>
  <w:p w14:paraId="691346D0" w14:textId="542BEFDE" w:rsidR="001A5498" w:rsidRDefault="001A5498">
    <w:pPr>
      <w:pStyle w:val="Header"/>
    </w:pPr>
  </w:p>
  <w:p w14:paraId="00023E8E" w14:textId="6977E971" w:rsidR="001A5498" w:rsidRDefault="001A5498">
    <w:pPr>
      <w:pStyle w:val="Header"/>
    </w:pPr>
  </w:p>
  <w:p w14:paraId="38439228" w14:textId="134AD6E9" w:rsidR="001A5498" w:rsidRDefault="001A5498">
    <w:pPr>
      <w:pStyle w:val="Header"/>
    </w:pPr>
  </w:p>
  <w:p w14:paraId="6E614E44" w14:textId="77777777" w:rsidR="001A5498" w:rsidRDefault="001A5498">
    <w:pPr>
      <w:pStyle w:val="Header"/>
    </w:pPr>
  </w:p>
  <w:p w14:paraId="6C3DBF7A" w14:textId="77777777" w:rsidR="001A5498" w:rsidRDefault="001A5498">
    <w:pPr>
      <w:pStyle w:val="Header"/>
    </w:pPr>
  </w:p>
  <w:p w14:paraId="2AAF67D4" w14:textId="77777777" w:rsidR="001A5498" w:rsidRDefault="001A5498">
    <w:pPr>
      <w:pStyle w:val="Header"/>
    </w:pPr>
  </w:p>
  <w:p w14:paraId="7421592B" w14:textId="77777777" w:rsidR="001A5498" w:rsidRDefault="001A5498">
    <w:pPr>
      <w:pStyle w:val="Header"/>
    </w:pPr>
  </w:p>
  <w:p w14:paraId="36799744" w14:textId="3CC3B938" w:rsidR="00DC5273" w:rsidRDefault="00DC52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9A42A2"/>
    <w:multiLevelType w:val="hybridMultilevel"/>
    <w:tmpl w:val="EC8C56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75260E9B"/>
    <w:multiLevelType w:val="hybridMultilevel"/>
    <w:tmpl w:val="F39E9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A02"/>
    <w:rsid w:val="00021B75"/>
    <w:rsid w:val="00027236"/>
    <w:rsid w:val="00034F62"/>
    <w:rsid w:val="00043541"/>
    <w:rsid w:val="0005637B"/>
    <w:rsid w:val="0005671E"/>
    <w:rsid w:val="00057F08"/>
    <w:rsid w:val="00060D7A"/>
    <w:rsid w:val="00087DE7"/>
    <w:rsid w:val="00097D9C"/>
    <w:rsid w:val="000B6FD7"/>
    <w:rsid w:val="000D3F79"/>
    <w:rsid w:val="000E2018"/>
    <w:rsid w:val="001103B0"/>
    <w:rsid w:val="001155EF"/>
    <w:rsid w:val="00136B76"/>
    <w:rsid w:val="00137A9E"/>
    <w:rsid w:val="00144109"/>
    <w:rsid w:val="001630ED"/>
    <w:rsid w:val="00171243"/>
    <w:rsid w:val="001A5498"/>
    <w:rsid w:val="001A690F"/>
    <w:rsid w:val="001A6FD7"/>
    <w:rsid w:val="001E4D1E"/>
    <w:rsid w:val="00202024"/>
    <w:rsid w:val="002079F7"/>
    <w:rsid w:val="00212BAB"/>
    <w:rsid w:val="00220F95"/>
    <w:rsid w:val="00232677"/>
    <w:rsid w:val="00236D4B"/>
    <w:rsid w:val="0024771F"/>
    <w:rsid w:val="00252011"/>
    <w:rsid w:val="0025619C"/>
    <w:rsid w:val="00267A54"/>
    <w:rsid w:val="00270D7E"/>
    <w:rsid w:val="00271613"/>
    <w:rsid w:val="002748D8"/>
    <w:rsid w:val="00293CCF"/>
    <w:rsid w:val="00294B26"/>
    <w:rsid w:val="00297573"/>
    <w:rsid w:val="002A1109"/>
    <w:rsid w:val="002B1119"/>
    <w:rsid w:val="002B36CB"/>
    <w:rsid w:val="002C284D"/>
    <w:rsid w:val="002C52B3"/>
    <w:rsid w:val="002D0CF5"/>
    <w:rsid w:val="002E0EC4"/>
    <w:rsid w:val="002E0F15"/>
    <w:rsid w:val="002F210B"/>
    <w:rsid w:val="002F5788"/>
    <w:rsid w:val="00300306"/>
    <w:rsid w:val="0031406C"/>
    <w:rsid w:val="00322E68"/>
    <w:rsid w:val="00352133"/>
    <w:rsid w:val="00352A02"/>
    <w:rsid w:val="00352BF1"/>
    <w:rsid w:val="00362506"/>
    <w:rsid w:val="003702BD"/>
    <w:rsid w:val="003773D6"/>
    <w:rsid w:val="00377788"/>
    <w:rsid w:val="0039006A"/>
    <w:rsid w:val="003A5CA3"/>
    <w:rsid w:val="003A7EE7"/>
    <w:rsid w:val="003D134F"/>
    <w:rsid w:val="003E5488"/>
    <w:rsid w:val="003E63E2"/>
    <w:rsid w:val="00415026"/>
    <w:rsid w:val="00420D0A"/>
    <w:rsid w:val="0043300D"/>
    <w:rsid w:val="004401C2"/>
    <w:rsid w:val="00461C70"/>
    <w:rsid w:val="0046354B"/>
    <w:rsid w:val="00471DF5"/>
    <w:rsid w:val="0049798C"/>
    <w:rsid w:val="004B2991"/>
    <w:rsid w:val="004C3875"/>
    <w:rsid w:val="004C6ECA"/>
    <w:rsid w:val="004C74FD"/>
    <w:rsid w:val="004E3CB3"/>
    <w:rsid w:val="004F69C3"/>
    <w:rsid w:val="005020D0"/>
    <w:rsid w:val="00502767"/>
    <w:rsid w:val="00503C1C"/>
    <w:rsid w:val="0051242A"/>
    <w:rsid w:val="005500AC"/>
    <w:rsid w:val="00553243"/>
    <w:rsid w:val="00561E09"/>
    <w:rsid w:val="0056716F"/>
    <w:rsid w:val="00570E2A"/>
    <w:rsid w:val="00595D22"/>
    <w:rsid w:val="005970A7"/>
    <w:rsid w:val="00597BDB"/>
    <w:rsid w:val="005B2AE5"/>
    <w:rsid w:val="005B3F3B"/>
    <w:rsid w:val="005C0B85"/>
    <w:rsid w:val="005C53D6"/>
    <w:rsid w:val="005D7026"/>
    <w:rsid w:val="005E013A"/>
    <w:rsid w:val="005F361F"/>
    <w:rsid w:val="005F6B6B"/>
    <w:rsid w:val="00601E30"/>
    <w:rsid w:val="00603F2A"/>
    <w:rsid w:val="006119A0"/>
    <w:rsid w:val="0061403A"/>
    <w:rsid w:val="00617445"/>
    <w:rsid w:val="00626DEC"/>
    <w:rsid w:val="006342E7"/>
    <w:rsid w:val="006474F0"/>
    <w:rsid w:val="00655369"/>
    <w:rsid w:val="00657A15"/>
    <w:rsid w:val="00690DBE"/>
    <w:rsid w:val="00692302"/>
    <w:rsid w:val="00695075"/>
    <w:rsid w:val="0069762A"/>
    <w:rsid w:val="006A3A9F"/>
    <w:rsid w:val="006A6A8D"/>
    <w:rsid w:val="006A78BF"/>
    <w:rsid w:val="006B3A1D"/>
    <w:rsid w:val="006C6297"/>
    <w:rsid w:val="006D1ED2"/>
    <w:rsid w:val="006F259E"/>
    <w:rsid w:val="007056A5"/>
    <w:rsid w:val="00706FFC"/>
    <w:rsid w:val="00707A8C"/>
    <w:rsid w:val="00723098"/>
    <w:rsid w:val="00730469"/>
    <w:rsid w:val="00743D26"/>
    <w:rsid w:val="00753D55"/>
    <w:rsid w:val="00760E12"/>
    <w:rsid w:val="00783AD2"/>
    <w:rsid w:val="00786437"/>
    <w:rsid w:val="007914A4"/>
    <w:rsid w:val="007A6296"/>
    <w:rsid w:val="007A7593"/>
    <w:rsid w:val="007A7A23"/>
    <w:rsid w:val="007B6D14"/>
    <w:rsid w:val="007C27C6"/>
    <w:rsid w:val="007D26AE"/>
    <w:rsid w:val="007D6277"/>
    <w:rsid w:val="007D6E16"/>
    <w:rsid w:val="007E0079"/>
    <w:rsid w:val="007E14BA"/>
    <w:rsid w:val="007E33A3"/>
    <w:rsid w:val="007E53CE"/>
    <w:rsid w:val="0081282B"/>
    <w:rsid w:val="00824A84"/>
    <w:rsid w:val="00826718"/>
    <w:rsid w:val="00827697"/>
    <w:rsid w:val="00832AB1"/>
    <w:rsid w:val="00833DA9"/>
    <w:rsid w:val="008349DD"/>
    <w:rsid w:val="0083613A"/>
    <w:rsid w:val="00836C5F"/>
    <w:rsid w:val="0084028F"/>
    <w:rsid w:val="00855701"/>
    <w:rsid w:val="00856CE2"/>
    <w:rsid w:val="008717F9"/>
    <w:rsid w:val="00871F34"/>
    <w:rsid w:val="00875A04"/>
    <w:rsid w:val="00897668"/>
    <w:rsid w:val="008A0672"/>
    <w:rsid w:val="008A187D"/>
    <w:rsid w:val="008C1AB4"/>
    <w:rsid w:val="008E1BE0"/>
    <w:rsid w:val="008E6D27"/>
    <w:rsid w:val="008F7203"/>
    <w:rsid w:val="00924C18"/>
    <w:rsid w:val="009260D2"/>
    <w:rsid w:val="009336CD"/>
    <w:rsid w:val="00941D21"/>
    <w:rsid w:val="009466C7"/>
    <w:rsid w:val="00956DE8"/>
    <w:rsid w:val="00975080"/>
    <w:rsid w:val="009901C5"/>
    <w:rsid w:val="00996D62"/>
    <w:rsid w:val="009A30DC"/>
    <w:rsid w:val="009C502B"/>
    <w:rsid w:val="009D27B6"/>
    <w:rsid w:val="009E20AA"/>
    <w:rsid w:val="009F27F5"/>
    <w:rsid w:val="00A06E9B"/>
    <w:rsid w:val="00A107CD"/>
    <w:rsid w:val="00A14B83"/>
    <w:rsid w:val="00A15F2B"/>
    <w:rsid w:val="00A16589"/>
    <w:rsid w:val="00A35C76"/>
    <w:rsid w:val="00A362C8"/>
    <w:rsid w:val="00A87955"/>
    <w:rsid w:val="00A938A1"/>
    <w:rsid w:val="00AA364B"/>
    <w:rsid w:val="00AB2AC2"/>
    <w:rsid w:val="00AC3CC5"/>
    <w:rsid w:val="00AD40F4"/>
    <w:rsid w:val="00AE1C6E"/>
    <w:rsid w:val="00B004F7"/>
    <w:rsid w:val="00B00638"/>
    <w:rsid w:val="00B04238"/>
    <w:rsid w:val="00B20C33"/>
    <w:rsid w:val="00B236E2"/>
    <w:rsid w:val="00B42176"/>
    <w:rsid w:val="00B42976"/>
    <w:rsid w:val="00B61F39"/>
    <w:rsid w:val="00B706A4"/>
    <w:rsid w:val="00B715F4"/>
    <w:rsid w:val="00B72918"/>
    <w:rsid w:val="00B80E02"/>
    <w:rsid w:val="00BA275A"/>
    <w:rsid w:val="00BD6781"/>
    <w:rsid w:val="00C016BE"/>
    <w:rsid w:val="00C21D43"/>
    <w:rsid w:val="00C31E54"/>
    <w:rsid w:val="00C43969"/>
    <w:rsid w:val="00C44DE5"/>
    <w:rsid w:val="00C46421"/>
    <w:rsid w:val="00C576E5"/>
    <w:rsid w:val="00C96F68"/>
    <w:rsid w:val="00CA1785"/>
    <w:rsid w:val="00CB23B0"/>
    <w:rsid w:val="00CC44F0"/>
    <w:rsid w:val="00CF66DB"/>
    <w:rsid w:val="00D3116F"/>
    <w:rsid w:val="00D3431D"/>
    <w:rsid w:val="00D53D10"/>
    <w:rsid w:val="00D5679F"/>
    <w:rsid w:val="00D636BC"/>
    <w:rsid w:val="00D65A64"/>
    <w:rsid w:val="00D912AE"/>
    <w:rsid w:val="00D97D49"/>
    <w:rsid w:val="00DA6403"/>
    <w:rsid w:val="00DC0ADD"/>
    <w:rsid w:val="00DC4F26"/>
    <w:rsid w:val="00DC5273"/>
    <w:rsid w:val="00DC7D5C"/>
    <w:rsid w:val="00DD28D6"/>
    <w:rsid w:val="00DF72E9"/>
    <w:rsid w:val="00E0383C"/>
    <w:rsid w:val="00E05EA2"/>
    <w:rsid w:val="00E1679A"/>
    <w:rsid w:val="00E17575"/>
    <w:rsid w:val="00E30479"/>
    <w:rsid w:val="00E4704E"/>
    <w:rsid w:val="00E538BC"/>
    <w:rsid w:val="00E6237B"/>
    <w:rsid w:val="00E65AE1"/>
    <w:rsid w:val="00E77203"/>
    <w:rsid w:val="00E87EF3"/>
    <w:rsid w:val="00E9135B"/>
    <w:rsid w:val="00E91AB6"/>
    <w:rsid w:val="00EB5A9A"/>
    <w:rsid w:val="00ED0EC1"/>
    <w:rsid w:val="00ED446D"/>
    <w:rsid w:val="00EE2087"/>
    <w:rsid w:val="00F00B1D"/>
    <w:rsid w:val="00F0594A"/>
    <w:rsid w:val="00F1385E"/>
    <w:rsid w:val="00F20FFD"/>
    <w:rsid w:val="00F27936"/>
    <w:rsid w:val="00F31EEE"/>
    <w:rsid w:val="00F32A79"/>
    <w:rsid w:val="00F40D43"/>
    <w:rsid w:val="00F62EC7"/>
    <w:rsid w:val="00F762AA"/>
    <w:rsid w:val="00FA13CA"/>
    <w:rsid w:val="00FB3AA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2A02"/>
    <w:rPr>
      <w:color w:val="0000FF" w:themeColor="hyperlink"/>
      <w:u w:val="single"/>
    </w:rPr>
  </w:style>
  <w:style w:type="paragraph" w:styleId="Header">
    <w:name w:val="header"/>
    <w:basedOn w:val="Normal"/>
    <w:link w:val="HeaderChar"/>
    <w:uiPriority w:val="99"/>
    <w:unhideWhenUsed/>
    <w:rsid w:val="00352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A02"/>
  </w:style>
  <w:style w:type="paragraph" w:styleId="Footer">
    <w:name w:val="footer"/>
    <w:basedOn w:val="Normal"/>
    <w:link w:val="FooterChar"/>
    <w:uiPriority w:val="99"/>
    <w:unhideWhenUsed/>
    <w:rsid w:val="00352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A02"/>
  </w:style>
  <w:style w:type="character" w:styleId="CommentReference">
    <w:name w:val="annotation reference"/>
    <w:basedOn w:val="DefaultParagraphFont"/>
    <w:uiPriority w:val="99"/>
    <w:semiHidden/>
    <w:unhideWhenUsed/>
    <w:rsid w:val="00561E09"/>
    <w:rPr>
      <w:sz w:val="16"/>
      <w:szCs w:val="16"/>
    </w:rPr>
  </w:style>
  <w:style w:type="paragraph" w:styleId="CommentText">
    <w:name w:val="annotation text"/>
    <w:basedOn w:val="Normal"/>
    <w:link w:val="CommentTextChar"/>
    <w:uiPriority w:val="99"/>
    <w:semiHidden/>
    <w:unhideWhenUsed/>
    <w:rsid w:val="00561E09"/>
    <w:pPr>
      <w:spacing w:line="240" w:lineRule="auto"/>
    </w:pPr>
    <w:rPr>
      <w:sz w:val="20"/>
      <w:szCs w:val="20"/>
    </w:rPr>
  </w:style>
  <w:style w:type="character" w:customStyle="1" w:styleId="CommentTextChar">
    <w:name w:val="Comment Text Char"/>
    <w:basedOn w:val="DefaultParagraphFont"/>
    <w:link w:val="CommentText"/>
    <w:uiPriority w:val="99"/>
    <w:semiHidden/>
    <w:rsid w:val="00561E09"/>
    <w:rPr>
      <w:sz w:val="20"/>
      <w:szCs w:val="20"/>
    </w:rPr>
  </w:style>
  <w:style w:type="paragraph" w:styleId="CommentSubject">
    <w:name w:val="annotation subject"/>
    <w:basedOn w:val="CommentText"/>
    <w:next w:val="CommentText"/>
    <w:link w:val="CommentSubjectChar"/>
    <w:uiPriority w:val="99"/>
    <w:semiHidden/>
    <w:unhideWhenUsed/>
    <w:rsid w:val="00561E09"/>
    <w:rPr>
      <w:b/>
      <w:bCs/>
    </w:rPr>
  </w:style>
  <w:style w:type="character" w:customStyle="1" w:styleId="CommentSubjectChar">
    <w:name w:val="Comment Subject Char"/>
    <w:basedOn w:val="CommentTextChar"/>
    <w:link w:val="CommentSubject"/>
    <w:uiPriority w:val="99"/>
    <w:semiHidden/>
    <w:rsid w:val="00561E09"/>
    <w:rPr>
      <w:b/>
      <w:bCs/>
      <w:sz w:val="20"/>
      <w:szCs w:val="20"/>
    </w:rPr>
  </w:style>
  <w:style w:type="paragraph" w:styleId="BalloonText">
    <w:name w:val="Balloon Text"/>
    <w:basedOn w:val="Normal"/>
    <w:link w:val="BalloonTextChar"/>
    <w:uiPriority w:val="99"/>
    <w:semiHidden/>
    <w:unhideWhenUsed/>
    <w:rsid w:val="00561E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E09"/>
    <w:rPr>
      <w:rFonts w:ascii="Segoe UI" w:hAnsi="Segoe UI" w:cs="Segoe UI"/>
      <w:sz w:val="18"/>
      <w:szCs w:val="18"/>
    </w:rPr>
  </w:style>
  <w:style w:type="character" w:customStyle="1" w:styleId="UnresolvedMention1">
    <w:name w:val="Unresolved Mention1"/>
    <w:basedOn w:val="DefaultParagraphFont"/>
    <w:uiPriority w:val="99"/>
    <w:semiHidden/>
    <w:unhideWhenUsed/>
    <w:rsid w:val="007D6277"/>
    <w:rPr>
      <w:color w:val="808080"/>
      <w:shd w:val="clear" w:color="auto" w:fill="E6E6E6"/>
    </w:rPr>
  </w:style>
  <w:style w:type="paragraph" w:styleId="Revision">
    <w:name w:val="Revision"/>
    <w:hidden/>
    <w:uiPriority w:val="99"/>
    <w:semiHidden/>
    <w:rsid w:val="003E5488"/>
    <w:pPr>
      <w:spacing w:after="0" w:line="240" w:lineRule="auto"/>
    </w:pPr>
  </w:style>
  <w:style w:type="character" w:styleId="UnresolvedMention">
    <w:name w:val="Unresolved Mention"/>
    <w:basedOn w:val="DefaultParagraphFont"/>
    <w:uiPriority w:val="99"/>
    <w:semiHidden/>
    <w:unhideWhenUsed/>
    <w:rsid w:val="008C1AB4"/>
    <w:rPr>
      <w:color w:val="605E5C"/>
      <w:shd w:val="clear" w:color="auto" w:fill="E1DFDD"/>
    </w:rPr>
  </w:style>
  <w:style w:type="paragraph" w:styleId="ListParagraph">
    <w:name w:val="List Paragraph"/>
    <w:basedOn w:val="Normal"/>
    <w:uiPriority w:val="34"/>
    <w:qFormat/>
    <w:rsid w:val="00B236E2"/>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ike@engcom.c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16CB0-65F8-49C0-BB71-11E559E91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1446</Words>
  <Characters>8247</Characters>
  <Application>Microsoft Office Word</Application>
  <DocSecurity>0</DocSecurity>
  <PresentationFormat>14|.DOCX</PresentationFormat>
  <Lines>68</Lines>
  <Paragraphs>19</Paragraphs>
  <ScaleCrop>false</ScaleCrop>
  <HeadingPairs>
    <vt:vector size="2" baseType="variant">
      <vt:variant>
        <vt:lpstr>Title</vt:lpstr>
      </vt:variant>
      <vt:variant>
        <vt:i4>1</vt:i4>
      </vt:variant>
    </vt:vector>
  </HeadingPairs>
  <TitlesOfParts>
    <vt:vector size="1" baseType="lpstr">
      <vt:lpstr>79 Resources - News Release re Closing of IPO (LC draft 27Aug20 )  (LC247418.DOCX;1)</vt:lpstr>
    </vt:vector>
  </TitlesOfParts>
  <Company/>
  <LinksUpToDate>false</LinksUpToDate>
  <CharactersWithSpaces>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79 Resources - News Release re Closing of IPO (LC draft 27Aug20 )  (LC247418.DOCX;1)</dc:title>
  <dc:subject>LC247418-1/Font=7</dc:subject>
  <dc:creator/>
  <cp:lastModifiedBy/>
  <cp:revision>1</cp:revision>
  <dcterms:created xsi:type="dcterms:W3CDTF">2021-04-05T19:45:00Z</dcterms:created>
  <dcterms:modified xsi:type="dcterms:W3CDTF">2021-04-05T22:38:00Z</dcterms:modified>
</cp:coreProperties>
</file>