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5BC1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AD8922" w14:textId="34E9DDB4" w:rsidR="00640E94" w:rsidRPr="00D861FE" w:rsidRDefault="00640E94" w:rsidP="00284B6B">
      <w:pPr>
        <w:pStyle w:val="BodyText"/>
        <w:tabs>
          <w:tab w:val="left" w:pos="4590"/>
        </w:tabs>
        <w:ind w:left="4590" w:hanging="4590"/>
        <w:rPr>
          <w:rFonts w:ascii="Arial" w:hAnsi="Arial"/>
          <w:i/>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B2474">
        <w:rPr>
          <w:rFonts w:ascii="Arial" w:hAnsi="Arial"/>
          <w:color w:val="000000"/>
        </w:rPr>
        <w:tab/>
      </w:r>
      <w:r w:rsidR="00284B6B">
        <w:rPr>
          <w:rFonts w:ascii="Arial" w:hAnsi="Arial"/>
          <w:i/>
          <w:iCs/>
          <w:color w:val="000000"/>
        </w:rPr>
        <w:t>BetterLife Pharma Inc.</w:t>
      </w:r>
      <w:r w:rsidR="008B2474" w:rsidRPr="00D861FE">
        <w:rPr>
          <w:rFonts w:ascii="Arial" w:hAnsi="Arial"/>
          <w:i/>
          <w:color w:val="000000"/>
        </w:rPr>
        <w:t xml:space="preserve"> </w:t>
      </w:r>
      <w:r w:rsidR="00D861FE">
        <w:rPr>
          <w:rFonts w:ascii="Arial" w:hAnsi="Arial"/>
          <w:i/>
          <w:color w:val="000000"/>
        </w:rPr>
        <w:t>(</w:t>
      </w:r>
      <w:r w:rsidR="005E15E0">
        <w:rPr>
          <w:rFonts w:ascii="Arial" w:hAnsi="Arial"/>
          <w:i/>
          <w:color w:val="000000"/>
        </w:rPr>
        <w:t xml:space="preserve">the </w:t>
      </w:r>
      <w:r w:rsidR="00284B6B">
        <w:rPr>
          <w:rFonts w:ascii="Arial" w:hAnsi="Arial"/>
          <w:i/>
          <w:color w:val="000000"/>
        </w:rPr>
        <w:t>“</w:t>
      </w:r>
      <w:r w:rsidR="005E15E0">
        <w:rPr>
          <w:rFonts w:ascii="Arial" w:hAnsi="Arial"/>
          <w:i/>
          <w:color w:val="000000"/>
        </w:rPr>
        <w:t>Company</w:t>
      </w:r>
      <w:r w:rsidR="00284B6B">
        <w:rPr>
          <w:rFonts w:ascii="Arial" w:hAnsi="Arial"/>
          <w:i/>
          <w:color w:val="000000"/>
        </w:rPr>
        <w:t xml:space="preserve">” or </w:t>
      </w:r>
      <w:r w:rsidR="00D861FE">
        <w:rPr>
          <w:rFonts w:ascii="Arial" w:hAnsi="Arial"/>
          <w:i/>
          <w:color w:val="000000"/>
        </w:rPr>
        <w:t>the “Issuer”)</w:t>
      </w:r>
    </w:p>
    <w:p w14:paraId="3772C1D5" w14:textId="3AE398D5" w:rsidR="00640E94" w:rsidRPr="00D861FE"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Trading Symbol: </w:t>
      </w:r>
      <w:r w:rsidR="008B2474">
        <w:rPr>
          <w:rFonts w:ascii="Arial" w:hAnsi="Arial"/>
          <w:color w:val="000000"/>
        </w:rPr>
        <w:tab/>
      </w:r>
      <w:r w:rsidR="00284B6B">
        <w:rPr>
          <w:rFonts w:ascii="Arial" w:hAnsi="Arial"/>
          <w:i/>
          <w:color w:val="000000"/>
        </w:rPr>
        <w:t>BETR</w:t>
      </w:r>
    </w:p>
    <w:p w14:paraId="4882D21C" w14:textId="7920C418" w:rsidR="00640E94" w:rsidRPr="007736E2"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8B2474">
        <w:rPr>
          <w:rFonts w:ascii="Arial" w:hAnsi="Arial"/>
          <w:color w:val="000000"/>
        </w:rPr>
        <w:tab/>
      </w:r>
      <w:r w:rsidR="00BC20AB" w:rsidRPr="00BC20AB">
        <w:rPr>
          <w:rFonts w:ascii="Arial" w:hAnsi="Arial"/>
          <w:i/>
          <w:color w:val="000000"/>
        </w:rPr>
        <w:t>51,431,845</w:t>
      </w:r>
      <w:r w:rsidR="002601A7">
        <w:rPr>
          <w:rFonts w:ascii="Arial" w:hAnsi="Arial"/>
          <w:i/>
          <w:color w:val="000000"/>
        </w:rPr>
        <w:t xml:space="preserve"> </w:t>
      </w:r>
      <w:r w:rsidR="007736E2" w:rsidRPr="004F119A">
        <w:rPr>
          <w:rFonts w:ascii="Arial" w:hAnsi="Arial"/>
          <w:i/>
          <w:color w:val="000000"/>
        </w:rPr>
        <w:t>common</w:t>
      </w:r>
      <w:r w:rsidR="007736E2">
        <w:rPr>
          <w:rFonts w:ascii="Arial" w:hAnsi="Arial"/>
          <w:i/>
          <w:color w:val="000000"/>
        </w:rPr>
        <w:t xml:space="preserve"> shares</w:t>
      </w:r>
    </w:p>
    <w:p w14:paraId="5DC34BD2" w14:textId="0E393C7B" w:rsidR="00640E94" w:rsidRPr="008B2474" w:rsidRDefault="00640E94" w:rsidP="008B2474">
      <w:pPr>
        <w:pStyle w:val="BodyText"/>
        <w:tabs>
          <w:tab w:val="left" w:pos="4590"/>
          <w:tab w:val="left" w:pos="7920"/>
          <w:tab w:val="left" w:pos="9180"/>
        </w:tabs>
        <w:rPr>
          <w:rFonts w:ascii="Arial" w:hAnsi="Arial"/>
          <w:color w:val="000000"/>
        </w:rPr>
      </w:pPr>
      <w:r>
        <w:rPr>
          <w:rFonts w:ascii="Arial" w:hAnsi="Arial"/>
          <w:color w:val="000000"/>
        </w:rPr>
        <w:t xml:space="preserve">Date: </w:t>
      </w:r>
      <w:r w:rsidR="008B2474">
        <w:rPr>
          <w:rFonts w:ascii="Arial" w:hAnsi="Arial"/>
          <w:color w:val="000000"/>
        </w:rPr>
        <w:tab/>
      </w:r>
      <w:r w:rsidR="00BC20AB">
        <w:rPr>
          <w:rFonts w:ascii="Arial" w:hAnsi="Arial"/>
          <w:color w:val="000000"/>
        </w:rPr>
        <w:t>February 3</w:t>
      </w:r>
      <w:r w:rsidR="00FD2A92">
        <w:rPr>
          <w:rFonts w:ascii="Arial" w:hAnsi="Arial"/>
          <w:color w:val="000000"/>
        </w:rPr>
        <w:t>, 2021</w:t>
      </w:r>
    </w:p>
    <w:p w14:paraId="50880B19" w14:textId="77777777" w:rsidR="00640E94" w:rsidRDefault="00640E94">
      <w:pPr>
        <w:pStyle w:val="List"/>
        <w:keepLines/>
        <w:spacing w:before="120"/>
        <w:ind w:left="0" w:firstLine="0"/>
        <w:rPr>
          <w:rFonts w:ascii="Arial" w:hAnsi="Arial"/>
          <w:b/>
        </w:rPr>
      </w:pPr>
      <w:r>
        <w:rPr>
          <w:rFonts w:ascii="Arial" w:hAnsi="Arial"/>
          <w:b/>
        </w:rPr>
        <w:t>Report on Business</w:t>
      </w:r>
    </w:p>
    <w:p w14:paraId="0E1EA616" w14:textId="77777777" w:rsidR="00640E94" w:rsidRPr="009E14BB" w:rsidRDefault="00640E94">
      <w:pPr>
        <w:pStyle w:val="List"/>
        <w:numPr>
          <w:ilvl w:val="0"/>
          <w:numId w:val="28"/>
        </w:numPr>
        <w:spacing w:before="120"/>
        <w:jc w:val="both"/>
        <w:rPr>
          <w:rFonts w:ascii="Arial" w:hAnsi="Arial"/>
        </w:rPr>
      </w:pPr>
      <w:bookmarkStart w:id="5" w:name="_Hlk36806127"/>
      <w:r>
        <w:rPr>
          <w:rFonts w:ascii="Arial" w:hAnsi="Arial"/>
        </w:rPr>
        <w:t xml:space="preserve">Provide a general overview and discussion of the development of the Issuer’s business and operations over the previous month.  Where the Issuer was </w:t>
      </w:r>
      <w:r w:rsidRPr="009E14BB">
        <w:rPr>
          <w:rFonts w:ascii="Arial" w:hAnsi="Arial"/>
        </w:rPr>
        <w:t>inactive disclose this fact.</w:t>
      </w:r>
    </w:p>
    <w:p w14:paraId="0583D85F" w14:textId="77777777" w:rsidR="00BC20AB" w:rsidRPr="0093703B" w:rsidRDefault="00BC20AB" w:rsidP="00E60542">
      <w:pPr>
        <w:pStyle w:val="List"/>
        <w:spacing w:before="120"/>
        <w:ind w:left="720" w:firstLine="0"/>
        <w:jc w:val="both"/>
        <w:rPr>
          <w:rFonts w:ascii="Arial" w:hAnsi="Arial"/>
          <w:i/>
          <w:u w:val="single"/>
        </w:rPr>
      </w:pPr>
      <w:r w:rsidRPr="0093703B">
        <w:rPr>
          <w:rFonts w:ascii="Arial" w:hAnsi="Arial"/>
          <w:i/>
          <w:u w:val="single"/>
        </w:rPr>
        <w:t>TD-0148A</w:t>
      </w:r>
    </w:p>
    <w:p w14:paraId="2E1068F7" w14:textId="7968EFAB" w:rsidR="00BC20AB" w:rsidRPr="00BC20AB" w:rsidRDefault="00BC20AB" w:rsidP="00E60542">
      <w:pPr>
        <w:pStyle w:val="List"/>
        <w:spacing w:before="120"/>
        <w:ind w:left="720" w:firstLine="0"/>
        <w:jc w:val="both"/>
        <w:rPr>
          <w:rFonts w:ascii="Arial" w:hAnsi="Arial"/>
          <w:i/>
        </w:rPr>
      </w:pPr>
      <w:r w:rsidRPr="00BC20AB">
        <w:rPr>
          <w:rFonts w:ascii="Arial" w:hAnsi="Arial"/>
          <w:i/>
        </w:rPr>
        <w:t>TD-0148A (2-bromo-lysergic acid diethylamide; 2-bromo-LSD)</w:t>
      </w:r>
      <w:r w:rsidR="00E60542">
        <w:rPr>
          <w:rFonts w:ascii="Arial" w:hAnsi="Arial"/>
          <w:i/>
        </w:rPr>
        <w:t xml:space="preserve"> (“TD-0148A”)</w:t>
      </w:r>
      <w:r w:rsidRPr="00BC20AB">
        <w:rPr>
          <w:rFonts w:ascii="Arial" w:hAnsi="Arial"/>
          <w:i/>
        </w:rPr>
        <w:t xml:space="preserve"> is an orally administered non-hallucinogenic </w:t>
      </w:r>
      <w:proofErr w:type="spellStart"/>
      <w:r w:rsidRPr="00BC20AB">
        <w:rPr>
          <w:rFonts w:ascii="Arial" w:hAnsi="Arial"/>
          <w:i/>
        </w:rPr>
        <w:t>analog</w:t>
      </w:r>
      <w:proofErr w:type="spellEnd"/>
      <w:r w:rsidRPr="00BC20AB">
        <w:rPr>
          <w:rFonts w:ascii="Arial" w:hAnsi="Arial"/>
          <w:i/>
        </w:rPr>
        <w:t xml:space="preserve"> of LSD. BetterLife plans to develop TD-0148A for the treatment of mental disorders such as severe depression, post-traumatic stress disorder and substance dependencies. The Company’s initial clinical focus will be on treatment-resistant depression.</w:t>
      </w:r>
    </w:p>
    <w:p w14:paraId="3DD25C19" w14:textId="77777777" w:rsidR="00BC20AB" w:rsidRPr="00BC20AB" w:rsidRDefault="00BC20AB" w:rsidP="00E60542">
      <w:pPr>
        <w:pStyle w:val="List"/>
        <w:spacing w:before="120"/>
        <w:ind w:left="720" w:firstLine="0"/>
        <w:jc w:val="both"/>
        <w:rPr>
          <w:rFonts w:ascii="Arial" w:hAnsi="Arial"/>
          <w:i/>
        </w:rPr>
      </w:pPr>
      <w:r w:rsidRPr="00BC20AB">
        <w:rPr>
          <w:rFonts w:ascii="Arial" w:hAnsi="Arial"/>
          <w:i/>
        </w:rPr>
        <w:t>BetterLife is planning to have a pre-IND meeting with the USFDA in Q2 2021, with the goal to file an IND and initiate a Phase 1 clinical trial in healthy volunteers in this calendar year. Subject to health regulatory authorities’ approvals, the Company is also planning independent investigator studies in parallel with the IND filing to begin in Q1-Q2 2021.</w:t>
      </w:r>
    </w:p>
    <w:p w14:paraId="61DAEF0B" w14:textId="7A646B05" w:rsidR="00BC20AB" w:rsidRDefault="00BC20AB" w:rsidP="00E60542">
      <w:pPr>
        <w:pStyle w:val="List"/>
        <w:spacing w:before="120"/>
        <w:ind w:left="720" w:firstLine="0"/>
        <w:jc w:val="both"/>
        <w:rPr>
          <w:rFonts w:ascii="Arial" w:hAnsi="Arial"/>
          <w:i/>
        </w:rPr>
      </w:pPr>
      <w:r w:rsidRPr="00BC20AB">
        <w:rPr>
          <w:rFonts w:ascii="Arial" w:hAnsi="Arial"/>
          <w:i/>
        </w:rPr>
        <w:t xml:space="preserve">TD-0148A’s patented process allows for cost effective manufacturing of TD-0148A, does not use LSD as a starting point nor generates LSD at any stage in the process. The Company will conduct process development, scale-up and GMP manufacturing of TD-0148A during this calendar year, leading up to the IND. The Company will also conduct the necessary IND-enabling preclinical studies in the same time frame. </w:t>
      </w:r>
    </w:p>
    <w:p w14:paraId="796AA41C" w14:textId="4BCEF0F9" w:rsidR="00E60542" w:rsidRDefault="00E60542" w:rsidP="00E60542">
      <w:pPr>
        <w:pStyle w:val="List"/>
        <w:spacing w:before="120"/>
        <w:ind w:left="720" w:firstLine="0"/>
        <w:jc w:val="both"/>
        <w:rPr>
          <w:rFonts w:ascii="Arial" w:hAnsi="Arial"/>
          <w:i/>
        </w:rPr>
      </w:pPr>
      <w:r>
        <w:rPr>
          <w:rFonts w:ascii="Arial" w:hAnsi="Arial"/>
          <w:i/>
        </w:rPr>
        <w:t>In January 2021,</w:t>
      </w:r>
      <w:r w:rsidRPr="00BC20AB">
        <w:rPr>
          <w:rFonts w:ascii="Arial" w:hAnsi="Arial"/>
          <w:i/>
        </w:rPr>
        <w:t xml:space="preserve"> the Company applied for patent protection </w:t>
      </w:r>
      <w:r>
        <w:rPr>
          <w:rFonts w:ascii="Arial" w:hAnsi="Arial"/>
          <w:i/>
        </w:rPr>
        <w:t>for its</w:t>
      </w:r>
      <w:r w:rsidRPr="00BC20AB">
        <w:rPr>
          <w:rFonts w:ascii="Arial" w:hAnsi="Arial"/>
          <w:i/>
        </w:rPr>
        <w:t xml:space="preserve"> new TD-0148A formulations and their use in the treatment of depression and mood disorders.  2-Bromo-LSD is a nontoxic second-generation LSD-derived molecule that mimics the therapeutic potential of LSD, without the psychedelic effects or hallucinations. </w:t>
      </w:r>
      <w:proofErr w:type="spellStart"/>
      <w:r w:rsidRPr="00BC20AB">
        <w:rPr>
          <w:rFonts w:ascii="Arial" w:hAnsi="Arial"/>
          <w:i/>
        </w:rPr>
        <w:t>BetterLife’s</w:t>
      </w:r>
      <w:proofErr w:type="spellEnd"/>
      <w:r w:rsidRPr="00BC20AB">
        <w:rPr>
          <w:rFonts w:ascii="Arial" w:hAnsi="Arial"/>
          <w:i/>
        </w:rPr>
        <w:t xml:space="preserve"> recent acquisition of the assets of Transcend Biodynamics, makes it the only entity able to synthesize 2-Bromo-LSD utilizing a patented process which obviates the need to first synthesize LSD-25, eliminating the regulatory barriers of working with a Schedule 1 substance.</w:t>
      </w:r>
    </w:p>
    <w:p w14:paraId="4293C483" w14:textId="39658B8B" w:rsidR="00E60542" w:rsidRDefault="00E60542" w:rsidP="00E60542">
      <w:pPr>
        <w:pStyle w:val="List"/>
        <w:spacing w:before="120"/>
        <w:ind w:left="720" w:firstLine="0"/>
        <w:jc w:val="both"/>
        <w:rPr>
          <w:rFonts w:ascii="Arial" w:hAnsi="Arial"/>
          <w:i/>
        </w:rPr>
      </w:pPr>
      <w:r w:rsidRPr="00BC20AB">
        <w:rPr>
          <w:rFonts w:ascii="Arial" w:hAnsi="Arial"/>
          <w:i/>
        </w:rPr>
        <w:t>On January 19, 2021, the Company announced that Health Canada has confirmed that 2-bromo-LSD is not a controlled substance, which is a significant step for BetterLife to initiate its IND-enabling pre-clinical studies for TD-0148A.</w:t>
      </w:r>
    </w:p>
    <w:p w14:paraId="33C80AD0" w14:textId="71C453A1" w:rsidR="00E60542" w:rsidRDefault="00E60542" w:rsidP="00E60542">
      <w:pPr>
        <w:pStyle w:val="List"/>
        <w:spacing w:before="120"/>
        <w:ind w:left="720" w:firstLine="0"/>
        <w:jc w:val="both"/>
        <w:rPr>
          <w:rFonts w:ascii="Arial" w:hAnsi="Arial"/>
          <w:i/>
        </w:rPr>
      </w:pPr>
      <w:r>
        <w:rPr>
          <w:rFonts w:ascii="Arial" w:hAnsi="Arial"/>
          <w:i/>
        </w:rPr>
        <w:lastRenderedPageBreak/>
        <w:t>The Company</w:t>
      </w:r>
      <w:r w:rsidRPr="00BC20AB">
        <w:rPr>
          <w:rFonts w:ascii="Arial" w:hAnsi="Arial"/>
          <w:i/>
        </w:rPr>
        <w:t xml:space="preserve"> entered into an agreement with Eurofins Discovery for TD-0148A’s U.S. FDA Investigational New Drug (“IND”)-enabling pharmacology studies. TD-0148A is a second-generation Lysergic Acid Diethylamide (“LSD”) derivative molecule that BetterLife believes will mimic the projected therapeutic potential of LSD without causing the undesirable psychoactive dissociative side effects, such as hallucinations.  Eurofins Discovery will be conducting the IND-enabling in-vitro preclinical primary pharmacology and safety pharmacology studies on TD-0148A at its facilities at Eurofins </w:t>
      </w:r>
      <w:proofErr w:type="spellStart"/>
      <w:r w:rsidRPr="00BC20AB">
        <w:rPr>
          <w:rFonts w:ascii="Arial" w:hAnsi="Arial"/>
          <w:i/>
        </w:rPr>
        <w:t>Cerep</w:t>
      </w:r>
      <w:proofErr w:type="spellEnd"/>
      <w:r w:rsidRPr="00BC20AB">
        <w:rPr>
          <w:rFonts w:ascii="Arial" w:hAnsi="Arial"/>
          <w:i/>
        </w:rPr>
        <w:t xml:space="preserve">, </w:t>
      </w:r>
      <w:proofErr w:type="spellStart"/>
      <w:r w:rsidRPr="00BC20AB">
        <w:rPr>
          <w:rFonts w:ascii="Arial" w:hAnsi="Arial"/>
          <w:i/>
        </w:rPr>
        <w:t>DiscoverX</w:t>
      </w:r>
      <w:proofErr w:type="spellEnd"/>
      <w:r w:rsidRPr="00BC20AB">
        <w:rPr>
          <w:rFonts w:ascii="Arial" w:hAnsi="Arial"/>
          <w:i/>
        </w:rPr>
        <w:t xml:space="preserve"> and </w:t>
      </w:r>
      <w:proofErr w:type="spellStart"/>
      <w:r w:rsidRPr="00BC20AB">
        <w:rPr>
          <w:rFonts w:ascii="Arial" w:hAnsi="Arial"/>
          <w:i/>
        </w:rPr>
        <w:t>Panlabs</w:t>
      </w:r>
      <w:proofErr w:type="spellEnd"/>
      <w:r w:rsidRPr="00BC20AB">
        <w:rPr>
          <w:rFonts w:ascii="Arial" w:hAnsi="Arial"/>
          <w:i/>
        </w:rPr>
        <w:t>.</w:t>
      </w:r>
    </w:p>
    <w:p w14:paraId="626981F5" w14:textId="77777777" w:rsidR="00BC20AB" w:rsidRPr="0093703B" w:rsidRDefault="00BC20AB" w:rsidP="00E60542">
      <w:pPr>
        <w:pStyle w:val="List"/>
        <w:spacing w:before="120"/>
        <w:ind w:left="720" w:firstLine="0"/>
        <w:jc w:val="both"/>
        <w:rPr>
          <w:rFonts w:ascii="Arial" w:hAnsi="Arial"/>
          <w:i/>
          <w:u w:val="single"/>
        </w:rPr>
      </w:pPr>
      <w:r w:rsidRPr="0093703B">
        <w:rPr>
          <w:rFonts w:ascii="Arial" w:hAnsi="Arial"/>
          <w:i/>
          <w:u w:val="single"/>
        </w:rPr>
        <w:t>AP-003</w:t>
      </w:r>
    </w:p>
    <w:p w14:paraId="04AB902A" w14:textId="77777777" w:rsidR="00BC20AB" w:rsidRPr="00BC20AB" w:rsidRDefault="00BC20AB" w:rsidP="00E60542">
      <w:pPr>
        <w:pStyle w:val="List"/>
        <w:spacing w:before="120"/>
        <w:ind w:left="720" w:firstLine="0"/>
        <w:jc w:val="both"/>
        <w:rPr>
          <w:rFonts w:ascii="Arial" w:hAnsi="Arial"/>
          <w:i/>
        </w:rPr>
      </w:pPr>
      <w:r w:rsidRPr="00BC20AB">
        <w:rPr>
          <w:rFonts w:ascii="Arial" w:hAnsi="Arial"/>
          <w:i/>
        </w:rPr>
        <w:t xml:space="preserve">AP-003 is a BetterLife patent protected interferon alpha-2b (IFN-a2b) inhalation formulation. The Company is developing AP-003 for the treatment of pandemic respiratory viral infections, with the initial focus being on early stage COVID-19. AP-003 can be self-administered by the patient at home via a nebulizer. Based on guidance received from the USFDA, the Company has initiated the necessary preclinical IND-enabling studies, with the goal to file the IND by Q3 2021. </w:t>
      </w:r>
    </w:p>
    <w:p w14:paraId="06A7B565" w14:textId="77777777" w:rsidR="00BC20AB" w:rsidRPr="00BC20AB" w:rsidRDefault="00BC20AB" w:rsidP="00E60542">
      <w:pPr>
        <w:pStyle w:val="List"/>
        <w:spacing w:before="120"/>
        <w:ind w:left="720" w:firstLine="0"/>
        <w:jc w:val="both"/>
        <w:rPr>
          <w:rFonts w:ascii="Arial" w:hAnsi="Arial"/>
          <w:i/>
        </w:rPr>
      </w:pPr>
      <w:r w:rsidRPr="00BC20AB">
        <w:rPr>
          <w:rFonts w:ascii="Arial" w:hAnsi="Arial"/>
          <w:i/>
        </w:rPr>
        <w:t>Subject to health regulatory authorities’ approvals, the Company is also considering conduct of AP-003 trials in COVID-19 patients in Q1-Q2 2021 in ex-North American territories, using previously manufactured AP-003.</w:t>
      </w:r>
    </w:p>
    <w:p w14:paraId="2C3C330B" w14:textId="61C5174E" w:rsidR="00BC20AB" w:rsidRDefault="00BC20AB" w:rsidP="00E60542">
      <w:pPr>
        <w:pStyle w:val="List"/>
        <w:spacing w:before="120"/>
        <w:ind w:left="720" w:firstLine="0"/>
        <w:jc w:val="both"/>
        <w:rPr>
          <w:rFonts w:ascii="Arial" w:hAnsi="Arial"/>
          <w:i/>
        </w:rPr>
      </w:pPr>
      <w:r w:rsidRPr="00BC20AB">
        <w:rPr>
          <w:rFonts w:ascii="Arial" w:hAnsi="Arial"/>
          <w:i/>
        </w:rPr>
        <w:t>The Company is quite advanced in its process development and scale-up of its proprietary IFN-a2b manufacturing, which it aims to complete by end of Q1 2021. If these studies are executed, a bridging clinical trial between the old and new manufactured AP-003 will also be conducted to enable use of the ex-North American data as supportive for the US IND. The Company hopes to be able to initiate a registration directed study in the US following the IND.</w:t>
      </w:r>
    </w:p>
    <w:p w14:paraId="08BD63CC" w14:textId="2102A47E" w:rsidR="00E60542" w:rsidRPr="00BC20AB" w:rsidRDefault="00E60542" w:rsidP="00E60542">
      <w:pPr>
        <w:pStyle w:val="List"/>
        <w:spacing w:before="120"/>
        <w:ind w:left="720" w:firstLine="0"/>
        <w:jc w:val="both"/>
        <w:rPr>
          <w:rFonts w:ascii="Arial" w:hAnsi="Arial"/>
          <w:i/>
        </w:rPr>
      </w:pPr>
      <w:r>
        <w:rPr>
          <w:rFonts w:ascii="Arial" w:hAnsi="Arial"/>
          <w:i/>
        </w:rPr>
        <w:t>During the month, the Company</w:t>
      </w:r>
      <w:r w:rsidRPr="00BC20AB">
        <w:rPr>
          <w:rFonts w:ascii="Arial" w:hAnsi="Arial"/>
          <w:i/>
        </w:rPr>
        <w:t xml:space="preserve"> selected </w:t>
      </w:r>
      <w:proofErr w:type="spellStart"/>
      <w:r w:rsidRPr="00BC20AB">
        <w:rPr>
          <w:rFonts w:ascii="Arial" w:hAnsi="Arial"/>
          <w:i/>
        </w:rPr>
        <w:t>Equilab</w:t>
      </w:r>
      <w:proofErr w:type="spellEnd"/>
      <w:r w:rsidRPr="00BC20AB">
        <w:rPr>
          <w:rFonts w:ascii="Arial" w:hAnsi="Arial"/>
          <w:i/>
        </w:rPr>
        <w:t xml:space="preserve"> International (“</w:t>
      </w:r>
      <w:proofErr w:type="spellStart"/>
      <w:r w:rsidRPr="00BC20AB">
        <w:rPr>
          <w:rFonts w:ascii="Arial" w:hAnsi="Arial"/>
          <w:i/>
        </w:rPr>
        <w:t>Equilab</w:t>
      </w:r>
      <w:proofErr w:type="spellEnd"/>
      <w:r w:rsidRPr="00BC20AB">
        <w:rPr>
          <w:rFonts w:ascii="Arial" w:hAnsi="Arial"/>
          <w:i/>
        </w:rPr>
        <w:t xml:space="preserve">”) to manage the upcoming clinical trials for its proprietary formulation of Interferon alpha2b (AP-003) in mild to moderate cases of COVID-19.  Jakarta-based </w:t>
      </w:r>
      <w:proofErr w:type="spellStart"/>
      <w:r w:rsidRPr="00BC20AB">
        <w:rPr>
          <w:rFonts w:ascii="Arial" w:hAnsi="Arial"/>
          <w:i/>
        </w:rPr>
        <w:t>Equilab</w:t>
      </w:r>
      <w:proofErr w:type="spellEnd"/>
      <w:r w:rsidRPr="00BC20AB">
        <w:rPr>
          <w:rFonts w:ascii="Arial" w:hAnsi="Arial"/>
          <w:i/>
        </w:rPr>
        <w:t xml:space="preserve"> is an internationally recognized CRO with a strong team of clinical and analytical researchers that have already conducted clinical trials in COVID-19 patients. BetterLife and </w:t>
      </w:r>
      <w:proofErr w:type="spellStart"/>
      <w:r w:rsidRPr="00BC20AB">
        <w:rPr>
          <w:rFonts w:ascii="Arial" w:hAnsi="Arial"/>
          <w:i/>
        </w:rPr>
        <w:t>Equilab</w:t>
      </w:r>
      <w:proofErr w:type="spellEnd"/>
      <w:r w:rsidRPr="00BC20AB">
        <w:rPr>
          <w:rFonts w:ascii="Arial" w:hAnsi="Arial"/>
          <w:i/>
        </w:rPr>
        <w:t xml:space="preserve"> will conduct the placebo-controlled blinded trials in COVID-19 patients at </w:t>
      </w:r>
      <w:proofErr w:type="spellStart"/>
      <w:r w:rsidRPr="00BC20AB">
        <w:rPr>
          <w:rFonts w:ascii="Arial" w:hAnsi="Arial"/>
          <w:i/>
        </w:rPr>
        <w:t>Equilab’s</w:t>
      </w:r>
      <w:proofErr w:type="spellEnd"/>
      <w:r w:rsidRPr="00BC20AB">
        <w:rPr>
          <w:rFonts w:ascii="Arial" w:hAnsi="Arial"/>
          <w:i/>
        </w:rPr>
        <w:t xml:space="preserve"> own 75 bed clinical facility.</w:t>
      </w:r>
    </w:p>
    <w:p w14:paraId="611BF61B" w14:textId="25499B97" w:rsidR="00E60542" w:rsidRDefault="00E60542" w:rsidP="00E60542">
      <w:pPr>
        <w:pStyle w:val="List"/>
        <w:spacing w:before="120"/>
        <w:ind w:left="720" w:firstLine="0"/>
        <w:jc w:val="both"/>
        <w:rPr>
          <w:rFonts w:ascii="Arial" w:hAnsi="Arial"/>
          <w:i/>
        </w:rPr>
      </w:pPr>
      <w:r>
        <w:rPr>
          <w:rFonts w:ascii="Arial" w:hAnsi="Arial"/>
          <w:i/>
        </w:rPr>
        <w:t>The Company also</w:t>
      </w:r>
      <w:r w:rsidRPr="00BC20AB">
        <w:rPr>
          <w:rFonts w:ascii="Arial" w:hAnsi="Arial"/>
          <w:i/>
        </w:rPr>
        <w:t xml:space="preserve"> confirmed stability of its inhalable interferon product through six months of real- time testing.  The testing was conducted at -20°C and +2°C to +8°C temperatures which correspond to ordinary freezer and refrigerator temperatures.  The interferon met all established stability testing criteria.  The ability to ship, store and use the product at these temperatures greatly simplifies the distribution chain and patient use protocols.  The testing was performed at Longmont, Colorado-based Neva Analytics.</w:t>
      </w:r>
    </w:p>
    <w:p w14:paraId="13E2BADD" w14:textId="368CE9CD" w:rsidR="0093703B" w:rsidRPr="0093703B" w:rsidRDefault="0093703B" w:rsidP="0093703B">
      <w:pPr>
        <w:pStyle w:val="List"/>
        <w:spacing w:before="120"/>
        <w:ind w:left="720" w:firstLine="0"/>
        <w:jc w:val="both"/>
        <w:rPr>
          <w:rFonts w:ascii="Arial" w:hAnsi="Arial"/>
          <w:b/>
          <w:bCs/>
          <w:i/>
        </w:rPr>
      </w:pPr>
      <w:r>
        <w:rPr>
          <w:rFonts w:ascii="Arial" w:hAnsi="Arial"/>
          <w:b/>
          <w:bCs/>
          <w:i/>
        </w:rPr>
        <w:t>CAUTIONARY NOTE</w:t>
      </w:r>
      <w:r w:rsidRPr="0093703B">
        <w:rPr>
          <w:rFonts w:ascii="Arial" w:hAnsi="Arial"/>
          <w:b/>
          <w:bCs/>
          <w:i/>
        </w:rPr>
        <w:t xml:space="preserve">: </w:t>
      </w:r>
      <w:r w:rsidRPr="0093703B">
        <w:rPr>
          <w:rFonts w:ascii="Arial" w:hAnsi="Arial"/>
          <w:b/>
          <w:bCs/>
          <w:i/>
        </w:rPr>
        <w:t xml:space="preserve">The Company is not making any express or implied claims that AP-003 or any other product </w:t>
      </w:r>
      <w:proofErr w:type="gramStart"/>
      <w:r w:rsidRPr="0093703B">
        <w:rPr>
          <w:rFonts w:ascii="Arial" w:hAnsi="Arial"/>
          <w:b/>
          <w:bCs/>
          <w:i/>
        </w:rPr>
        <w:t>has the ability to</w:t>
      </w:r>
      <w:proofErr w:type="gramEnd"/>
      <w:r w:rsidRPr="0093703B">
        <w:rPr>
          <w:rFonts w:ascii="Arial" w:hAnsi="Arial"/>
          <w:b/>
          <w:bCs/>
          <w:i/>
        </w:rPr>
        <w:t xml:space="preserve"> eliminate, cure or contain the COVID-19 (or SARS-2 Coronavirus) at this time.</w:t>
      </w:r>
    </w:p>
    <w:p w14:paraId="6237636A" w14:textId="77777777" w:rsidR="0093703B" w:rsidRDefault="0093703B" w:rsidP="00E60542">
      <w:pPr>
        <w:pStyle w:val="List"/>
        <w:spacing w:before="120"/>
        <w:ind w:left="720" w:firstLine="0"/>
        <w:jc w:val="both"/>
        <w:rPr>
          <w:rFonts w:ascii="Arial" w:hAnsi="Arial"/>
          <w:i/>
          <w:u w:val="single"/>
        </w:rPr>
      </w:pPr>
    </w:p>
    <w:p w14:paraId="18F778A2" w14:textId="77777777" w:rsidR="0093703B" w:rsidRDefault="0093703B" w:rsidP="00E60542">
      <w:pPr>
        <w:pStyle w:val="List"/>
        <w:spacing w:before="120"/>
        <w:ind w:left="720" w:firstLine="0"/>
        <w:jc w:val="both"/>
        <w:rPr>
          <w:rFonts w:ascii="Arial" w:hAnsi="Arial"/>
          <w:i/>
          <w:u w:val="single"/>
        </w:rPr>
      </w:pPr>
    </w:p>
    <w:p w14:paraId="4E2AE8F3" w14:textId="01EDC050" w:rsidR="00BC20AB" w:rsidRPr="0093703B" w:rsidRDefault="00BC20AB" w:rsidP="00E60542">
      <w:pPr>
        <w:pStyle w:val="List"/>
        <w:spacing w:before="120"/>
        <w:ind w:left="720" w:firstLine="0"/>
        <w:jc w:val="both"/>
        <w:rPr>
          <w:rFonts w:ascii="Arial" w:hAnsi="Arial"/>
          <w:i/>
          <w:u w:val="single"/>
        </w:rPr>
      </w:pPr>
      <w:r w:rsidRPr="0093703B">
        <w:rPr>
          <w:rFonts w:ascii="Arial" w:hAnsi="Arial"/>
          <w:i/>
          <w:u w:val="single"/>
        </w:rPr>
        <w:lastRenderedPageBreak/>
        <w:t>AP-001</w:t>
      </w:r>
    </w:p>
    <w:p w14:paraId="5F37A0CC" w14:textId="18D9BD23" w:rsidR="00BC20AB" w:rsidRPr="00BC20AB" w:rsidRDefault="00BC20AB" w:rsidP="00E60542">
      <w:pPr>
        <w:pStyle w:val="List"/>
        <w:spacing w:before="120"/>
        <w:ind w:left="720" w:firstLine="0"/>
        <w:jc w:val="both"/>
        <w:rPr>
          <w:rFonts w:ascii="Arial" w:hAnsi="Arial"/>
          <w:i/>
        </w:rPr>
      </w:pPr>
      <w:r w:rsidRPr="00BC20AB">
        <w:rPr>
          <w:rFonts w:ascii="Arial" w:hAnsi="Arial"/>
          <w:i/>
        </w:rPr>
        <w:t>AP-001 is a BetterLife patent-protected IFN-a2b cream formulation. The Company is developing AP-001 for the treatment of human papillomavirus (</w:t>
      </w:r>
      <w:r w:rsidR="00E60542">
        <w:rPr>
          <w:rFonts w:ascii="Arial" w:hAnsi="Arial"/>
          <w:i/>
        </w:rPr>
        <w:t>“</w:t>
      </w:r>
      <w:r w:rsidRPr="00BC20AB">
        <w:rPr>
          <w:rFonts w:ascii="Arial" w:hAnsi="Arial"/>
          <w:i/>
        </w:rPr>
        <w:t>HPV</w:t>
      </w:r>
      <w:r w:rsidR="00E60542">
        <w:rPr>
          <w:rFonts w:ascii="Arial" w:hAnsi="Arial"/>
          <w:i/>
        </w:rPr>
        <w:t>”</w:t>
      </w:r>
      <w:r w:rsidRPr="00BC20AB">
        <w:rPr>
          <w:rFonts w:ascii="Arial" w:hAnsi="Arial"/>
          <w:i/>
        </w:rPr>
        <w:t xml:space="preserve">) induced high-grade cervical intra-epithelial neoplasia, the precursor to cervical cancer. Current treatments for this indication are all invasive with risk of side effects requiring professional health care intervention. </w:t>
      </w:r>
    </w:p>
    <w:p w14:paraId="1F2FE041" w14:textId="2ED09D0B" w:rsidR="00BC20AB" w:rsidRDefault="00BC20AB" w:rsidP="00E60542">
      <w:pPr>
        <w:pStyle w:val="List"/>
        <w:spacing w:before="120"/>
        <w:ind w:left="720" w:firstLine="0"/>
        <w:jc w:val="both"/>
        <w:rPr>
          <w:rFonts w:ascii="Arial" w:hAnsi="Arial"/>
          <w:i/>
        </w:rPr>
      </w:pPr>
      <w:r w:rsidRPr="00BC20AB">
        <w:rPr>
          <w:rFonts w:ascii="Arial" w:hAnsi="Arial"/>
          <w:i/>
        </w:rPr>
        <w:t>AP-001 is being developed as a patient self-administered (once-daily) intra-vaginal cream as a 6-week treatment. By Q3 of 2021, the Company plans to have completed process development and scale-up of the AP-001 cream and initiate GMP manufacturing. The Company plans to have a pre-IND meeting with the USFDA in Q3 2021 and initiate the IND-enabling studies shortly thereafter, with the goal to file an IND by Q1 2022.</w:t>
      </w:r>
    </w:p>
    <w:p w14:paraId="14256E63" w14:textId="0E326BB5" w:rsidR="0093703B" w:rsidRPr="0093703B" w:rsidRDefault="0093703B" w:rsidP="00E60542">
      <w:pPr>
        <w:pStyle w:val="List"/>
        <w:spacing w:before="120"/>
        <w:ind w:left="720" w:firstLine="0"/>
        <w:jc w:val="both"/>
        <w:rPr>
          <w:rFonts w:ascii="Arial" w:hAnsi="Arial"/>
          <w:b/>
          <w:bCs/>
          <w:i/>
        </w:rPr>
      </w:pPr>
      <w:r w:rsidRPr="0093703B">
        <w:rPr>
          <w:rFonts w:ascii="Arial" w:hAnsi="Arial"/>
          <w:b/>
          <w:bCs/>
          <w:i/>
        </w:rPr>
        <w:t xml:space="preserve">CAUTIONARY NOTE REGARDING FORWARD-LOOKING STATEMENTS: The above </w:t>
      </w:r>
      <w:r w:rsidRPr="0093703B">
        <w:rPr>
          <w:rFonts w:ascii="Arial" w:hAnsi="Arial"/>
          <w:b/>
          <w:bCs/>
          <w:i/>
        </w:rPr>
        <w:t>contains forward-looking statements relating to product development, licensing, commercialization and regulatory compliance issues and other statements that are not historical facts</w:t>
      </w:r>
      <w:r w:rsidRPr="0093703B">
        <w:rPr>
          <w:rFonts w:ascii="Arial" w:hAnsi="Arial"/>
          <w:b/>
          <w:bCs/>
          <w:i/>
        </w:rPr>
        <w:t xml:space="preserve"> and which contain risks and uncertainties.  </w:t>
      </w:r>
      <w:r w:rsidRPr="0093703B">
        <w:rPr>
          <w:rFonts w:ascii="Arial" w:hAnsi="Arial"/>
          <w:b/>
          <w:bCs/>
          <w:i/>
        </w:rPr>
        <w:t>There can be no assurance that such statements will prove to be accurate and actual results and future events could differ materially from those anticipated in such statements</w:t>
      </w:r>
      <w:r w:rsidRPr="0093703B">
        <w:rPr>
          <w:rFonts w:ascii="Arial" w:hAnsi="Arial"/>
          <w:b/>
          <w:bCs/>
          <w:i/>
        </w:rPr>
        <w:t>.</w:t>
      </w:r>
    </w:p>
    <w:bookmarkEnd w:id="5"/>
    <w:p w14:paraId="61133E81"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A51C988" w14:textId="77777777" w:rsidR="00D861FE" w:rsidRPr="00D861FE" w:rsidRDefault="00D861FE" w:rsidP="00D861FE">
      <w:pPr>
        <w:pStyle w:val="List"/>
        <w:spacing w:before="120"/>
        <w:ind w:left="720" w:firstLine="0"/>
        <w:jc w:val="both"/>
        <w:rPr>
          <w:rFonts w:ascii="Arial" w:hAnsi="Arial"/>
          <w:i/>
        </w:rPr>
      </w:pPr>
      <w:r w:rsidRPr="00D861FE">
        <w:rPr>
          <w:rFonts w:ascii="Arial" w:hAnsi="Arial"/>
          <w:i/>
        </w:rPr>
        <w:t>Please see Item 1.</w:t>
      </w:r>
    </w:p>
    <w:p w14:paraId="6EAD4B1B"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09274FCF" w14:textId="30138539" w:rsidR="00D861FE" w:rsidRDefault="00A94A83" w:rsidP="000E548E">
      <w:pPr>
        <w:pStyle w:val="List"/>
        <w:spacing w:before="120"/>
        <w:ind w:left="720" w:firstLine="0"/>
        <w:jc w:val="both"/>
        <w:rPr>
          <w:rFonts w:ascii="Arial" w:hAnsi="Arial"/>
          <w:i/>
        </w:rPr>
      </w:pPr>
      <w:r>
        <w:rPr>
          <w:rFonts w:ascii="Arial" w:hAnsi="Arial"/>
          <w:i/>
        </w:rPr>
        <w:t>N/A.</w:t>
      </w:r>
    </w:p>
    <w:p w14:paraId="442D7B8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FEA021B" w14:textId="77777777" w:rsidR="00D861FE" w:rsidRPr="00D861FE" w:rsidRDefault="00B17AEE" w:rsidP="00D861FE">
      <w:pPr>
        <w:pStyle w:val="List"/>
        <w:spacing w:before="120"/>
        <w:ind w:left="720" w:firstLine="0"/>
        <w:jc w:val="both"/>
        <w:rPr>
          <w:rFonts w:ascii="Arial" w:hAnsi="Arial"/>
          <w:i/>
        </w:rPr>
      </w:pPr>
      <w:r>
        <w:rPr>
          <w:rFonts w:ascii="Arial" w:hAnsi="Arial"/>
          <w:i/>
        </w:rPr>
        <w:t>N/A</w:t>
      </w:r>
      <w:r w:rsidR="00D861FE">
        <w:rPr>
          <w:rFonts w:ascii="Arial" w:hAnsi="Arial"/>
          <w:i/>
        </w:rPr>
        <w:t>.</w:t>
      </w:r>
    </w:p>
    <w:p w14:paraId="6F5F8186"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07F765C" w14:textId="534EAC08" w:rsidR="00A23C08" w:rsidRPr="00D861FE" w:rsidRDefault="00BC20AB" w:rsidP="00A23C08">
      <w:pPr>
        <w:pStyle w:val="List"/>
        <w:spacing w:before="120"/>
        <w:ind w:left="720" w:firstLine="0"/>
        <w:jc w:val="both"/>
        <w:rPr>
          <w:rFonts w:ascii="Arial" w:hAnsi="Arial"/>
          <w:i/>
        </w:rPr>
      </w:pPr>
      <w:r>
        <w:rPr>
          <w:rFonts w:ascii="Arial" w:hAnsi="Arial"/>
          <w:i/>
        </w:rPr>
        <w:t>Please see Item 1.</w:t>
      </w:r>
    </w:p>
    <w:p w14:paraId="110E2C2B" w14:textId="77777777" w:rsidR="00640E94" w:rsidRDefault="00640E94">
      <w:pPr>
        <w:pStyle w:val="List"/>
        <w:numPr>
          <w:ilvl w:val="0"/>
          <w:numId w:val="28"/>
        </w:numPr>
        <w:spacing w:before="120"/>
        <w:jc w:val="both"/>
        <w:rPr>
          <w:rFonts w:ascii="Arial" w:hAnsi="Arial"/>
        </w:rPr>
      </w:pPr>
      <w:bookmarkStart w:id="6" w:name="_Hlk36806164"/>
      <w:r>
        <w:rPr>
          <w:rFonts w:ascii="Arial" w:hAnsi="Arial"/>
        </w:rPr>
        <w:t>Describe the expiry or termination of any contracts or agreements between the Issuer, the Issuer’s affiliates or third parties or cancellation of any financing arrangements that have been previously announced.</w:t>
      </w:r>
    </w:p>
    <w:p w14:paraId="67C11854" w14:textId="316438EF" w:rsidR="0014406D" w:rsidRPr="0014406D" w:rsidRDefault="00842030" w:rsidP="0014406D">
      <w:pPr>
        <w:pStyle w:val="List"/>
        <w:spacing w:before="120"/>
        <w:ind w:left="720" w:firstLine="0"/>
        <w:jc w:val="both"/>
        <w:rPr>
          <w:rFonts w:ascii="Arial" w:hAnsi="Arial"/>
          <w:i/>
        </w:rPr>
      </w:pPr>
      <w:r>
        <w:rPr>
          <w:rFonts w:ascii="Arial" w:hAnsi="Arial"/>
          <w:i/>
        </w:rPr>
        <w:t>N/A</w:t>
      </w:r>
      <w:r w:rsidR="00D03F31">
        <w:rPr>
          <w:rFonts w:ascii="Arial" w:hAnsi="Arial"/>
          <w:i/>
        </w:rPr>
        <w:t>.</w:t>
      </w:r>
    </w:p>
    <w:bookmarkEnd w:id="6"/>
    <w:p w14:paraId="75CF3CE2" w14:textId="77777777" w:rsidR="00640E94" w:rsidRDefault="00640E94">
      <w:pPr>
        <w:pStyle w:val="List"/>
        <w:numPr>
          <w:ilvl w:val="0"/>
          <w:numId w:val="28"/>
        </w:numPr>
        <w:spacing w:before="120"/>
        <w:jc w:val="both"/>
        <w:rPr>
          <w:rFonts w:ascii="Arial" w:hAnsi="Arial"/>
        </w:rPr>
      </w:pPr>
      <w:r>
        <w:rPr>
          <w:rFonts w:ascii="Arial" w:hAnsi="Arial"/>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4406D">
        <w:rPr>
          <w:rFonts w:ascii="Arial" w:hAnsi="Arial"/>
        </w:rPr>
        <w:t>s of the relationship.</w:t>
      </w:r>
    </w:p>
    <w:p w14:paraId="1515AC6B" w14:textId="3095E298" w:rsidR="00C358BE" w:rsidRPr="0014406D" w:rsidRDefault="00BC20AB" w:rsidP="001D0265">
      <w:pPr>
        <w:pStyle w:val="List"/>
        <w:spacing w:before="120"/>
        <w:ind w:left="720" w:firstLine="0"/>
        <w:jc w:val="both"/>
        <w:rPr>
          <w:rFonts w:ascii="Arial" w:hAnsi="Arial"/>
          <w:i/>
        </w:rPr>
      </w:pPr>
      <w:r>
        <w:rPr>
          <w:rFonts w:ascii="Arial" w:hAnsi="Arial"/>
          <w:i/>
        </w:rPr>
        <w:t>N/A</w:t>
      </w:r>
    </w:p>
    <w:p w14:paraId="3088C15E"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96EF4F0" w14:textId="4EFFEDAC" w:rsidR="0014406D" w:rsidRPr="0014406D" w:rsidRDefault="00B17AEE" w:rsidP="0014406D">
      <w:pPr>
        <w:pStyle w:val="List"/>
        <w:spacing w:before="120"/>
        <w:ind w:left="720" w:firstLine="0"/>
        <w:jc w:val="both"/>
        <w:rPr>
          <w:rFonts w:ascii="Arial" w:hAnsi="Arial"/>
          <w:i/>
        </w:rPr>
      </w:pPr>
      <w:r>
        <w:rPr>
          <w:rFonts w:ascii="Arial" w:hAnsi="Arial"/>
          <w:i/>
        </w:rPr>
        <w:t>N/A</w:t>
      </w:r>
    </w:p>
    <w:p w14:paraId="00B7611A" w14:textId="77777777" w:rsidR="00640E94" w:rsidRDefault="00640E94">
      <w:pPr>
        <w:pStyle w:val="List"/>
        <w:numPr>
          <w:ilvl w:val="0"/>
          <w:numId w:val="28"/>
        </w:numPr>
        <w:spacing w:before="120"/>
        <w:jc w:val="both"/>
        <w:rPr>
          <w:rFonts w:ascii="Arial" w:hAnsi="Arial"/>
        </w:rPr>
      </w:pPr>
      <w:bookmarkStart w:id="7" w:name="_Hlk36806195"/>
      <w:r>
        <w:rPr>
          <w:rFonts w:ascii="Arial" w:hAnsi="Arial"/>
        </w:rPr>
        <w:t>Describe any new developments or effects on intangible products such as brand names, circulation lists, copyrights, franchises, licenses, patents, software, subscription lists and trade-marks.</w:t>
      </w:r>
    </w:p>
    <w:p w14:paraId="7F5AA6BC" w14:textId="78FB54DD" w:rsidR="003138E2" w:rsidRPr="0014406D" w:rsidRDefault="00E60542" w:rsidP="003138E2">
      <w:pPr>
        <w:pStyle w:val="List"/>
        <w:spacing w:before="120"/>
        <w:ind w:left="720" w:firstLine="0"/>
        <w:jc w:val="both"/>
        <w:rPr>
          <w:rFonts w:ascii="Arial" w:hAnsi="Arial"/>
          <w:i/>
        </w:rPr>
      </w:pPr>
      <w:r>
        <w:rPr>
          <w:rFonts w:ascii="Arial" w:hAnsi="Arial"/>
          <w:i/>
        </w:rPr>
        <w:t>Please see Item 1.</w:t>
      </w:r>
    </w:p>
    <w:p w14:paraId="35549375" w14:textId="77777777" w:rsidR="00640E94" w:rsidRDefault="00640E94">
      <w:pPr>
        <w:pStyle w:val="List"/>
        <w:numPr>
          <w:ilvl w:val="0"/>
          <w:numId w:val="28"/>
        </w:numPr>
        <w:spacing w:before="120"/>
        <w:jc w:val="both"/>
        <w:rPr>
          <w:rFonts w:ascii="Arial" w:hAnsi="Arial"/>
        </w:rPr>
      </w:pPr>
      <w:bookmarkStart w:id="8" w:name="_Hlk36806242"/>
      <w:bookmarkEnd w:id="7"/>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08A9B24E" w14:textId="48D5075C" w:rsidR="0014406D" w:rsidRPr="0014406D" w:rsidRDefault="001D0265" w:rsidP="00BC51E5">
      <w:pPr>
        <w:pStyle w:val="List"/>
        <w:spacing w:before="120"/>
        <w:ind w:left="720" w:firstLine="0"/>
        <w:jc w:val="both"/>
        <w:rPr>
          <w:rFonts w:ascii="Arial" w:hAnsi="Arial"/>
          <w:i/>
        </w:rPr>
      </w:pPr>
      <w:r>
        <w:rPr>
          <w:rFonts w:ascii="Arial" w:hAnsi="Arial"/>
          <w:i/>
        </w:rPr>
        <w:t>N/A</w:t>
      </w:r>
      <w:r w:rsidR="00C8589C">
        <w:rPr>
          <w:rFonts w:ascii="Arial" w:hAnsi="Arial"/>
          <w:i/>
        </w:rPr>
        <w:t>.</w:t>
      </w:r>
    </w:p>
    <w:bookmarkEnd w:id="8"/>
    <w:p w14:paraId="712A1E68"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7DD6996" w14:textId="4BFEBADA" w:rsidR="0014406D" w:rsidRDefault="00F90126" w:rsidP="0014406D">
      <w:pPr>
        <w:pStyle w:val="List"/>
        <w:spacing w:before="120"/>
        <w:ind w:left="720" w:firstLine="0"/>
        <w:jc w:val="both"/>
        <w:rPr>
          <w:rFonts w:ascii="Arial" w:hAnsi="Arial"/>
          <w:i/>
        </w:rPr>
      </w:pPr>
      <w:r>
        <w:rPr>
          <w:rFonts w:ascii="Arial" w:hAnsi="Arial"/>
          <w:i/>
        </w:rPr>
        <w:t>N/A</w:t>
      </w:r>
      <w:r w:rsidR="0014406D">
        <w:rPr>
          <w:rFonts w:ascii="Arial" w:hAnsi="Arial"/>
          <w:i/>
        </w:rPr>
        <w:t>.</w:t>
      </w:r>
    </w:p>
    <w:p w14:paraId="04289402" w14:textId="77777777" w:rsidR="00640E94" w:rsidRDefault="00640E94">
      <w:pPr>
        <w:pStyle w:val="List"/>
        <w:numPr>
          <w:ilvl w:val="0"/>
          <w:numId w:val="28"/>
        </w:numPr>
        <w:spacing w:before="120"/>
        <w:jc w:val="both"/>
        <w:rPr>
          <w:rFonts w:ascii="Arial" w:hAnsi="Arial"/>
        </w:rPr>
      </w:pPr>
      <w:bookmarkStart w:id="9" w:name="_Hlk31792398"/>
      <w:bookmarkStart w:id="10" w:name="_Hlk26261408"/>
      <w:bookmarkStart w:id="11" w:name="_Hlk23950278"/>
      <w:bookmarkStart w:id="12" w:name="_Hlk23950309"/>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bookmarkEnd w:id="9"/>
      <w:r>
        <w:rPr>
          <w:rFonts w:ascii="Arial" w:hAnsi="Arial"/>
        </w:rPr>
        <w:t>.</w:t>
      </w:r>
    </w:p>
    <w:bookmarkEnd w:id="10"/>
    <w:bookmarkEnd w:id="11"/>
    <w:bookmarkEnd w:id="12"/>
    <w:p w14:paraId="6AA8A22A" w14:textId="775F2054" w:rsidR="000C1488" w:rsidRDefault="001D0265" w:rsidP="000C1488">
      <w:pPr>
        <w:pStyle w:val="List"/>
        <w:spacing w:before="120"/>
        <w:ind w:left="720" w:firstLine="0"/>
        <w:jc w:val="both"/>
        <w:rPr>
          <w:rFonts w:ascii="Arial" w:hAnsi="Arial"/>
          <w:i/>
        </w:rPr>
      </w:pPr>
      <w:r>
        <w:rPr>
          <w:rFonts w:ascii="Arial" w:hAnsi="Arial"/>
          <w:i/>
        </w:rPr>
        <w:t>N/A</w:t>
      </w:r>
      <w:r w:rsidR="00C8589C" w:rsidRPr="00C8589C">
        <w:rPr>
          <w:rFonts w:ascii="Arial" w:hAnsi="Arial"/>
          <w:i/>
        </w:rPr>
        <w:t>.</w:t>
      </w:r>
    </w:p>
    <w:p w14:paraId="0488B290" w14:textId="5E867EAF" w:rsidR="00640E94" w:rsidRDefault="00640E94" w:rsidP="000C1488">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B36F457" w14:textId="72D68735" w:rsidR="0084310F" w:rsidRPr="0014406D" w:rsidRDefault="00E60542" w:rsidP="0014406D">
      <w:pPr>
        <w:pStyle w:val="List"/>
        <w:spacing w:before="120"/>
        <w:ind w:left="720" w:firstLine="0"/>
        <w:jc w:val="both"/>
        <w:rPr>
          <w:rFonts w:ascii="Arial" w:hAnsi="Arial"/>
          <w:i/>
        </w:rPr>
      </w:pPr>
      <w:r>
        <w:rPr>
          <w:rFonts w:ascii="Arial" w:hAnsi="Arial"/>
          <w:i/>
        </w:rPr>
        <w:t xml:space="preserve">In January 2021, the Company issued </w:t>
      </w:r>
      <w:r w:rsidRPr="00BC20AB">
        <w:rPr>
          <w:rFonts w:ascii="Arial" w:hAnsi="Arial"/>
          <w:i/>
        </w:rPr>
        <w:t>89,034 common shares pursuant to conversion of convertible debenture and accrued interest totalling $102,389</w:t>
      </w:r>
      <w:r>
        <w:rPr>
          <w:rFonts w:ascii="Arial" w:hAnsi="Arial"/>
          <w:i/>
        </w:rPr>
        <w:t>.</w:t>
      </w:r>
    </w:p>
    <w:p w14:paraId="56485FA8"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6866A751" w14:textId="77777777" w:rsidR="00BC20AB" w:rsidRPr="00BC20AB" w:rsidRDefault="00BC20AB" w:rsidP="00E60542">
      <w:pPr>
        <w:pStyle w:val="List"/>
        <w:spacing w:before="120"/>
        <w:ind w:left="720" w:firstLine="0"/>
        <w:jc w:val="both"/>
        <w:rPr>
          <w:rFonts w:ascii="Arial" w:hAnsi="Arial"/>
          <w:i/>
        </w:rPr>
      </w:pPr>
      <w:r w:rsidRPr="00BC20AB">
        <w:rPr>
          <w:rFonts w:ascii="Arial" w:hAnsi="Arial"/>
          <w:i/>
        </w:rPr>
        <w:t>During January 2021, the Company issued the following securities:</w:t>
      </w:r>
    </w:p>
    <w:p w14:paraId="086E32E6" w14:textId="36EE022C" w:rsidR="00BC20AB" w:rsidRPr="00BC20AB" w:rsidRDefault="00BC20AB" w:rsidP="00E60542">
      <w:pPr>
        <w:pStyle w:val="List"/>
        <w:spacing w:before="120"/>
        <w:ind w:firstLine="0"/>
        <w:jc w:val="both"/>
        <w:rPr>
          <w:rFonts w:ascii="Arial" w:hAnsi="Arial"/>
          <w:i/>
        </w:rPr>
      </w:pPr>
      <w:r w:rsidRPr="00BC20AB">
        <w:rPr>
          <w:rFonts w:ascii="Arial" w:hAnsi="Arial"/>
          <w:i/>
        </w:rPr>
        <w:t>•</w:t>
      </w:r>
      <w:r w:rsidRPr="00BC20AB">
        <w:rPr>
          <w:rFonts w:ascii="Arial" w:hAnsi="Arial"/>
          <w:i/>
        </w:rPr>
        <w:tab/>
      </w:r>
      <w:r w:rsidR="00E60542">
        <w:rPr>
          <w:rFonts w:ascii="Arial" w:hAnsi="Arial"/>
          <w:i/>
        </w:rPr>
        <w:t>3</w:t>
      </w:r>
      <w:r w:rsidRPr="00BC20AB">
        <w:rPr>
          <w:rFonts w:ascii="Arial" w:hAnsi="Arial"/>
          <w:i/>
        </w:rPr>
        <w:t>61,452 common shares were issued</w:t>
      </w:r>
      <w:r w:rsidR="00E60542">
        <w:rPr>
          <w:rFonts w:ascii="Arial" w:hAnsi="Arial"/>
          <w:i/>
        </w:rPr>
        <w:t xml:space="preserve"> to third parties</w:t>
      </w:r>
      <w:r w:rsidRPr="00BC20AB">
        <w:rPr>
          <w:rFonts w:ascii="Arial" w:hAnsi="Arial"/>
          <w:i/>
        </w:rPr>
        <w:t xml:space="preserve"> for services rendered.</w:t>
      </w:r>
    </w:p>
    <w:p w14:paraId="06A3515D" w14:textId="77777777" w:rsidR="00BC20AB" w:rsidRPr="00BC20AB" w:rsidRDefault="00BC20AB" w:rsidP="00E60542">
      <w:pPr>
        <w:pStyle w:val="List"/>
        <w:spacing w:before="120"/>
        <w:ind w:firstLine="0"/>
        <w:jc w:val="both"/>
        <w:rPr>
          <w:rFonts w:ascii="Arial" w:hAnsi="Arial"/>
          <w:i/>
        </w:rPr>
      </w:pPr>
      <w:r w:rsidRPr="00BC20AB">
        <w:rPr>
          <w:rFonts w:ascii="Arial" w:hAnsi="Arial"/>
          <w:i/>
        </w:rPr>
        <w:t>•</w:t>
      </w:r>
      <w:r w:rsidRPr="00BC20AB">
        <w:rPr>
          <w:rFonts w:ascii="Arial" w:hAnsi="Arial"/>
          <w:i/>
        </w:rPr>
        <w:tab/>
        <w:t>89,034 common shares were issued pursuant to conversion of convertible debenture and accrued interest totalling $102,389.</w:t>
      </w:r>
    </w:p>
    <w:p w14:paraId="42750BEA" w14:textId="77777777" w:rsidR="00BC20AB" w:rsidRPr="00BC20AB" w:rsidRDefault="00BC20AB" w:rsidP="00E60542">
      <w:pPr>
        <w:pStyle w:val="List"/>
        <w:spacing w:before="120"/>
        <w:ind w:firstLine="0"/>
        <w:jc w:val="both"/>
        <w:rPr>
          <w:rFonts w:ascii="Arial" w:hAnsi="Arial"/>
          <w:i/>
        </w:rPr>
      </w:pPr>
      <w:r w:rsidRPr="00BC20AB">
        <w:rPr>
          <w:rFonts w:ascii="Arial" w:hAnsi="Arial"/>
          <w:i/>
        </w:rPr>
        <w:t>•</w:t>
      </w:r>
      <w:r w:rsidRPr="00BC20AB">
        <w:rPr>
          <w:rFonts w:ascii="Arial" w:hAnsi="Arial"/>
          <w:i/>
        </w:rPr>
        <w:tab/>
        <w:t>316,000 common shares and 316,000 share purchase warrants, with exercise price of $0.60 per share and maturity on December 1, 2023, were issued pursuant to the exercise of 287,273 special warrants.</w:t>
      </w:r>
    </w:p>
    <w:p w14:paraId="1CE81D84" w14:textId="50630835" w:rsidR="00BC20AB" w:rsidRDefault="00BC20AB" w:rsidP="00E60542">
      <w:pPr>
        <w:pStyle w:val="List"/>
        <w:spacing w:before="120"/>
        <w:ind w:firstLine="0"/>
        <w:jc w:val="both"/>
        <w:rPr>
          <w:rFonts w:ascii="Arial" w:hAnsi="Arial"/>
          <w:i/>
        </w:rPr>
      </w:pPr>
      <w:r w:rsidRPr="00BC20AB">
        <w:rPr>
          <w:rFonts w:ascii="Arial" w:hAnsi="Arial"/>
          <w:i/>
        </w:rPr>
        <w:t>•</w:t>
      </w:r>
      <w:r w:rsidRPr="00BC20AB">
        <w:rPr>
          <w:rFonts w:ascii="Arial" w:hAnsi="Arial"/>
          <w:i/>
        </w:rPr>
        <w:tab/>
        <w:t>316,000 common shares were issued pursuant to the exercise of 316,000 share purchase warrants at exercise price of $0.60 per share.</w:t>
      </w:r>
    </w:p>
    <w:p w14:paraId="023EC561" w14:textId="35682860" w:rsidR="00E60542" w:rsidRDefault="00E60542" w:rsidP="00E60542">
      <w:pPr>
        <w:pStyle w:val="List"/>
        <w:spacing w:before="120"/>
        <w:ind w:firstLine="0"/>
        <w:jc w:val="both"/>
        <w:rPr>
          <w:rFonts w:ascii="Arial" w:hAnsi="Arial"/>
          <w:i/>
        </w:rPr>
      </w:pPr>
      <w:r w:rsidRPr="00BC20AB">
        <w:rPr>
          <w:rFonts w:ascii="Arial" w:hAnsi="Arial"/>
          <w:i/>
        </w:rPr>
        <w:lastRenderedPageBreak/>
        <w:t>•</w:t>
      </w:r>
      <w:r w:rsidRPr="00BC20AB">
        <w:rPr>
          <w:rFonts w:ascii="Arial" w:hAnsi="Arial"/>
          <w:i/>
        </w:rPr>
        <w:tab/>
        <w:t xml:space="preserve">40,000 stock options, with exercise price of </w:t>
      </w:r>
      <w:proofErr w:type="gramStart"/>
      <w:r w:rsidRPr="00BC20AB">
        <w:rPr>
          <w:rFonts w:ascii="Arial" w:hAnsi="Arial"/>
          <w:i/>
        </w:rPr>
        <w:t>US$1.42 and two year</w:t>
      </w:r>
      <w:proofErr w:type="gramEnd"/>
      <w:r w:rsidRPr="00BC20AB">
        <w:rPr>
          <w:rFonts w:ascii="Arial" w:hAnsi="Arial"/>
          <w:i/>
        </w:rPr>
        <w:t xml:space="preserve"> expiry,</w:t>
      </w:r>
      <w:r>
        <w:rPr>
          <w:rFonts w:ascii="Arial" w:hAnsi="Arial"/>
          <w:i/>
        </w:rPr>
        <w:t xml:space="preserve"> were granted</w:t>
      </w:r>
      <w:r w:rsidRPr="00BC20AB">
        <w:rPr>
          <w:rFonts w:ascii="Arial" w:hAnsi="Arial"/>
          <w:i/>
        </w:rPr>
        <w:t xml:space="preserve"> to a consultant</w:t>
      </w:r>
      <w:r>
        <w:rPr>
          <w:rFonts w:ascii="Arial" w:hAnsi="Arial"/>
          <w:i/>
        </w:rPr>
        <w:t>/advisor.</w:t>
      </w:r>
    </w:p>
    <w:p w14:paraId="2CC66B71"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3149528" w14:textId="1AE95553" w:rsidR="0014406D" w:rsidRPr="0014406D" w:rsidRDefault="00F90126" w:rsidP="0014406D">
      <w:pPr>
        <w:pStyle w:val="List"/>
        <w:keepNext/>
        <w:keepLines/>
        <w:spacing w:before="120"/>
        <w:ind w:left="720" w:firstLine="0"/>
        <w:jc w:val="both"/>
        <w:rPr>
          <w:rFonts w:ascii="Arial" w:hAnsi="Arial"/>
          <w:i/>
        </w:rPr>
      </w:pPr>
      <w:r>
        <w:rPr>
          <w:rFonts w:ascii="Arial" w:hAnsi="Arial"/>
          <w:i/>
        </w:rPr>
        <w:t>N/A</w:t>
      </w:r>
    </w:p>
    <w:p w14:paraId="57AB07D5" w14:textId="77777777" w:rsidR="00640E94" w:rsidRDefault="00640E94">
      <w:pPr>
        <w:pStyle w:val="List"/>
        <w:keepNext/>
        <w:keepLines/>
        <w:numPr>
          <w:ilvl w:val="0"/>
          <w:numId w:val="28"/>
        </w:numPr>
        <w:spacing w:before="12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436CE062" w14:textId="67AA60D8" w:rsidR="00A23C08" w:rsidRPr="00D861FE" w:rsidRDefault="00E60542" w:rsidP="00A23C08">
      <w:pPr>
        <w:pStyle w:val="List"/>
        <w:spacing w:before="120"/>
        <w:ind w:left="720" w:firstLine="0"/>
        <w:jc w:val="both"/>
        <w:rPr>
          <w:rFonts w:ascii="Arial" w:hAnsi="Arial"/>
          <w:i/>
        </w:rPr>
      </w:pPr>
      <w:r w:rsidRPr="00BC20AB">
        <w:rPr>
          <w:rFonts w:ascii="Arial" w:hAnsi="Arial"/>
          <w:i/>
        </w:rPr>
        <w:t>On January 7, 2021, the Company appointed Mr. Hattie Wells as first member of its newly formed Generation Psychedelic Research Advisory Board.  Hattie Wells brings over 20 years of experience working with psychedelic molecules and the therapeutic benefits they confer to individuals suffering from mental health and polysubstance abuse disorders. She holds an M.Sc. in Ethnobotany from the University of Kent, and B.Sc. in Social Anthropology from The London School of Economics, London, UK.</w:t>
      </w:r>
    </w:p>
    <w:p w14:paraId="3FE17C8C" w14:textId="37BCFBE5" w:rsidR="00640E94" w:rsidRDefault="00640E94">
      <w:pPr>
        <w:pStyle w:val="List"/>
        <w:numPr>
          <w:ilvl w:val="0"/>
          <w:numId w:val="28"/>
        </w:numPr>
        <w:spacing w:before="120"/>
        <w:jc w:val="both"/>
        <w:rPr>
          <w:rFonts w:ascii="Arial" w:hAnsi="Arial"/>
        </w:rPr>
      </w:pPr>
      <w:bookmarkStart w:id="13" w:name="_Hlk36806284"/>
      <w:r>
        <w:rPr>
          <w:rFonts w:ascii="Arial" w:hAnsi="Arial"/>
        </w:rPr>
        <w:t>Discuss any trends which are likely to impact the Issuer including trends in the Issuer’s market(s) or political/regulatory trends.</w:t>
      </w:r>
    </w:p>
    <w:bookmarkEnd w:id="13"/>
    <w:p w14:paraId="69C26416" w14:textId="7D9E71BB" w:rsidR="00C358BE" w:rsidRDefault="00E67F38" w:rsidP="00C358BE">
      <w:pPr>
        <w:pStyle w:val="List"/>
        <w:keepNext/>
        <w:spacing w:before="120"/>
        <w:ind w:left="720" w:firstLine="0"/>
        <w:jc w:val="both"/>
        <w:rPr>
          <w:rFonts w:ascii="Arial" w:hAnsi="Arial"/>
          <w:bCs/>
          <w:i/>
          <w:iCs/>
        </w:rPr>
      </w:pPr>
      <w:r w:rsidRPr="0093703B">
        <w:rPr>
          <w:i/>
          <w:iCs/>
        </w:rPr>
        <w:fldChar w:fldCharType="begin"/>
      </w:r>
      <w:r w:rsidRPr="0093703B">
        <w:rPr>
          <w:i/>
          <w:iCs/>
        </w:rPr>
        <w:instrText xml:space="preserve"> HYPERLINK "https://www.databridgemarketresearch.com/reports/north-america-psychedelic-drugs-market" \t "_blank" </w:instrText>
      </w:r>
      <w:r w:rsidRPr="0093703B">
        <w:rPr>
          <w:i/>
          <w:iCs/>
        </w:rPr>
        <w:fldChar w:fldCharType="separate"/>
      </w:r>
      <w:r w:rsidRPr="0093703B">
        <w:rPr>
          <w:rStyle w:val="Hyperlink"/>
          <w:rFonts w:ascii="Helvetica" w:hAnsi="Helvetica"/>
          <w:i/>
          <w:iCs/>
          <w:color w:val="00837E"/>
          <w:shd w:val="clear" w:color="auto" w:fill="FFFFFF"/>
        </w:rPr>
        <w:t>Accord</w:t>
      </w:r>
      <w:r w:rsidRPr="0093703B">
        <w:rPr>
          <w:rStyle w:val="Hyperlink"/>
          <w:rFonts w:ascii="Helvetica" w:hAnsi="Helvetica"/>
          <w:i/>
          <w:iCs/>
          <w:color w:val="00837E"/>
          <w:shd w:val="clear" w:color="auto" w:fill="FFFFFF"/>
        </w:rPr>
        <w:t>i</w:t>
      </w:r>
      <w:r w:rsidRPr="0093703B">
        <w:rPr>
          <w:rStyle w:val="Hyperlink"/>
          <w:rFonts w:ascii="Helvetica" w:hAnsi="Helvetica"/>
          <w:i/>
          <w:iCs/>
          <w:color w:val="00837E"/>
          <w:shd w:val="clear" w:color="auto" w:fill="FFFFFF"/>
        </w:rPr>
        <w:t>ng</w:t>
      </w:r>
      <w:r w:rsidRPr="0093703B">
        <w:rPr>
          <w:i/>
          <w:iCs/>
        </w:rPr>
        <w:fldChar w:fldCharType="end"/>
      </w:r>
      <w:r w:rsidRPr="0093703B">
        <w:rPr>
          <w:rFonts w:ascii="Helvetica" w:hAnsi="Helvetica"/>
          <w:i/>
          <w:iCs/>
          <w:color w:val="373737"/>
          <w:shd w:val="clear" w:color="auto" w:fill="FFFFFF"/>
        </w:rPr>
        <w:t> to Data Bridge Market Research</w:t>
      </w:r>
      <w:r w:rsidR="0093703B" w:rsidRPr="0093703B">
        <w:rPr>
          <w:rFonts w:ascii="Helvetica" w:hAnsi="Helvetica"/>
          <w:i/>
          <w:iCs/>
          <w:color w:val="373737"/>
          <w:shd w:val="clear" w:color="auto" w:fill="FFFFFF"/>
        </w:rPr>
        <w:t>,</w:t>
      </w:r>
      <w:r w:rsidRPr="0093703B">
        <w:rPr>
          <w:rFonts w:ascii="Helvetica" w:hAnsi="Helvetica"/>
          <w:i/>
          <w:iCs/>
          <w:color w:val="373737"/>
          <w:shd w:val="clear" w:color="auto" w:fill="FFFFFF"/>
        </w:rPr>
        <w:t xml:space="preserve"> North America psychedelic drugs market is expected to gain market growth in the forecast period of 2020 to 2027. Data Bridge Market Research analyses that the market is expected to reach </w:t>
      </w:r>
      <w:r w:rsidRPr="0093703B">
        <w:rPr>
          <w:rStyle w:val="xn-money"/>
          <w:rFonts w:ascii="Helvetica" w:hAnsi="Helvetica"/>
          <w:i/>
          <w:iCs/>
          <w:color w:val="373737"/>
          <w:shd w:val="clear" w:color="auto" w:fill="FFFFFF"/>
        </w:rPr>
        <w:t>USD 6,846.68 million</w:t>
      </w:r>
      <w:r w:rsidRPr="0093703B">
        <w:rPr>
          <w:rFonts w:ascii="Helvetica" w:hAnsi="Helvetica"/>
          <w:i/>
          <w:iCs/>
          <w:color w:val="373737"/>
          <w:shd w:val="clear" w:color="auto" w:fill="FFFFFF"/>
        </w:rPr>
        <w:t> by 2027. Growing acceptance of psychedelic drugs for treating depression and increasing prevalence of depression and mental disorders are the factors for the market growth.   </w:t>
      </w:r>
      <w:r w:rsidR="0093703B" w:rsidRPr="0093703B">
        <w:rPr>
          <w:rFonts w:ascii="Helvetica" w:hAnsi="Helvetica"/>
          <w:i/>
          <w:iCs/>
          <w:color w:val="373737"/>
          <w:shd w:val="clear" w:color="auto" w:fill="FFFFFF"/>
        </w:rPr>
        <w:t>A</w:t>
      </w:r>
      <w:r w:rsidRPr="0093703B">
        <w:rPr>
          <w:rFonts w:ascii="Arial" w:hAnsi="Arial"/>
          <w:bCs/>
          <w:i/>
          <w:iCs/>
        </w:rPr>
        <w:t xml:space="preserve"> growing number of companies are conducting clinical trials of psychedelic treatments for </w:t>
      </w:r>
      <w:r w:rsidR="0093703B">
        <w:rPr>
          <w:rFonts w:ascii="Arial" w:hAnsi="Arial"/>
          <w:bCs/>
          <w:i/>
          <w:iCs/>
        </w:rPr>
        <w:t xml:space="preserve">indications </w:t>
      </w:r>
      <w:r w:rsidRPr="0093703B">
        <w:rPr>
          <w:rFonts w:ascii="Arial" w:hAnsi="Arial"/>
          <w:bCs/>
          <w:i/>
          <w:iCs/>
        </w:rPr>
        <w:t>from depression to post-traumatic stress disorder, and so</w:t>
      </w:r>
      <w:r w:rsidRPr="00E67F38">
        <w:rPr>
          <w:rFonts w:ascii="Arial" w:hAnsi="Arial"/>
          <w:bCs/>
          <w:i/>
          <w:iCs/>
        </w:rPr>
        <w:t>me have recently received the blessing of the U.S. Food and Drug Administration. This has created a legal way for these companies to conduct research on otherwise illegal drugs</w:t>
      </w:r>
      <w:r w:rsidR="003058BE">
        <w:rPr>
          <w:rFonts w:ascii="Arial" w:hAnsi="Arial"/>
          <w:bCs/>
          <w:i/>
          <w:iCs/>
        </w:rPr>
        <w:t>.</w:t>
      </w:r>
    </w:p>
    <w:p w14:paraId="511DAB59" w14:textId="1A278DDF" w:rsidR="00A37A50" w:rsidRDefault="00A37A50" w:rsidP="00C358BE">
      <w:pPr>
        <w:pStyle w:val="List"/>
        <w:keepNext/>
        <w:spacing w:before="120"/>
        <w:ind w:left="720" w:firstLine="0"/>
        <w:jc w:val="both"/>
        <w:rPr>
          <w:rFonts w:ascii="Arial" w:hAnsi="Arial"/>
          <w:bCs/>
          <w:i/>
          <w:iCs/>
        </w:rPr>
      </w:pPr>
      <w:r w:rsidRPr="00A37A50">
        <w:rPr>
          <w:rFonts w:ascii="Arial" w:hAnsi="Arial"/>
          <w:bCs/>
          <w:i/>
          <w:iCs/>
        </w:rPr>
        <w:t xml:space="preserve">Since the start of the </w:t>
      </w:r>
      <w:r w:rsidR="00E67F38">
        <w:rPr>
          <w:rFonts w:ascii="Arial" w:hAnsi="Arial"/>
          <w:bCs/>
          <w:i/>
          <w:iCs/>
        </w:rPr>
        <w:t xml:space="preserve">COVID-19 </w:t>
      </w:r>
      <w:r w:rsidRPr="00A37A50">
        <w:rPr>
          <w:rFonts w:ascii="Arial" w:hAnsi="Arial"/>
          <w:bCs/>
          <w:i/>
          <w:iCs/>
        </w:rPr>
        <w:t>pandemic, SARS-CoV-2 has been mutating</w:t>
      </w:r>
      <w:r>
        <w:rPr>
          <w:rFonts w:ascii="Arial" w:hAnsi="Arial"/>
          <w:bCs/>
          <w:i/>
          <w:iCs/>
        </w:rPr>
        <w:t xml:space="preserve">.  </w:t>
      </w:r>
      <w:r w:rsidR="00E67F38">
        <w:rPr>
          <w:rFonts w:ascii="Arial" w:hAnsi="Arial"/>
          <w:bCs/>
          <w:i/>
          <w:iCs/>
        </w:rPr>
        <w:t xml:space="preserve">The recent series of mutations have produced a variant that is more effective at infecting people.  The </w:t>
      </w:r>
      <w:r w:rsidR="00E67F38" w:rsidRPr="00E67F38">
        <w:rPr>
          <w:rFonts w:ascii="Arial" w:hAnsi="Arial"/>
          <w:bCs/>
          <w:i/>
          <w:iCs/>
        </w:rPr>
        <w:t>D614G variant</w:t>
      </w:r>
      <w:r w:rsidR="00E67F38">
        <w:rPr>
          <w:rFonts w:ascii="Arial" w:hAnsi="Arial"/>
          <w:bCs/>
          <w:i/>
          <w:iCs/>
        </w:rPr>
        <w:t xml:space="preserve"> </w:t>
      </w:r>
      <w:r w:rsidR="00E67F38" w:rsidRPr="00E67F38">
        <w:rPr>
          <w:rFonts w:ascii="Arial" w:hAnsi="Arial"/>
          <w:bCs/>
          <w:i/>
          <w:iCs/>
        </w:rPr>
        <w:t>showed up in Australia and India in May. In December, scientists detected the B.1.1.7 variant in the United Kingdom, followed by the B.1.351 variant in South Africa, along with new variants in Los Angeles and Ohio.</w:t>
      </w:r>
      <w:r w:rsidR="00E67F38">
        <w:rPr>
          <w:rFonts w:ascii="Arial" w:hAnsi="Arial"/>
          <w:bCs/>
          <w:i/>
          <w:iCs/>
        </w:rPr>
        <w:t xml:space="preserve">  With worldwide COVID-19 cases at 103 million by the end of January 2021, scientists continue to push </w:t>
      </w:r>
      <w:r w:rsidR="00E67F38" w:rsidRPr="00E67F38">
        <w:rPr>
          <w:rFonts w:ascii="Arial" w:hAnsi="Arial"/>
          <w:bCs/>
          <w:i/>
          <w:iCs/>
        </w:rPr>
        <w:t>forward with efforts to develop vaccines and treatments to slow the pandemic and lessen the disease’s damage</w:t>
      </w:r>
      <w:r w:rsidR="00E67F38">
        <w:rPr>
          <w:rFonts w:ascii="Arial" w:hAnsi="Arial"/>
          <w:bCs/>
          <w:i/>
          <w:iCs/>
        </w:rPr>
        <w:t xml:space="preserve">.  </w:t>
      </w:r>
      <w:r>
        <w:rPr>
          <w:rFonts w:ascii="Arial" w:hAnsi="Arial"/>
          <w:bCs/>
          <w:i/>
          <w:iCs/>
        </w:rPr>
        <w:t xml:space="preserve">At this time, </w:t>
      </w:r>
      <w:r w:rsidRPr="00A37A50">
        <w:rPr>
          <w:rFonts w:ascii="Arial" w:hAnsi="Arial"/>
          <w:bCs/>
          <w:i/>
          <w:iCs/>
        </w:rPr>
        <w:t xml:space="preserve">three therapeutics have been approved to treat COVID-19: dexamethasone in the United Kingdom and Japan; </w:t>
      </w:r>
      <w:proofErr w:type="spellStart"/>
      <w:r w:rsidRPr="00A37A50">
        <w:rPr>
          <w:rFonts w:ascii="Arial" w:hAnsi="Arial"/>
          <w:bCs/>
          <w:i/>
          <w:iCs/>
        </w:rPr>
        <w:t>Avigan</w:t>
      </w:r>
      <w:proofErr w:type="spellEnd"/>
      <w:r w:rsidRPr="00A37A50">
        <w:rPr>
          <w:rFonts w:ascii="Arial" w:hAnsi="Arial"/>
          <w:bCs/>
          <w:i/>
          <w:iCs/>
        </w:rPr>
        <w:t xml:space="preserve"> (</w:t>
      </w:r>
      <w:proofErr w:type="spellStart"/>
      <w:r w:rsidRPr="00A37A50">
        <w:rPr>
          <w:rFonts w:ascii="Arial" w:hAnsi="Arial"/>
          <w:bCs/>
          <w:i/>
          <w:iCs/>
        </w:rPr>
        <w:t>favilavir</w:t>
      </w:r>
      <w:proofErr w:type="spellEnd"/>
      <w:r w:rsidRPr="00A37A50">
        <w:rPr>
          <w:rFonts w:ascii="Arial" w:hAnsi="Arial"/>
          <w:bCs/>
          <w:i/>
          <w:iCs/>
        </w:rPr>
        <w:t xml:space="preserve">) in China, </w:t>
      </w:r>
      <w:proofErr w:type="gramStart"/>
      <w:r w:rsidRPr="00A37A50">
        <w:rPr>
          <w:rFonts w:ascii="Arial" w:hAnsi="Arial"/>
          <w:bCs/>
          <w:i/>
          <w:iCs/>
        </w:rPr>
        <w:t>Italy</w:t>
      </w:r>
      <w:proofErr w:type="gramEnd"/>
      <w:r w:rsidRPr="00A37A50">
        <w:rPr>
          <w:rFonts w:ascii="Arial" w:hAnsi="Arial"/>
          <w:bCs/>
          <w:i/>
          <w:iCs/>
        </w:rPr>
        <w:t xml:space="preserve"> and Russia; and </w:t>
      </w:r>
      <w:proofErr w:type="spellStart"/>
      <w:r w:rsidRPr="00A37A50">
        <w:rPr>
          <w:rFonts w:ascii="Arial" w:hAnsi="Arial"/>
          <w:bCs/>
          <w:i/>
          <w:iCs/>
        </w:rPr>
        <w:t>Veklury</w:t>
      </w:r>
      <w:proofErr w:type="spellEnd"/>
      <w:r w:rsidRPr="00A37A50">
        <w:rPr>
          <w:rFonts w:ascii="Arial" w:hAnsi="Arial"/>
          <w:bCs/>
          <w:i/>
          <w:iCs/>
        </w:rPr>
        <w:t xml:space="preserve"> (</w:t>
      </w:r>
      <w:proofErr w:type="spellStart"/>
      <w:r w:rsidRPr="00A37A50">
        <w:rPr>
          <w:rFonts w:ascii="Arial" w:hAnsi="Arial"/>
          <w:bCs/>
          <w:i/>
          <w:iCs/>
        </w:rPr>
        <w:t>remdesivir</w:t>
      </w:r>
      <w:proofErr w:type="spellEnd"/>
      <w:r w:rsidRPr="00A37A50">
        <w:rPr>
          <w:rFonts w:ascii="Arial" w:hAnsi="Arial"/>
          <w:bCs/>
          <w:i/>
          <w:iCs/>
        </w:rPr>
        <w:t>) in the United States, Japan and Australia</w:t>
      </w:r>
      <w:r>
        <w:rPr>
          <w:rFonts w:ascii="Arial" w:hAnsi="Arial"/>
          <w:bCs/>
          <w:i/>
          <w:iCs/>
        </w:rPr>
        <w:t>.</w:t>
      </w:r>
    </w:p>
    <w:p w14:paraId="2168DA3A" w14:textId="013BAF58" w:rsidR="00640E94" w:rsidRDefault="00640E94" w:rsidP="00C358BE">
      <w:pPr>
        <w:pStyle w:val="List"/>
        <w:keepNext/>
        <w:spacing w:before="120"/>
        <w:ind w:left="720" w:firstLine="0"/>
        <w:jc w:val="both"/>
        <w:rPr>
          <w:rFonts w:ascii="Arial" w:hAnsi="Arial"/>
          <w:b/>
        </w:rPr>
      </w:pPr>
      <w:r>
        <w:rPr>
          <w:rFonts w:ascii="Arial" w:hAnsi="Arial"/>
          <w:b/>
        </w:rPr>
        <w:br w:type="page"/>
      </w: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4E88A18F" w14:textId="77777777" w:rsidR="00640E94" w:rsidRDefault="00640E94">
      <w:pPr>
        <w:pStyle w:val="BodyText"/>
        <w:keepNext/>
        <w:rPr>
          <w:rFonts w:ascii="Arial" w:hAnsi="Arial"/>
        </w:rPr>
      </w:pPr>
      <w:r>
        <w:rPr>
          <w:rFonts w:ascii="Arial" w:hAnsi="Arial"/>
        </w:rPr>
        <w:t>The undersigned hereby certifies that:</w:t>
      </w:r>
    </w:p>
    <w:p w14:paraId="6AAAD78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71AEAB9"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EAB9A25"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845363D"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23E8FDC" w14:textId="47BB1172" w:rsidR="00640E94" w:rsidRDefault="00640E94" w:rsidP="00A33D53">
      <w:pPr>
        <w:pStyle w:val="BodyText"/>
        <w:tabs>
          <w:tab w:val="left" w:pos="4680"/>
          <w:tab w:val="left" w:pos="7200"/>
        </w:tabs>
        <w:jc w:val="both"/>
        <w:rPr>
          <w:rFonts w:ascii="Arial" w:hAnsi="Arial"/>
        </w:rPr>
      </w:pPr>
      <w:r>
        <w:rPr>
          <w:rFonts w:ascii="Arial" w:hAnsi="Arial"/>
        </w:rPr>
        <w:t xml:space="preserve">Dated </w:t>
      </w:r>
      <w:r w:rsidR="0093703B">
        <w:rPr>
          <w:rFonts w:ascii="Arial" w:hAnsi="Arial"/>
        </w:rPr>
        <w:t>February 3</w:t>
      </w:r>
      <w:r w:rsidR="00F21064">
        <w:rPr>
          <w:rFonts w:ascii="Arial" w:hAnsi="Arial"/>
        </w:rPr>
        <w:t>, 2021</w:t>
      </w:r>
    </w:p>
    <w:p w14:paraId="4521D29F" w14:textId="77777777" w:rsidR="00640E94" w:rsidRDefault="00640E94">
      <w:pPr>
        <w:pStyle w:val="List"/>
        <w:tabs>
          <w:tab w:val="left" w:pos="9180"/>
        </w:tabs>
        <w:ind w:left="5760" w:hanging="5760"/>
        <w:rPr>
          <w:rFonts w:ascii="Arial" w:hAnsi="Arial"/>
        </w:rPr>
      </w:pPr>
      <w:r>
        <w:rPr>
          <w:rFonts w:ascii="Arial" w:hAnsi="Arial"/>
        </w:rPr>
        <w:tab/>
      </w:r>
      <w:r w:rsidR="007736E2" w:rsidRPr="007736E2">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3D9A0696" w14:textId="77777777" w:rsidR="00640E94" w:rsidRDefault="00640E94">
      <w:pPr>
        <w:pStyle w:val="List"/>
        <w:tabs>
          <w:tab w:val="left" w:pos="9180"/>
          <w:tab w:val="left" w:pos="9360"/>
        </w:tabs>
        <w:ind w:left="5760" w:hanging="5760"/>
        <w:rPr>
          <w:rFonts w:ascii="Arial" w:hAnsi="Arial"/>
        </w:rPr>
      </w:pPr>
      <w:r>
        <w:rPr>
          <w:rFonts w:ascii="Arial" w:hAnsi="Arial"/>
        </w:rPr>
        <w:tab/>
      </w:r>
      <w:r w:rsidR="007736E2">
        <w:rPr>
          <w:rFonts w:ascii="Arial" w:hAnsi="Arial"/>
          <w:i/>
          <w:u w:val="single"/>
        </w:rPr>
        <w:t>“Moira Ong”</w:t>
      </w:r>
      <w:r>
        <w:rPr>
          <w:rFonts w:ascii="Arial" w:hAnsi="Arial"/>
          <w:u w:val="single"/>
        </w:rPr>
        <w:tab/>
      </w:r>
      <w:r>
        <w:rPr>
          <w:rFonts w:ascii="Arial" w:hAnsi="Arial"/>
        </w:rPr>
        <w:br/>
        <w:t>Signature</w:t>
      </w:r>
    </w:p>
    <w:p w14:paraId="58FB86C0" w14:textId="77777777" w:rsidR="00640E94" w:rsidRDefault="007736E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14:paraId="446D60E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5A8F032F" w14:textId="77777777">
        <w:tc>
          <w:tcPr>
            <w:tcW w:w="4878" w:type="dxa"/>
            <w:tcBorders>
              <w:top w:val="single" w:sz="18" w:space="0" w:color="auto"/>
              <w:bottom w:val="nil"/>
              <w:right w:val="single" w:sz="18" w:space="0" w:color="auto"/>
            </w:tcBorders>
          </w:tcPr>
          <w:p w14:paraId="332C0A2A" w14:textId="77777777" w:rsidR="00640E94" w:rsidRDefault="00640E94">
            <w:pPr>
              <w:pStyle w:val="BodyText"/>
              <w:spacing w:before="0"/>
              <w:rPr>
                <w:rFonts w:ascii="Arial" w:hAnsi="Arial"/>
                <w:b/>
                <w:i/>
              </w:rPr>
            </w:pPr>
            <w:r>
              <w:rPr>
                <w:rFonts w:ascii="Arial" w:hAnsi="Arial"/>
                <w:b/>
                <w:i/>
              </w:rPr>
              <w:t>Issuer Details</w:t>
            </w:r>
          </w:p>
          <w:p w14:paraId="3B8EAB39" w14:textId="77777777" w:rsidR="00640E94" w:rsidRDefault="00640E94">
            <w:pPr>
              <w:pStyle w:val="BodyText"/>
              <w:spacing w:before="0"/>
              <w:rPr>
                <w:rFonts w:ascii="Arial" w:hAnsi="Arial"/>
              </w:rPr>
            </w:pPr>
            <w:r>
              <w:rPr>
                <w:rFonts w:ascii="Arial" w:hAnsi="Arial"/>
              </w:rPr>
              <w:t>Name of Issuer</w:t>
            </w:r>
          </w:p>
          <w:p w14:paraId="6B4B8BDC" w14:textId="20FAF5EB" w:rsidR="00640E94" w:rsidRDefault="001E25F7">
            <w:pPr>
              <w:pStyle w:val="BodyText"/>
              <w:rPr>
                <w:rFonts w:ascii="Arial" w:hAnsi="Arial"/>
              </w:rPr>
            </w:pPr>
            <w:r>
              <w:rPr>
                <w:rFonts w:ascii="Arial" w:hAnsi="Arial"/>
              </w:rPr>
              <w:t>BetterLife Pharma</w:t>
            </w:r>
            <w:r w:rsidR="007736E2">
              <w:rPr>
                <w:rFonts w:ascii="Arial" w:hAnsi="Arial"/>
              </w:rPr>
              <w:t xml:space="preserve"> Inc.</w:t>
            </w:r>
          </w:p>
        </w:tc>
        <w:tc>
          <w:tcPr>
            <w:tcW w:w="1800" w:type="dxa"/>
            <w:tcBorders>
              <w:top w:val="single" w:sz="18" w:space="0" w:color="auto"/>
              <w:left w:val="single" w:sz="18" w:space="0" w:color="auto"/>
              <w:bottom w:val="nil"/>
              <w:right w:val="single" w:sz="18" w:space="0" w:color="auto"/>
            </w:tcBorders>
          </w:tcPr>
          <w:p w14:paraId="4C41752D" w14:textId="77777777" w:rsidR="00640E94" w:rsidRDefault="00640E94">
            <w:pPr>
              <w:pStyle w:val="BodyText"/>
              <w:spacing w:before="0"/>
              <w:rPr>
                <w:rFonts w:ascii="Arial" w:hAnsi="Arial"/>
              </w:rPr>
            </w:pPr>
            <w:r>
              <w:rPr>
                <w:rFonts w:ascii="Arial" w:hAnsi="Arial"/>
              </w:rPr>
              <w:t>For  Month End</w:t>
            </w:r>
          </w:p>
          <w:p w14:paraId="37EF5FB0" w14:textId="77777777" w:rsidR="001D0265" w:rsidRDefault="001D0265">
            <w:pPr>
              <w:pStyle w:val="BodyText"/>
              <w:spacing w:before="0"/>
              <w:rPr>
                <w:rFonts w:ascii="Arial" w:hAnsi="Arial"/>
              </w:rPr>
            </w:pPr>
          </w:p>
          <w:p w14:paraId="57E9D3B6" w14:textId="7891E278" w:rsidR="007736E2" w:rsidRDefault="0093703B">
            <w:pPr>
              <w:pStyle w:val="BodyText"/>
              <w:spacing w:before="0"/>
              <w:rPr>
                <w:rFonts w:ascii="Arial" w:hAnsi="Arial"/>
              </w:rPr>
            </w:pPr>
            <w:r>
              <w:rPr>
                <w:rFonts w:ascii="Arial" w:hAnsi="Arial"/>
              </w:rPr>
              <w:t>January 2021</w:t>
            </w:r>
          </w:p>
        </w:tc>
        <w:tc>
          <w:tcPr>
            <w:tcW w:w="2898" w:type="dxa"/>
            <w:tcBorders>
              <w:top w:val="single" w:sz="18" w:space="0" w:color="auto"/>
              <w:left w:val="single" w:sz="18" w:space="0" w:color="auto"/>
              <w:bottom w:val="nil"/>
            </w:tcBorders>
          </w:tcPr>
          <w:p w14:paraId="406BD3D8" w14:textId="77777777" w:rsidR="00640E94" w:rsidRDefault="00640E94">
            <w:pPr>
              <w:pStyle w:val="BodyText"/>
              <w:spacing w:before="0"/>
              <w:rPr>
                <w:rFonts w:ascii="Arial" w:hAnsi="Arial"/>
              </w:rPr>
            </w:pPr>
            <w:r>
              <w:rPr>
                <w:rFonts w:ascii="Arial" w:hAnsi="Arial"/>
              </w:rPr>
              <w:t>Date of Report</w:t>
            </w:r>
          </w:p>
          <w:p w14:paraId="03AAE070" w14:textId="77777777" w:rsidR="00640E94" w:rsidRDefault="00640E94">
            <w:pPr>
              <w:pStyle w:val="BodyText"/>
              <w:spacing w:before="0"/>
              <w:rPr>
                <w:rFonts w:ascii="Arial" w:hAnsi="Arial"/>
              </w:rPr>
            </w:pPr>
            <w:r>
              <w:rPr>
                <w:rFonts w:ascii="Arial" w:hAnsi="Arial"/>
              </w:rPr>
              <w:t>YY/MM/D</w:t>
            </w:r>
            <w:r w:rsidR="004A2915">
              <w:rPr>
                <w:rFonts w:ascii="Arial" w:hAnsi="Arial"/>
              </w:rPr>
              <w:t>D</w:t>
            </w:r>
          </w:p>
          <w:p w14:paraId="4D70C96E" w14:textId="77777777" w:rsidR="008D270C" w:rsidRDefault="008D270C" w:rsidP="004B3D99">
            <w:pPr>
              <w:pStyle w:val="BodyText"/>
              <w:spacing w:before="0"/>
              <w:rPr>
                <w:rFonts w:ascii="Arial" w:hAnsi="Arial"/>
              </w:rPr>
            </w:pPr>
          </w:p>
          <w:p w14:paraId="7AEC6942" w14:textId="54F4912F" w:rsidR="007736E2" w:rsidRDefault="0047210C" w:rsidP="00D708C2">
            <w:pPr>
              <w:pStyle w:val="BodyText"/>
              <w:spacing w:before="0"/>
              <w:rPr>
                <w:rFonts w:ascii="Arial" w:hAnsi="Arial"/>
              </w:rPr>
            </w:pPr>
            <w:r>
              <w:rPr>
                <w:rFonts w:ascii="Arial" w:hAnsi="Arial"/>
              </w:rPr>
              <w:t>20</w:t>
            </w:r>
            <w:r w:rsidR="001E25F7">
              <w:rPr>
                <w:rFonts w:ascii="Arial" w:hAnsi="Arial"/>
              </w:rPr>
              <w:t>2</w:t>
            </w:r>
            <w:r w:rsidR="00F21064">
              <w:rPr>
                <w:rFonts w:ascii="Arial" w:hAnsi="Arial"/>
              </w:rPr>
              <w:t>1</w:t>
            </w:r>
            <w:r w:rsidR="001E25F7">
              <w:rPr>
                <w:rFonts w:ascii="Arial" w:hAnsi="Arial"/>
              </w:rPr>
              <w:t>/</w:t>
            </w:r>
            <w:r w:rsidR="00F21064">
              <w:rPr>
                <w:rFonts w:ascii="Arial" w:hAnsi="Arial"/>
              </w:rPr>
              <w:t>0</w:t>
            </w:r>
            <w:r w:rsidR="0093703B">
              <w:rPr>
                <w:rFonts w:ascii="Arial" w:hAnsi="Arial"/>
              </w:rPr>
              <w:t>2</w:t>
            </w:r>
            <w:r w:rsidR="00842030">
              <w:rPr>
                <w:rFonts w:ascii="Arial" w:hAnsi="Arial"/>
              </w:rPr>
              <w:t>/</w:t>
            </w:r>
            <w:r w:rsidR="004177D4">
              <w:rPr>
                <w:rFonts w:ascii="Arial" w:hAnsi="Arial"/>
              </w:rPr>
              <w:t>0</w:t>
            </w:r>
            <w:r w:rsidR="0093703B">
              <w:rPr>
                <w:rFonts w:ascii="Arial" w:hAnsi="Arial"/>
              </w:rPr>
              <w:t>3</w:t>
            </w:r>
          </w:p>
        </w:tc>
      </w:tr>
      <w:tr w:rsidR="00640E94" w14:paraId="199551F0" w14:textId="77777777">
        <w:trPr>
          <w:cantSplit/>
        </w:trPr>
        <w:tc>
          <w:tcPr>
            <w:tcW w:w="9576" w:type="dxa"/>
            <w:gridSpan w:val="3"/>
            <w:tcBorders>
              <w:top w:val="single" w:sz="18" w:space="0" w:color="auto"/>
              <w:bottom w:val="single" w:sz="18" w:space="0" w:color="auto"/>
            </w:tcBorders>
          </w:tcPr>
          <w:p w14:paraId="3B7A05CE" w14:textId="77777777" w:rsidR="00640E94" w:rsidRDefault="00640E94">
            <w:pPr>
              <w:pStyle w:val="BodyText"/>
              <w:spacing w:before="0"/>
              <w:rPr>
                <w:rFonts w:ascii="Arial" w:hAnsi="Arial"/>
              </w:rPr>
            </w:pPr>
            <w:r>
              <w:rPr>
                <w:rFonts w:ascii="Arial" w:hAnsi="Arial"/>
              </w:rPr>
              <w:t>Issuer Address</w:t>
            </w:r>
          </w:p>
          <w:p w14:paraId="533D809C" w14:textId="526316B3" w:rsidR="00640E94" w:rsidRDefault="00DD1AB4">
            <w:pPr>
              <w:pStyle w:val="BodyText"/>
              <w:spacing w:before="0"/>
              <w:rPr>
                <w:rFonts w:ascii="Arial" w:hAnsi="Arial"/>
              </w:rPr>
            </w:pPr>
            <w:r>
              <w:rPr>
                <w:rFonts w:ascii="Arial" w:hAnsi="Arial"/>
              </w:rPr>
              <w:t>1275 West 6</w:t>
            </w:r>
            <w:r w:rsidRPr="00DD1AB4">
              <w:rPr>
                <w:rFonts w:ascii="Arial" w:hAnsi="Arial"/>
                <w:vertAlign w:val="superscript"/>
              </w:rPr>
              <w:t>th</w:t>
            </w:r>
            <w:r>
              <w:rPr>
                <w:rFonts w:ascii="Arial" w:hAnsi="Arial"/>
              </w:rPr>
              <w:t xml:space="preserve"> Avenue, #300</w:t>
            </w:r>
          </w:p>
          <w:p w14:paraId="797BB32A" w14:textId="77777777" w:rsidR="00640E94" w:rsidRDefault="00640E94">
            <w:pPr>
              <w:pStyle w:val="BodyText"/>
              <w:spacing w:before="0"/>
              <w:rPr>
                <w:rFonts w:ascii="Arial" w:hAnsi="Arial"/>
              </w:rPr>
            </w:pPr>
          </w:p>
        </w:tc>
      </w:tr>
      <w:tr w:rsidR="00640E94" w14:paraId="571637CA" w14:textId="77777777">
        <w:tc>
          <w:tcPr>
            <w:tcW w:w="4878" w:type="dxa"/>
            <w:tcBorders>
              <w:top w:val="single" w:sz="18" w:space="0" w:color="auto"/>
              <w:bottom w:val="single" w:sz="18" w:space="0" w:color="auto"/>
              <w:right w:val="single" w:sz="18" w:space="0" w:color="auto"/>
            </w:tcBorders>
          </w:tcPr>
          <w:p w14:paraId="10752B73" w14:textId="77777777" w:rsidR="00640E94" w:rsidRDefault="00640E94">
            <w:pPr>
              <w:pStyle w:val="BodyText"/>
              <w:spacing w:before="0"/>
              <w:rPr>
                <w:rFonts w:ascii="Arial" w:hAnsi="Arial"/>
              </w:rPr>
            </w:pPr>
            <w:r>
              <w:rPr>
                <w:rFonts w:ascii="Arial" w:hAnsi="Arial"/>
              </w:rPr>
              <w:t>City/Province/Postal Code</w:t>
            </w:r>
          </w:p>
          <w:p w14:paraId="7A108449" w14:textId="77777777" w:rsidR="00640E94" w:rsidRDefault="00640E94">
            <w:pPr>
              <w:pStyle w:val="BodyText"/>
              <w:spacing w:before="0"/>
              <w:rPr>
                <w:rFonts w:ascii="Arial" w:hAnsi="Arial"/>
              </w:rPr>
            </w:pPr>
          </w:p>
          <w:p w14:paraId="66AFD67C" w14:textId="5B361AE5" w:rsidR="00640E94" w:rsidRDefault="00DD1AB4">
            <w:pPr>
              <w:pStyle w:val="BodyText"/>
              <w:spacing w:before="0"/>
              <w:rPr>
                <w:rFonts w:ascii="Arial" w:hAnsi="Arial"/>
              </w:rPr>
            </w:pPr>
            <w:r>
              <w:rPr>
                <w:rFonts w:ascii="Arial" w:hAnsi="Arial"/>
              </w:rPr>
              <w:t>Vancouver, BC V6H 1A6</w:t>
            </w:r>
          </w:p>
        </w:tc>
        <w:tc>
          <w:tcPr>
            <w:tcW w:w="1800" w:type="dxa"/>
            <w:tcBorders>
              <w:top w:val="single" w:sz="18" w:space="0" w:color="auto"/>
              <w:left w:val="single" w:sz="18" w:space="0" w:color="auto"/>
              <w:bottom w:val="single" w:sz="18" w:space="0" w:color="auto"/>
              <w:right w:val="single" w:sz="18" w:space="0" w:color="auto"/>
            </w:tcBorders>
          </w:tcPr>
          <w:p w14:paraId="02C43788" w14:textId="77777777" w:rsidR="00640E94" w:rsidRDefault="00640E94">
            <w:pPr>
              <w:pStyle w:val="BodyText"/>
              <w:spacing w:before="0"/>
              <w:rPr>
                <w:rFonts w:ascii="Arial" w:hAnsi="Arial"/>
              </w:rPr>
            </w:pPr>
            <w:r>
              <w:rPr>
                <w:rFonts w:ascii="Arial" w:hAnsi="Arial"/>
              </w:rPr>
              <w:t>Issuer Fax No.</w:t>
            </w:r>
          </w:p>
          <w:p w14:paraId="3C92FFC6"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6E6B1E94" w14:textId="77777777" w:rsidR="00640E94" w:rsidRDefault="00640E94">
            <w:pPr>
              <w:pStyle w:val="BodyText"/>
              <w:spacing w:before="0"/>
              <w:rPr>
                <w:rFonts w:ascii="Arial" w:hAnsi="Arial"/>
              </w:rPr>
            </w:pPr>
            <w:r>
              <w:rPr>
                <w:rFonts w:ascii="Arial" w:hAnsi="Arial"/>
              </w:rPr>
              <w:t>Issuer Telephone No.</w:t>
            </w:r>
          </w:p>
          <w:p w14:paraId="1E8107D5" w14:textId="5433D7CA" w:rsidR="00640E94" w:rsidRDefault="00640E94">
            <w:pPr>
              <w:pStyle w:val="BodyText"/>
              <w:spacing w:before="0"/>
              <w:rPr>
                <w:rFonts w:ascii="Arial" w:hAnsi="Arial"/>
              </w:rPr>
            </w:pPr>
            <w:r>
              <w:rPr>
                <w:rFonts w:ascii="Arial" w:hAnsi="Arial"/>
              </w:rPr>
              <w:t>(</w:t>
            </w:r>
            <w:r w:rsidR="00DD1AB4">
              <w:rPr>
                <w:rFonts w:ascii="Arial" w:hAnsi="Arial"/>
              </w:rPr>
              <w:t>604</w:t>
            </w:r>
            <w:r>
              <w:rPr>
                <w:rFonts w:ascii="Arial" w:hAnsi="Arial"/>
              </w:rPr>
              <w:t>)</w:t>
            </w:r>
            <w:r w:rsidR="001E25F7">
              <w:rPr>
                <w:rFonts w:ascii="Arial" w:hAnsi="Arial"/>
              </w:rPr>
              <w:t xml:space="preserve"> </w:t>
            </w:r>
            <w:r w:rsidR="00542A53">
              <w:rPr>
                <w:rFonts w:ascii="Arial" w:hAnsi="Arial"/>
              </w:rPr>
              <w:t>221-0595</w:t>
            </w:r>
          </w:p>
        </w:tc>
      </w:tr>
      <w:tr w:rsidR="00640E94" w14:paraId="2F375F11" w14:textId="77777777">
        <w:tc>
          <w:tcPr>
            <w:tcW w:w="4878" w:type="dxa"/>
            <w:tcBorders>
              <w:top w:val="single" w:sz="18" w:space="0" w:color="auto"/>
              <w:bottom w:val="single" w:sz="18" w:space="0" w:color="auto"/>
              <w:right w:val="single" w:sz="18" w:space="0" w:color="auto"/>
            </w:tcBorders>
          </w:tcPr>
          <w:p w14:paraId="0A67302E" w14:textId="77777777" w:rsidR="00640E94" w:rsidRDefault="00640E94">
            <w:pPr>
              <w:pStyle w:val="BodyText"/>
              <w:spacing w:before="0"/>
              <w:rPr>
                <w:rFonts w:ascii="Arial" w:hAnsi="Arial"/>
              </w:rPr>
            </w:pPr>
            <w:r>
              <w:rPr>
                <w:rFonts w:ascii="Arial" w:hAnsi="Arial"/>
              </w:rPr>
              <w:t>Contact Name</w:t>
            </w:r>
          </w:p>
          <w:p w14:paraId="33B0087D" w14:textId="77777777" w:rsidR="007736E2" w:rsidRDefault="007736E2">
            <w:pPr>
              <w:pStyle w:val="BodyText"/>
              <w:spacing w:before="0"/>
              <w:rPr>
                <w:rFonts w:ascii="Arial" w:hAnsi="Arial"/>
              </w:rPr>
            </w:pPr>
          </w:p>
          <w:p w14:paraId="03426A99" w14:textId="77777777" w:rsidR="00640E94" w:rsidRDefault="003C02A4">
            <w:pPr>
              <w:pStyle w:val="BodyText"/>
              <w:spacing w:before="0"/>
              <w:rPr>
                <w:rFonts w:ascii="Arial" w:hAnsi="Arial"/>
              </w:rPr>
            </w:pPr>
            <w:r>
              <w:rPr>
                <w:rFonts w:ascii="Arial" w:hAnsi="Arial"/>
              </w:rPr>
              <w:t>Moira Ong</w:t>
            </w:r>
          </w:p>
        </w:tc>
        <w:tc>
          <w:tcPr>
            <w:tcW w:w="1800" w:type="dxa"/>
            <w:tcBorders>
              <w:top w:val="single" w:sz="18" w:space="0" w:color="auto"/>
              <w:left w:val="single" w:sz="18" w:space="0" w:color="auto"/>
              <w:bottom w:val="single" w:sz="18" w:space="0" w:color="auto"/>
              <w:right w:val="single" w:sz="18" w:space="0" w:color="auto"/>
            </w:tcBorders>
          </w:tcPr>
          <w:p w14:paraId="26001220" w14:textId="77777777" w:rsidR="00640E94" w:rsidRDefault="00640E94">
            <w:pPr>
              <w:pStyle w:val="BodyText"/>
              <w:spacing w:before="0"/>
              <w:rPr>
                <w:rFonts w:ascii="Arial" w:hAnsi="Arial"/>
              </w:rPr>
            </w:pPr>
            <w:r>
              <w:rPr>
                <w:rFonts w:ascii="Arial" w:hAnsi="Arial"/>
              </w:rPr>
              <w:t>Contact Position</w:t>
            </w:r>
          </w:p>
          <w:p w14:paraId="6BC42559" w14:textId="77777777" w:rsidR="007736E2" w:rsidRDefault="003C02A4">
            <w:pPr>
              <w:pStyle w:val="BodyText"/>
              <w:spacing w:before="0"/>
              <w:rPr>
                <w:rFonts w:ascii="Arial" w:hAnsi="Arial"/>
              </w:rPr>
            </w:pPr>
            <w:r>
              <w:rPr>
                <w:rFonts w:ascii="Arial" w:hAnsi="Arial"/>
              </w:rPr>
              <w:t>CF</w:t>
            </w:r>
            <w:r w:rsidR="007736E2">
              <w:rPr>
                <w:rFonts w:ascii="Arial" w:hAnsi="Arial"/>
              </w:rPr>
              <w:t>O</w:t>
            </w:r>
          </w:p>
        </w:tc>
        <w:tc>
          <w:tcPr>
            <w:tcW w:w="2898" w:type="dxa"/>
            <w:tcBorders>
              <w:top w:val="single" w:sz="18" w:space="0" w:color="auto"/>
              <w:left w:val="single" w:sz="18" w:space="0" w:color="auto"/>
              <w:bottom w:val="single" w:sz="18" w:space="0" w:color="auto"/>
            </w:tcBorders>
          </w:tcPr>
          <w:p w14:paraId="5ED9C25D" w14:textId="77777777" w:rsidR="00640E94" w:rsidRDefault="00640E94">
            <w:pPr>
              <w:pStyle w:val="BodyText"/>
              <w:spacing w:before="0"/>
              <w:rPr>
                <w:rFonts w:ascii="Arial" w:hAnsi="Arial"/>
              </w:rPr>
            </w:pPr>
            <w:r>
              <w:rPr>
                <w:rFonts w:ascii="Arial" w:hAnsi="Arial"/>
              </w:rPr>
              <w:t>Contact Telephone No.</w:t>
            </w:r>
          </w:p>
          <w:p w14:paraId="63024D83" w14:textId="77777777" w:rsidR="007736E2" w:rsidRDefault="007736E2">
            <w:pPr>
              <w:pStyle w:val="BodyText"/>
              <w:spacing w:before="0"/>
              <w:rPr>
                <w:rFonts w:ascii="Arial" w:hAnsi="Arial"/>
              </w:rPr>
            </w:pPr>
          </w:p>
          <w:p w14:paraId="6A6491B9" w14:textId="77777777" w:rsidR="007736E2" w:rsidRDefault="003C02A4">
            <w:pPr>
              <w:pStyle w:val="BodyText"/>
              <w:spacing w:before="0"/>
              <w:rPr>
                <w:rFonts w:ascii="Arial" w:hAnsi="Arial"/>
              </w:rPr>
            </w:pPr>
            <w:r>
              <w:rPr>
                <w:rFonts w:ascii="Arial" w:hAnsi="Arial"/>
              </w:rPr>
              <w:t>604-551-5178</w:t>
            </w:r>
          </w:p>
        </w:tc>
      </w:tr>
      <w:tr w:rsidR="00640E94" w14:paraId="3E59AD46" w14:textId="77777777">
        <w:trPr>
          <w:cantSplit/>
        </w:trPr>
        <w:tc>
          <w:tcPr>
            <w:tcW w:w="4878" w:type="dxa"/>
            <w:tcBorders>
              <w:top w:val="single" w:sz="18" w:space="0" w:color="auto"/>
              <w:bottom w:val="single" w:sz="18" w:space="0" w:color="auto"/>
              <w:right w:val="single" w:sz="18" w:space="0" w:color="auto"/>
            </w:tcBorders>
          </w:tcPr>
          <w:p w14:paraId="7A46E87D" w14:textId="77777777" w:rsidR="00640E94" w:rsidRDefault="00640E94">
            <w:pPr>
              <w:pStyle w:val="BodyText"/>
              <w:spacing w:before="0"/>
              <w:rPr>
                <w:rFonts w:ascii="Arial" w:hAnsi="Arial"/>
              </w:rPr>
            </w:pPr>
            <w:r>
              <w:rPr>
                <w:rFonts w:ascii="Arial" w:hAnsi="Arial"/>
              </w:rPr>
              <w:t>Contact Email Address</w:t>
            </w:r>
          </w:p>
          <w:p w14:paraId="0D51F109" w14:textId="61DA5573" w:rsidR="00640E94" w:rsidRDefault="007736E2">
            <w:pPr>
              <w:pStyle w:val="BodyText"/>
              <w:spacing w:before="0"/>
              <w:rPr>
                <w:rFonts w:ascii="Arial" w:hAnsi="Arial"/>
              </w:rPr>
            </w:pPr>
            <w:r>
              <w:rPr>
                <w:rFonts w:ascii="Arial" w:hAnsi="Arial"/>
              </w:rPr>
              <w:t>info@</w:t>
            </w:r>
            <w:r w:rsidR="001E25F7">
              <w:rPr>
                <w:rFonts w:ascii="Arial" w:hAnsi="Arial"/>
              </w:rPr>
              <w:t>blifepharma</w:t>
            </w:r>
            <w:r>
              <w:rPr>
                <w:rFonts w:ascii="Arial" w:hAnsi="Arial"/>
              </w:rPr>
              <w:t>.com</w:t>
            </w:r>
          </w:p>
        </w:tc>
        <w:tc>
          <w:tcPr>
            <w:tcW w:w="4698" w:type="dxa"/>
            <w:gridSpan w:val="2"/>
            <w:tcBorders>
              <w:top w:val="single" w:sz="18" w:space="0" w:color="auto"/>
              <w:left w:val="single" w:sz="18" w:space="0" w:color="auto"/>
              <w:bottom w:val="single" w:sz="18" w:space="0" w:color="auto"/>
            </w:tcBorders>
          </w:tcPr>
          <w:p w14:paraId="1B988FDB" w14:textId="77777777" w:rsidR="00640E94" w:rsidRDefault="00640E94">
            <w:pPr>
              <w:pStyle w:val="BodyText"/>
              <w:spacing w:before="0"/>
              <w:rPr>
                <w:rFonts w:ascii="Arial" w:hAnsi="Arial"/>
              </w:rPr>
            </w:pPr>
            <w:r>
              <w:rPr>
                <w:rFonts w:ascii="Arial" w:hAnsi="Arial"/>
              </w:rPr>
              <w:t>Web Site Address</w:t>
            </w:r>
          </w:p>
          <w:p w14:paraId="46D39721" w14:textId="71EE4BCE" w:rsidR="00640E94" w:rsidRDefault="007736E2">
            <w:pPr>
              <w:pStyle w:val="BodyText"/>
              <w:spacing w:before="0"/>
              <w:rPr>
                <w:rFonts w:ascii="Arial" w:hAnsi="Arial"/>
              </w:rPr>
            </w:pPr>
            <w:r>
              <w:rPr>
                <w:rFonts w:ascii="Arial" w:hAnsi="Arial"/>
              </w:rPr>
              <w:t>www.</w:t>
            </w:r>
            <w:r w:rsidR="001E25F7">
              <w:rPr>
                <w:rFonts w:ascii="Arial" w:hAnsi="Arial"/>
              </w:rPr>
              <w:t>abetterlifepharma</w:t>
            </w:r>
            <w:r>
              <w:rPr>
                <w:rFonts w:ascii="Arial" w:hAnsi="Arial"/>
              </w:rPr>
              <w:t>.com</w:t>
            </w:r>
          </w:p>
        </w:tc>
      </w:tr>
    </w:tbl>
    <w:p w14:paraId="11591992" w14:textId="77777777" w:rsidR="00640E94" w:rsidRDefault="00640E94" w:rsidP="004C07A1">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1CA3D" w14:textId="77777777" w:rsidR="005E7FD4" w:rsidRDefault="005E7FD4">
      <w:r>
        <w:separator/>
      </w:r>
    </w:p>
  </w:endnote>
  <w:endnote w:type="continuationSeparator" w:id="0">
    <w:p w14:paraId="010AECD1" w14:textId="77777777" w:rsidR="005E7FD4" w:rsidRDefault="005E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758E3" w14:textId="77777777" w:rsidR="00BC51E5" w:rsidRDefault="00BC51E5">
    <w:pPr>
      <w:pStyle w:val="Footer"/>
      <w:tabs>
        <w:tab w:val="clear" w:pos="4320"/>
        <w:tab w:val="clear" w:pos="8640"/>
        <w:tab w:val="center" w:pos="4680"/>
        <w:tab w:val="right" w:pos="9360"/>
      </w:tabs>
      <w:rPr>
        <w:b/>
      </w:rPr>
    </w:pPr>
  </w:p>
  <w:p w14:paraId="28E9BCD4" w14:textId="77777777" w:rsidR="00BC51E5" w:rsidRDefault="00BC51E5"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B1604BE" wp14:editId="66C0B6C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F2670"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29FDEBFB" w14:textId="77777777" w:rsidR="00BC51E5" w:rsidRPr="006D1A06" w:rsidRDefault="00BC51E5"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D52C34B" w14:textId="77777777" w:rsidR="00BC51E5" w:rsidRPr="006D1A06" w:rsidRDefault="00BC51E5"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C07A1">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9CEC" w14:textId="77777777" w:rsidR="00BC51E5" w:rsidRDefault="00BC51E5">
    <w:pPr>
      <w:pStyle w:val="Footer"/>
      <w:tabs>
        <w:tab w:val="clear" w:pos="4320"/>
        <w:tab w:val="clear" w:pos="8640"/>
        <w:tab w:val="center" w:pos="4680"/>
        <w:tab w:val="right" w:pos="9360"/>
      </w:tabs>
      <w:rPr>
        <w:b/>
      </w:rPr>
    </w:pPr>
  </w:p>
  <w:p w14:paraId="466BC707" w14:textId="77777777" w:rsidR="00BC51E5" w:rsidRDefault="00BC51E5"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0A2FD9C4" wp14:editId="68C1EAE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5CFE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2FBF2159" w14:textId="77777777" w:rsidR="00BC51E5" w:rsidRPr="00635E9A" w:rsidRDefault="00BC51E5"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26F29F3" w14:textId="77777777" w:rsidR="00BC51E5" w:rsidRPr="00635E9A" w:rsidRDefault="00BC51E5"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93A10" w14:textId="77777777" w:rsidR="005E7FD4" w:rsidRDefault="005E7FD4">
      <w:r>
        <w:separator/>
      </w:r>
    </w:p>
  </w:footnote>
  <w:footnote w:type="continuationSeparator" w:id="0">
    <w:p w14:paraId="7BE6EF3D" w14:textId="77777777" w:rsidR="005E7FD4" w:rsidRDefault="005E7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02A85" w14:textId="77777777" w:rsidR="00BC51E5" w:rsidRDefault="00BC51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FDC14A5" w14:textId="77777777" w:rsidR="00BC51E5" w:rsidRDefault="00BC5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1F6FA" w14:textId="77777777" w:rsidR="00BC51E5" w:rsidRDefault="00BC51E5">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295DFD"/>
    <w:multiLevelType w:val="hybridMultilevel"/>
    <w:tmpl w:val="01C68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2B895E00"/>
    <w:multiLevelType w:val="hybridMultilevel"/>
    <w:tmpl w:val="D728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9A36D3A"/>
    <w:multiLevelType w:val="hybridMultilevel"/>
    <w:tmpl w:val="34B2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A801815"/>
    <w:multiLevelType w:val="hybridMultilevel"/>
    <w:tmpl w:val="13367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5"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6"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24"/>
  </w:num>
  <w:num w:numId="3">
    <w:abstractNumId w:val="18"/>
  </w:num>
  <w:num w:numId="4">
    <w:abstractNumId w:val="14"/>
  </w:num>
  <w:num w:numId="5">
    <w:abstractNumId w:val="3"/>
  </w:num>
  <w:num w:numId="6">
    <w:abstractNumId w:val="26"/>
  </w:num>
  <w:num w:numId="7">
    <w:abstractNumId w:val="9"/>
  </w:num>
  <w:num w:numId="8">
    <w:abstractNumId w:val="28"/>
  </w:num>
  <w:num w:numId="9">
    <w:abstractNumId w:val="22"/>
  </w:num>
  <w:num w:numId="10">
    <w:abstractNumId w:val="11"/>
  </w:num>
  <w:num w:numId="11">
    <w:abstractNumId w:val="15"/>
  </w:num>
  <w:num w:numId="12">
    <w:abstractNumId w:val="17"/>
  </w:num>
  <w:num w:numId="13">
    <w:abstractNumId w:val="30"/>
  </w:num>
  <w:num w:numId="14">
    <w:abstractNumId w:val="7"/>
  </w:num>
  <w:num w:numId="15">
    <w:abstractNumId w:val="10"/>
  </w:num>
  <w:num w:numId="16">
    <w:abstractNumId w:val="13"/>
  </w:num>
  <w:num w:numId="17">
    <w:abstractNumId w:val="20"/>
  </w:num>
  <w:num w:numId="18">
    <w:abstractNumId w:val="2"/>
  </w:num>
  <w:num w:numId="19">
    <w:abstractNumId w:val="8"/>
  </w:num>
  <w:num w:numId="20">
    <w:abstractNumId w:val="27"/>
  </w:num>
  <w:num w:numId="21">
    <w:abstractNumId w:val="1"/>
  </w:num>
  <w:num w:numId="22">
    <w:abstractNumId w:val="0"/>
  </w:num>
  <w:num w:numId="23">
    <w:abstractNumId w:val="25"/>
  </w:num>
  <w:num w:numId="24">
    <w:abstractNumId w:val="21"/>
  </w:num>
  <w:num w:numId="25">
    <w:abstractNumId w:val="5"/>
  </w:num>
  <w:num w:numId="26">
    <w:abstractNumId w:val="29"/>
  </w:num>
  <w:num w:numId="27">
    <w:abstractNumId w:val="31"/>
  </w:num>
  <w:num w:numId="28">
    <w:abstractNumId w:val="6"/>
  </w:num>
  <w:num w:numId="29">
    <w:abstractNumId w:val="12"/>
  </w:num>
  <w:num w:numId="30">
    <w:abstractNumId w:val="16"/>
  </w:num>
  <w:num w:numId="31">
    <w:abstractNumId w:val="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05810"/>
    <w:rsid w:val="00011246"/>
    <w:rsid w:val="000130BC"/>
    <w:rsid w:val="00030265"/>
    <w:rsid w:val="00033ABE"/>
    <w:rsid w:val="000462DC"/>
    <w:rsid w:val="000620B8"/>
    <w:rsid w:val="00094394"/>
    <w:rsid w:val="00094955"/>
    <w:rsid w:val="000A1679"/>
    <w:rsid w:val="000A1AB1"/>
    <w:rsid w:val="000B1BCE"/>
    <w:rsid w:val="000B2461"/>
    <w:rsid w:val="000B5711"/>
    <w:rsid w:val="000C008E"/>
    <w:rsid w:val="000C1488"/>
    <w:rsid w:val="000C228A"/>
    <w:rsid w:val="000C2C22"/>
    <w:rsid w:val="000C4603"/>
    <w:rsid w:val="000E548E"/>
    <w:rsid w:val="000F7CC4"/>
    <w:rsid w:val="00126180"/>
    <w:rsid w:val="0014081F"/>
    <w:rsid w:val="0014406D"/>
    <w:rsid w:val="00152273"/>
    <w:rsid w:val="00165CB6"/>
    <w:rsid w:val="001740BD"/>
    <w:rsid w:val="00185EC3"/>
    <w:rsid w:val="00196ACD"/>
    <w:rsid w:val="001A5AA6"/>
    <w:rsid w:val="001B28AF"/>
    <w:rsid w:val="001B67EA"/>
    <w:rsid w:val="001C2D52"/>
    <w:rsid w:val="001D0265"/>
    <w:rsid w:val="001D23CE"/>
    <w:rsid w:val="001E25F7"/>
    <w:rsid w:val="001F49A4"/>
    <w:rsid w:val="00220054"/>
    <w:rsid w:val="00223C6F"/>
    <w:rsid w:val="002377E3"/>
    <w:rsid w:val="00244B2C"/>
    <w:rsid w:val="00245BA2"/>
    <w:rsid w:val="00253AD3"/>
    <w:rsid w:val="0025435B"/>
    <w:rsid w:val="002601A7"/>
    <w:rsid w:val="00263DC1"/>
    <w:rsid w:val="00267035"/>
    <w:rsid w:val="00284B6B"/>
    <w:rsid w:val="00292B6D"/>
    <w:rsid w:val="002A1DC9"/>
    <w:rsid w:val="002B127E"/>
    <w:rsid w:val="002B63BD"/>
    <w:rsid w:val="002C281E"/>
    <w:rsid w:val="002D76E9"/>
    <w:rsid w:val="002E34E0"/>
    <w:rsid w:val="002F00EB"/>
    <w:rsid w:val="002F2114"/>
    <w:rsid w:val="002F72D5"/>
    <w:rsid w:val="003031CE"/>
    <w:rsid w:val="003058BE"/>
    <w:rsid w:val="00311869"/>
    <w:rsid w:val="003138E2"/>
    <w:rsid w:val="00315ED8"/>
    <w:rsid w:val="00347220"/>
    <w:rsid w:val="00347A87"/>
    <w:rsid w:val="003669A9"/>
    <w:rsid w:val="00371A64"/>
    <w:rsid w:val="00375D16"/>
    <w:rsid w:val="00387FA8"/>
    <w:rsid w:val="003B7A52"/>
    <w:rsid w:val="003C02A4"/>
    <w:rsid w:val="003C15A9"/>
    <w:rsid w:val="003D3F52"/>
    <w:rsid w:val="003E5061"/>
    <w:rsid w:val="003F1389"/>
    <w:rsid w:val="003F6706"/>
    <w:rsid w:val="00400696"/>
    <w:rsid w:val="004016FD"/>
    <w:rsid w:val="0040580F"/>
    <w:rsid w:val="004177D4"/>
    <w:rsid w:val="0042595D"/>
    <w:rsid w:val="00436BA3"/>
    <w:rsid w:val="00442270"/>
    <w:rsid w:val="00445648"/>
    <w:rsid w:val="00462376"/>
    <w:rsid w:val="0047210C"/>
    <w:rsid w:val="004822FC"/>
    <w:rsid w:val="004A0A0F"/>
    <w:rsid w:val="004A1C7B"/>
    <w:rsid w:val="004A2915"/>
    <w:rsid w:val="004A59B5"/>
    <w:rsid w:val="004B3D99"/>
    <w:rsid w:val="004C07A1"/>
    <w:rsid w:val="004E5AD5"/>
    <w:rsid w:val="004E5AFC"/>
    <w:rsid w:val="004F119A"/>
    <w:rsid w:val="004F66AB"/>
    <w:rsid w:val="00522B71"/>
    <w:rsid w:val="00542A53"/>
    <w:rsid w:val="00545268"/>
    <w:rsid w:val="005453C8"/>
    <w:rsid w:val="00554B84"/>
    <w:rsid w:val="005568F1"/>
    <w:rsid w:val="005625B1"/>
    <w:rsid w:val="005762A4"/>
    <w:rsid w:val="00576D3E"/>
    <w:rsid w:val="00584732"/>
    <w:rsid w:val="00590CBD"/>
    <w:rsid w:val="005A1DED"/>
    <w:rsid w:val="005B2B8E"/>
    <w:rsid w:val="005B3DB7"/>
    <w:rsid w:val="005C7EC2"/>
    <w:rsid w:val="005D11CD"/>
    <w:rsid w:val="005E15E0"/>
    <w:rsid w:val="005E7FD4"/>
    <w:rsid w:val="005F6D8F"/>
    <w:rsid w:val="0061199A"/>
    <w:rsid w:val="006124C1"/>
    <w:rsid w:val="00620E7F"/>
    <w:rsid w:val="006222DD"/>
    <w:rsid w:val="00633ED3"/>
    <w:rsid w:val="00635E9A"/>
    <w:rsid w:val="00640E94"/>
    <w:rsid w:val="00645202"/>
    <w:rsid w:val="00650B94"/>
    <w:rsid w:val="006729E5"/>
    <w:rsid w:val="00692C83"/>
    <w:rsid w:val="0069326C"/>
    <w:rsid w:val="00694CC7"/>
    <w:rsid w:val="006A0B2A"/>
    <w:rsid w:val="006B36FB"/>
    <w:rsid w:val="006B458A"/>
    <w:rsid w:val="006C1E0C"/>
    <w:rsid w:val="006C7370"/>
    <w:rsid w:val="006C7657"/>
    <w:rsid w:val="006D1A06"/>
    <w:rsid w:val="006E08F1"/>
    <w:rsid w:val="006E3ACF"/>
    <w:rsid w:val="006F67D3"/>
    <w:rsid w:val="00724D53"/>
    <w:rsid w:val="0072797B"/>
    <w:rsid w:val="00732D30"/>
    <w:rsid w:val="00732E24"/>
    <w:rsid w:val="007345E3"/>
    <w:rsid w:val="0075799B"/>
    <w:rsid w:val="007613A6"/>
    <w:rsid w:val="007728D7"/>
    <w:rsid w:val="007736E2"/>
    <w:rsid w:val="007748C9"/>
    <w:rsid w:val="00774A0A"/>
    <w:rsid w:val="007836A2"/>
    <w:rsid w:val="00797FFA"/>
    <w:rsid w:val="007A4D47"/>
    <w:rsid w:val="007D5D33"/>
    <w:rsid w:val="007D63AD"/>
    <w:rsid w:val="008024AE"/>
    <w:rsid w:val="0083066F"/>
    <w:rsid w:val="008349A0"/>
    <w:rsid w:val="00842030"/>
    <w:rsid w:val="0084310F"/>
    <w:rsid w:val="00851007"/>
    <w:rsid w:val="00853E80"/>
    <w:rsid w:val="008734B8"/>
    <w:rsid w:val="00875113"/>
    <w:rsid w:val="0089367E"/>
    <w:rsid w:val="008954FB"/>
    <w:rsid w:val="00897238"/>
    <w:rsid w:val="008A07A7"/>
    <w:rsid w:val="008B2474"/>
    <w:rsid w:val="008B7E92"/>
    <w:rsid w:val="008C26E9"/>
    <w:rsid w:val="008C73C8"/>
    <w:rsid w:val="008D270C"/>
    <w:rsid w:val="008E3B35"/>
    <w:rsid w:val="008F19CC"/>
    <w:rsid w:val="008F30A1"/>
    <w:rsid w:val="00900A38"/>
    <w:rsid w:val="009055C8"/>
    <w:rsid w:val="00910E5D"/>
    <w:rsid w:val="00912C13"/>
    <w:rsid w:val="00922A46"/>
    <w:rsid w:val="00922FC1"/>
    <w:rsid w:val="00923162"/>
    <w:rsid w:val="00930B9E"/>
    <w:rsid w:val="0093703B"/>
    <w:rsid w:val="00943782"/>
    <w:rsid w:val="009547B8"/>
    <w:rsid w:val="00972C40"/>
    <w:rsid w:val="00984D1E"/>
    <w:rsid w:val="0098583F"/>
    <w:rsid w:val="00993477"/>
    <w:rsid w:val="00994923"/>
    <w:rsid w:val="00997F6C"/>
    <w:rsid w:val="009A55A6"/>
    <w:rsid w:val="009D16F2"/>
    <w:rsid w:val="009D6A8C"/>
    <w:rsid w:val="009E14BB"/>
    <w:rsid w:val="009E6418"/>
    <w:rsid w:val="00A017A6"/>
    <w:rsid w:val="00A0532E"/>
    <w:rsid w:val="00A2251A"/>
    <w:rsid w:val="00A23C08"/>
    <w:rsid w:val="00A241EF"/>
    <w:rsid w:val="00A33D53"/>
    <w:rsid w:val="00A37A50"/>
    <w:rsid w:val="00A47914"/>
    <w:rsid w:val="00A66377"/>
    <w:rsid w:val="00A670A4"/>
    <w:rsid w:val="00A6779D"/>
    <w:rsid w:val="00A6786C"/>
    <w:rsid w:val="00A67EA2"/>
    <w:rsid w:val="00A73C0A"/>
    <w:rsid w:val="00A81B8A"/>
    <w:rsid w:val="00A843AF"/>
    <w:rsid w:val="00A85270"/>
    <w:rsid w:val="00A87D08"/>
    <w:rsid w:val="00A94A83"/>
    <w:rsid w:val="00A96F89"/>
    <w:rsid w:val="00AA175B"/>
    <w:rsid w:val="00AB142B"/>
    <w:rsid w:val="00AE2CC4"/>
    <w:rsid w:val="00AE46DB"/>
    <w:rsid w:val="00AE6EAA"/>
    <w:rsid w:val="00AF10EF"/>
    <w:rsid w:val="00B00844"/>
    <w:rsid w:val="00B17AEE"/>
    <w:rsid w:val="00B234CB"/>
    <w:rsid w:val="00B24671"/>
    <w:rsid w:val="00B249ED"/>
    <w:rsid w:val="00B3075C"/>
    <w:rsid w:val="00B45744"/>
    <w:rsid w:val="00B61330"/>
    <w:rsid w:val="00B6661A"/>
    <w:rsid w:val="00B77573"/>
    <w:rsid w:val="00B926A7"/>
    <w:rsid w:val="00B97A23"/>
    <w:rsid w:val="00BA6077"/>
    <w:rsid w:val="00BB29A2"/>
    <w:rsid w:val="00BB7B06"/>
    <w:rsid w:val="00BC20AB"/>
    <w:rsid w:val="00BC51E5"/>
    <w:rsid w:val="00BD671E"/>
    <w:rsid w:val="00BE06CE"/>
    <w:rsid w:val="00BF1A4D"/>
    <w:rsid w:val="00C05A86"/>
    <w:rsid w:val="00C17B54"/>
    <w:rsid w:val="00C27A18"/>
    <w:rsid w:val="00C34CF9"/>
    <w:rsid w:val="00C358BE"/>
    <w:rsid w:val="00C429D7"/>
    <w:rsid w:val="00C463A8"/>
    <w:rsid w:val="00C518E4"/>
    <w:rsid w:val="00C6383E"/>
    <w:rsid w:val="00C701F8"/>
    <w:rsid w:val="00C8589C"/>
    <w:rsid w:val="00C934D3"/>
    <w:rsid w:val="00C93831"/>
    <w:rsid w:val="00CA5F81"/>
    <w:rsid w:val="00CB4136"/>
    <w:rsid w:val="00CB5D66"/>
    <w:rsid w:val="00CB791E"/>
    <w:rsid w:val="00CE1159"/>
    <w:rsid w:val="00CE7076"/>
    <w:rsid w:val="00CF07E2"/>
    <w:rsid w:val="00CF63D0"/>
    <w:rsid w:val="00CF7D3E"/>
    <w:rsid w:val="00D02ECB"/>
    <w:rsid w:val="00D038AE"/>
    <w:rsid w:val="00D03F31"/>
    <w:rsid w:val="00D05442"/>
    <w:rsid w:val="00D1723F"/>
    <w:rsid w:val="00D23C7D"/>
    <w:rsid w:val="00D304BB"/>
    <w:rsid w:val="00D3256B"/>
    <w:rsid w:val="00D32B38"/>
    <w:rsid w:val="00D533D0"/>
    <w:rsid w:val="00D60620"/>
    <w:rsid w:val="00D660D0"/>
    <w:rsid w:val="00D708C2"/>
    <w:rsid w:val="00D77E39"/>
    <w:rsid w:val="00D814DD"/>
    <w:rsid w:val="00D859EC"/>
    <w:rsid w:val="00D861FE"/>
    <w:rsid w:val="00DA25CF"/>
    <w:rsid w:val="00DD1AB4"/>
    <w:rsid w:val="00DD50CB"/>
    <w:rsid w:val="00DF5F05"/>
    <w:rsid w:val="00E02B18"/>
    <w:rsid w:val="00E24293"/>
    <w:rsid w:val="00E24ABB"/>
    <w:rsid w:val="00E27E4F"/>
    <w:rsid w:val="00E351EE"/>
    <w:rsid w:val="00E36141"/>
    <w:rsid w:val="00E3730E"/>
    <w:rsid w:val="00E43BC0"/>
    <w:rsid w:val="00E60542"/>
    <w:rsid w:val="00E61B41"/>
    <w:rsid w:val="00E63ACF"/>
    <w:rsid w:val="00E63CFA"/>
    <w:rsid w:val="00E67F38"/>
    <w:rsid w:val="00E7727D"/>
    <w:rsid w:val="00E83E58"/>
    <w:rsid w:val="00E84EBC"/>
    <w:rsid w:val="00E965C9"/>
    <w:rsid w:val="00EE4168"/>
    <w:rsid w:val="00F0055B"/>
    <w:rsid w:val="00F1359E"/>
    <w:rsid w:val="00F1704B"/>
    <w:rsid w:val="00F21064"/>
    <w:rsid w:val="00F30EE0"/>
    <w:rsid w:val="00F411CB"/>
    <w:rsid w:val="00F7616A"/>
    <w:rsid w:val="00F90126"/>
    <w:rsid w:val="00F966F5"/>
    <w:rsid w:val="00FD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4C4B3CB"/>
  <w15:docId w15:val="{51231EC0-9979-47AB-9A67-8C8B37D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E5061"/>
    <w:rPr>
      <w:color w:val="0000FF" w:themeColor="hyperlink"/>
      <w:u w:val="single"/>
    </w:rPr>
  </w:style>
  <w:style w:type="character" w:styleId="UnresolvedMention">
    <w:name w:val="Unresolved Mention"/>
    <w:basedOn w:val="DefaultParagraphFont"/>
    <w:uiPriority w:val="99"/>
    <w:semiHidden/>
    <w:unhideWhenUsed/>
    <w:rsid w:val="003E5061"/>
    <w:rPr>
      <w:color w:val="605E5C"/>
      <w:shd w:val="clear" w:color="auto" w:fill="E1DFDD"/>
    </w:rPr>
  </w:style>
  <w:style w:type="character" w:customStyle="1" w:styleId="xn-money">
    <w:name w:val="xn-money"/>
    <w:basedOn w:val="DefaultParagraphFont"/>
    <w:rsid w:val="00E67F38"/>
  </w:style>
  <w:style w:type="character" w:styleId="FollowedHyperlink">
    <w:name w:val="FollowedHyperlink"/>
    <w:basedOn w:val="DefaultParagraphFont"/>
    <w:uiPriority w:val="99"/>
    <w:semiHidden/>
    <w:unhideWhenUsed/>
    <w:rsid w:val="009370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5832</TotalTime>
  <Pages>6</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138</cp:revision>
  <cp:lastPrinted>2004-05-10T18:28:00Z</cp:lastPrinted>
  <dcterms:created xsi:type="dcterms:W3CDTF">2018-02-01T18:59:00Z</dcterms:created>
  <dcterms:modified xsi:type="dcterms:W3CDTF">2021-02-03T20:24:00Z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