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4C49F03D"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D67396">
        <w:rPr>
          <w:rFonts w:ascii="Calibri" w:hAnsi="Calibri" w:cs="Calibri"/>
          <w:color w:val="000000"/>
          <w:sz w:val="22"/>
          <w:szCs w:val="22"/>
        </w:rPr>
        <w:t>41</w:t>
      </w:r>
      <w:r w:rsidR="00BA3D8F">
        <w:rPr>
          <w:rFonts w:ascii="Calibri" w:hAnsi="Calibri" w:cs="Calibri"/>
          <w:color w:val="000000"/>
          <w:sz w:val="22"/>
          <w:szCs w:val="22"/>
        </w:rPr>
        <w:t>,577,108</w:t>
      </w:r>
      <w:r w:rsidR="00F654EF">
        <w:rPr>
          <w:rFonts w:ascii="Calibri" w:hAnsi="Calibri" w:cs="Calibri"/>
          <w:color w:val="000000"/>
          <w:sz w:val="22"/>
          <w:szCs w:val="22"/>
        </w:rPr>
        <w:t> </w:t>
      </w:r>
      <w:r w:rsidRPr="0032035B">
        <w:rPr>
          <w:rFonts w:ascii="Arial" w:hAnsi="Arial"/>
          <w:color w:val="000000"/>
          <w:u w:val="single"/>
        </w:rPr>
        <w:tab/>
      </w:r>
    </w:p>
    <w:p w14:paraId="51C84E73" w14:textId="4DFE5606"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BF2165">
        <w:rPr>
          <w:rFonts w:ascii="Arial" w:hAnsi="Arial"/>
          <w:color w:val="000000"/>
        </w:rPr>
        <w:t>August</w:t>
      </w:r>
      <w:r w:rsidR="00516404">
        <w:rPr>
          <w:rFonts w:ascii="Arial" w:hAnsi="Arial"/>
          <w:color w:val="000000"/>
        </w:rPr>
        <w:t xml:space="preserve"> </w:t>
      </w:r>
      <w:r w:rsidR="00F83DC7">
        <w:rPr>
          <w:rFonts w:ascii="Arial" w:hAnsi="Arial"/>
          <w:color w:val="000000"/>
        </w:rPr>
        <w:t>5</w:t>
      </w:r>
      <w:r w:rsidR="00C5219E">
        <w:rPr>
          <w:rFonts w:ascii="Arial" w:hAnsi="Arial"/>
          <w:color w:val="000000"/>
          <w:u w:val="single"/>
        </w:rPr>
        <w:t xml:space="preserve"> 20</w:t>
      </w:r>
      <w:r w:rsidR="00516247">
        <w:rPr>
          <w:rFonts w:ascii="Arial" w:hAnsi="Arial"/>
          <w:color w:val="000000"/>
          <w:u w:val="single"/>
        </w:rPr>
        <w:t>20</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5E781DA9" w14:textId="69DC7AB6" w:rsidR="00B31F97" w:rsidRDefault="00B31F97" w:rsidP="00284C00">
      <w:pPr>
        <w:tabs>
          <w:tab w:val="right" w:pos="9360"/>
        </w:tabs>
      </w:pPr>
      <w:proofErr w:type="spellStart"/>
      <w:r>
        <w:t>Goldrea</w:t>
      </w:r>
      <w:proofErr w:type="spellEnd"/>
      <w:r>
        <w:t xml:space="preserve"> continues to keep its mining interests up to date </w:t>
      </w:r>
      <w:r w:rsidR="00FB07A8">
        <w:t>focusing on the Cannonball Property in the Golden Triangle, in northern BC</w:t>
      </w:r>
      <w:r w:rsidR="00BF2165">
        <w:t>.</w:t>
      </w:r>
    </w:p>
    <w:p w14:paraId="7BEDA89B" w14:textId="77777777" w:rsidR="00BF2165" w:rsidRDefault="00BF2165" w:rsidP="00BF2165">
      <w:proofErr w:type="spellStart"/>
      <w:r>
        <w:t>Goldrea’s</w:t>
      </w:r>
      <w:proofErr w:type="spellEnd"/>
      <w:r>
        <w:t xml:space="preserve"> Cannonball property identified a target and the Company is in process of raising funds to finance an IP survey and drilling program this year. </w:t>
      </w:r>
      <w:proofErr w:type="spellStart"/>
      <w:r>
        <w:t>Goldrea</w:t>
      </w:r>
      <w:proofErr w:type="spellEnd"/>
      <w:r>
        <w:t xml:space="preserve"> has the drilling permit in place and an experienced team ready to put the program into place.</w:t>
      </w:r>
    </w:p>
    <w:p w14:paraId="50A78B02" w14:textId="3054B4DD" w:rsidR="00BF2165" w:rsidRDefault="00BF2165" w:rsidP="00BF2165">
      <w:proofErr w:type="spellStart"/>
      <w:r>
        <w:t>Goldrea</w:t>
      </w:r>
      <w:proofErr w:type="spellEnd"/>
      <w:r>
        <w:t xml:space="preserve"> will be conducting a non-brokered private placement of up to 10,000,000 units at $0.03 each, for gross proceeds of up to $300,000. Each unit will be comprised of one common share and one-half common share purchase warrant with an exercise price of $0.08 for a period of one year. The gross proceeds will be used to fund work on properties held in Canada and general working capital. All securities issued under the private placement will be subject to a four-month hold. A finder’s fee may be paid in connection with the financing.</w:t>
      </w:r>
    </w:p>
    <w:p w14:paraId="3CAB4C3D" w14:textId="34781922" w:rsidR="00BF2165" w:rsidRDefault="00BF2165" w:rsidP="00BF2165">
      <w:r>
        <w:t>The financing proceeds was raised to $500,000 due to great demand.</w:t>
      </w:r>
    </w:p>
    <w:p w14:paraId="4A5C84FD" w14:textId="77777777" w:rsidR="00BF2165" w:rsidRDefault="00BF2165" w:rsidP="00284C00">
      <w:pPr>
        <w:tabs>
          <w:tab w:val="right" w:pos="9360"/>
        </w:tabs>
      </w:pPr>
    </w:p>
    <w:p w14:paraId="4116C478" w14:textId="676CBFD0" w:rsidR="00284C00" w:rsidRDefault="00284C00" w:rsidP="00284C00">
      <w:pPr>
        <w:tabs>
          <w:tab w:val="right" w:pos="9360"/>
        </w:tabs>
        <w:rPr>
          <w:rFonts w:cstheme="minorBidi"/>
          <w:sz w:val="22"/>
          <w:szCs w:val="22"/>
        </w:rPr>
      </w:pPr>
      <w:r>
        <w:tab/>
      </w:r>
      <w:r>
        <w:tab/>
      </w:r>
    </w:p>
    <w:p w14:paraId="5015314C" w14:textId="77777777" w:rsidR="00640E94" w:rsidRPr="0032035B" w:rsidRDefault="00640E94" w:rsidP="00C5219E">
      <w:pPr>
        <w:pStyle w:val="NormalWeb"/>
        <w:rPr>
          <w:rFonts w:ascii="Arial" w:hAnsi="Arial"/>
          <w:b/>
        </w:rPr>
      </w:pPr>
      <w:r w:rsidRPr="0032035B">
        <w:rPr>
          <w:rFonts w:ascii="Arial" w:hAnsi="Arial"/>
          <w:b/>
        </w:rPr>
        <w:t xml:space="preserve">Provide a general overview and </w:t>
      </w:r>
      <w:proofErr w:type="spellStart"/>
      <w:r w:rsidRPr="0032035B">
        <w:rPr>
          <w:rFonts w:ascii="Arial" w:hAnsi="Arial"/>
          <w:b/>
        </w:rPr>
        <w:t>discussion</w:t>
      </w:r>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30433B28" w:rsidR="001A462A" w:rsidRDefault="00F83DC7" w:rsidP="007944D2">
      <w:pPr>
        <w:pStyle w:val="List"/>
        <w:spacing w:before="120"/>
        <w:ind w:left="720" w:firstLine="0"/>
        <w:jc w:val="both"/>
        <w:rPr>
          <w:rFonts w:ascii="Arial" w:hAnsi="Arial"/>
        </w:rPr>
      </w:pPr>
      <w:r>
        <w:rPr>
          <w:rFonts w:ascii="Arial" w:hAnsi="Arial"/>
        </w:rPr>
        <w:t>No activities in month.</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lastRenderedPageBreak/>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lastRenderedPageBreak/>
        <w:t xml:space="preserve">Certificate </w:t>
      </w:r>
      <w:proofErr w:type="gramStart"/>
      <w:r w:rsidRPr="0032035B">
        <w:rPr>
          <w:rFonts w:ascii="Arial" w:hAnsi="Arial"/>
          <w:b/>
        </w:rPr>
        <w:t>Of</w:t>
      </w:r>
      <w:proofErr w:type="gramEnd"/>
      <w:r w:rsidRPr="0032035B">
        <w:rPr>
          <w:rFonts w:ascii="Arial" w:hAnsi="Arial"/>
          <w:b/>
        </w:rPr>
        <w:t xml:space="preserve">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41F04536"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BF2165">
        <w:rPr>
          <w:rFonts w:ascii="Arial" w:hAnsi="Arial"/>
        </w:rPr>
        <w:t xml:space="preserve">August </w:t>
      </w:r>
      <w:r w:rsidR="00F83DC7">
        <w:rPr>
          <w:rFonts w:ascii="Arial" w:hAnsi="Arial"/>
        </w:rPr>
        <w:t>5</w:t>
      </w:r>
      <w:r w:rsidR="00B44502">
        <w:rPr>
          <w:rFonts w:ascii="Arial" w:hAnsi="Arial"/>
        </w:rPr>
        <w:t>, 2020</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4900E7B8"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516404">
              <w:rPr>
                <w:rFonts w:ascii="Calibri Light" w:hAnsi="Calibri Light" w:cs="Calibri Light"/>
              </w:rPr>
              <w:t>J</w:t>
            </w:r>
            <w:r w:rsidR="00BF2165">
              <w:rPr>
                <w:rFonts w:ascii="Calibri Light" w:hAnsi="Calibri Light" w:cs="Calibri Light"/>
              </w:rPr>
              <w:t>uly</w:t>
            </w:r>
            <w:r w:rsidR="00D67396">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20</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4E77C23D" w:rsidR="00640E94" w:rsidRPr="0032035B" w:rsidRDefault="00BF2165">
            <w:pPr>
              <w:pStyle w:val="BodyText"/>
              <w:spacing w:before="0"/>
              <w:rPr>
                <w:rFonts w:ascii="Arial" w:hAnsi="Arial"/>
              </w:rPr>
            </w:pPr>
            <w:r>
              <w:rPr>
                <w:rFonts w:ascii="Arial" w:hAnsi="Arial"/>
              </w:rPr>
              <w:t>8</w:t>
            </w:r>
            <w:r w:rsidR="00B31F97">
              <w:rPr>
                <w:rFonts w:ascii="Arial" w:hAnsi="Arial"/>
              </w:rPr>
              <w:t>/</w:t>
            </w:r>
            <w:r w:rsidR="00F83DC7">
              <w:rPr>
                <w:rFonts w:ascii="Arial" w:hAnsi="Arial"/>
              </w:rPr>
              <w:t>5</w:t>
            </w:r>
            <w:r w:rsidR="00C5219E">
              <w:rPr>
                <w:rFonts w:ascii="Arial" w:hAnsi="Arial"/>
              </w:rPr>
              <w:t>/</w:t>
            </w:r>
            <w:r w:rsidR="00516247">
              <w:rPr>
                <w:rFonts w:ascii="Arial" w:hAnsi="Arial"/>
              </w:rPr>
              <w:t>20</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A33D8" w14:textId="77777777" w:rsidR="00094521" w:rsidRDefault="00094521">
      <w:r>
        <w:separator/>
      </w:r>
    </w:p>
  </w:endnote>
  <w:endnote w:type="continuationSeparator" w:id="0">
    <w:p w14:paraId="1C27DAD2" w14:textId="77777777" w:rsidR="00094521" w:rsidRDefault="0009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22C4" w14:textId="77777777" w:rsidR="00094521" w:rsidRDefault="00094521">
      <w:r>
        <w:separator/>
      </w:r>
    </w:p>
  </w:footnote>
  <w:footnote w:type="continuationSeparator" w:id="0">
    <w:p w14:paraId="3B9FDC8B" w14:textId="77777777" w:rsidR="00094521" w:rsidRDefault="0009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F5E88"/>
    <w:rsid w:val="00511AC7"/>
    <w:rsid w:val="00516247"/>
    <w:rsid w:val="00516404"/>
    <w:rsid w:val="00522849"/>
    <w:rsid w:val="00527B8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723F67"/>
    <w:rsid w:val="007944D2"/>
    <w:rsid w:val="00796E65"/>
    <w:rsid w:val="007B19FC"/>
    <w:rsid w:val="007D07F2"/>
    <w:rsid w:val="007D5D4B"/>
    <w:rsid w:val="007D6CE3"/>
    <w:rsid w:val="007F2917"/>
    <w:rsid w:val="00804024"/>
    <w:rsid w:val="008645F1"/>
    <w:rsid w:val="008F6AA6"/>
    <w:rsid w:val="009058C9"/>
    <w:rsid w:val="0092052A"/>
    <w:rsid w:val="00922A46"/>
    <w:rsid w:val="009343DA"/>
    <w:rsid w:val="00957B83"/>
    <w:rsid w:val="00996671"/>
    <w:rsid w:val="009A37C4"/>
    <w:rsid w:val="00A06F4E"/>
    <w:rsid w:val="00A47914"/>
    <w:rsid w:val="00A75AF2"/>
    <w:rsid w:val="00A9742C"/>
    <w:rsid w:val="00AE0976"/>
    <w:rsid w:val="00AF4254"/>
    <w:rsid w:val="00B0083A"/>
    <w:rsid w:val="00B06028"/>
    <w:rsid w:val="00B31F97"/>
    <w:rsid w:val="00B44502"/>
    <w:rsid w:val="00B760B7"/>
    <w:rsid w:val="00BA3D8F"/>
    <w:rsid w:val="00BA5A0A"/>
    <w:rsid w:val="00BD4C43"/>
    <w:rsid w:val="00BF17AC"/>
    <w:rsid w:val="00BF2165"/>
    <w:rsid w:val="00C22556"/>
    <w:rsid w:val="00C228B3"/>
    <w:rsid w:val="00C27A18"/>
    <w:rsid w:val="00C30414"/>
    <w:rsid w:val="00C5219E"/>
    <w:rsid w:val="00C6383E"/>
    <w:rsid w:val="00C84748"/>
    <w:rsid w:val="00C96760"/>
    <w:rsid w:val="00CC09C1"/>
    <w:rsid w:val="00CF61F5"/>
    <w:rsid w:val="00D14775"/>
    <w:rsid w:val="00D16BDA"/>
    <w:rsid w:val="00D34FF2"/>
    <w:rsid w:val="00D45DAB"/>
    <w:rsid w:val="00D67396"/>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885</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Jim Elbert</cp:lastModifiedBy>
  <cp:revision>2</cp:revision>
  <cp:lastPrinted>2019-09-06T06:09:00Z</cp:lastPrinted>
  <dcterms:created xsi:type="dcterms:W3CDTF">2020-08-19T01:13:00Z</dcterms:created>
  <dcterms:modified xsi:type="dcterms:W3CDTF">2020-08-19T01:13:00Z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