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E8A9E"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8B8AF88" w14:textId="33E37AD3"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3D2A65">
        <w:rPr>
          <w:rFonts w:ascii="Arial" w:hAnsi="Arial"/>
          <w:b/>
          <w:bCs/>
          <w:color w:val="000000"/>
          <w:u w:val="single"/>
        </w:rPr>
        <w:t>TransCanna Holdings Inc.</w:t>
      </w:r>
      <w:r>
        <w:rPr>
          <w:rFonts w:ascii="Arial" w:hAnsi="Arial"/>
          <w:color w:val="000000"/>
          <w:u w:val="single"/>
        </w:rPr>
        <w:tab/>
      </w:r>
      <w:r>
        <w:rPr>
          <w:rFonts w:ascii="Arial" w:hAnsi="Arial"/>
          <w:color w:val="000000"/>
          <w:u w:val="single"/>
        </w:rPr>
        <w:tab/>
      </w:r>
      <w:r>
        <w:rPr>
          <w:rFonts w:ascii="Arial" w:hAnsi="Arial"/>
          <w:color w:val="000000"/>
        </w:rPr>
        <w:t>(the “Issuer”).</w:t>
      </w:r>
    </w:p>
    <w:p w14:paraId="4032CFF8" w14:textId="39C18D5A"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3D2A65" w:rsidRPr="003D2A65">
        <w:rPr>
          <w:rFonts w:ascii="Arial" w:hAnsi="Arial"/>
          <w:b/>
          <w:bCs/>
          <w:color w:val="000000"/>
        </w:rPr>
        <w:t>TCAN</w:t>
      </w:r>
      <w:r>
        <w:rPr>
          <w:rFonts w:ascii="Arial" w:hAnsi="Arial"/>
          <w:color w:val="000000"/>
          <w:u w:val="single"/>
        </w:rPr>
        <w:tab/>
      </w:r>
      <w:r>
        <w:rPr>
          <w:rFonts w:ascii="Arial" w:hAnsi="Arial"/>
          <w:color w:val="000000"/>
          <w:u w:val="single"/>
        </w:rPr>
        <w:tab/>
      </w:r>
    </w:p>
    <w:p w14:paraId="78613595" w14:textId="284BF52F"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1405C5">
        <w:rPr>
          <w:rFonts w:ascii="Arial" w:hAnsi="Arial"/>
          <w:b/>
          <w:bCs/>
          <w:color w:val="000000"/>
        </w:rPr>
        <w:t>41,393,040</w:t>
      </w:r>
      <w:r>
        <w:rPr>
          <w:rFonts w:ascii="Arial" w:hAnsi="Arial"/>
          <w:color w:val="000000"/>
          <w:u w:val="single"/>
        </w:rPr>
        <w:tab/>
      </w:r>
      <w:r>
        <w:rPr>
          <w:rFonts w:ascii="Arial" w:hAnsi="Arial"/>
          <w:color w:val="000000"/>
          <w:u w:val="single"/>
        </w:rPr>
        <w:tab/>
      </w:r>
    </w:p>
    <w:p w14:paraId="445182D3" w14:textId="54FD8BAF"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1405C5">
        <w:rPr>
          <w:rFonts w:ascii="Arial" w:hAnsi="Arial"/>
          <w:b/>
          <w:bCs/>
          <w:color w:val="000000"/>
        </w:rPr>
        <w:t>January</w:t>
      </w:r>
      <w:r w:rsidR="004C3292" w:rsidRPr="00CD4AA1">
        <w:rPr>
          <w:rFonts w:ascii="Arial" w:hAnsi="Arial"/>
          <w:b/>
          <w:bCs/>
          <w:color w:val="000000"/>
        </w:rPr>
        <w:t xml:space="preserve"> 3</w:t>
      </w:r>
      <w:r w:rsidR="00E52A97" w:rsidRPr="00CD4AA1">
        <w:rPr>
          <w:rFonts w:ascii="Arial" w:hAnsi="Arial"/>
          <w:b/>
          <w:bCs/>
          <w:color w:val="000000"/>
        </w:rPr>
        <w:t>1</w:t>
      </w:r>
      <w:r w:rsidR="003D2A65" w:rsidRPr="00CD4AA1">
        <w:rPr>
          <w:rFonts w:ascii="Arial" w:hAnsi="Arial"/>
          <w:b/>
          <w:bCs/>
          <w:color w:val="000000"/>
        </w:rPr>
        <w:t>, 20</w:t>
      </w:r>
      <w:r w:rsidR="001405C5">
        <w:rPr>
          <w:rFonts w:ascii="Arial" w:hAnsi="Arial"/>
          <w:b/>
          <w:bCs/>
          <w:color w:val="000000"/>
        </w:rPr>
        <w:t>20</w:t>
      </w:r>
      <w:r>
        <w:rPr>
          <w:rFonts w:ascii="Arial" w:hAnsi="Arial"/>
          <w:color w:val="000000"/>
          <w:u w:val="single"/>
        </w:rPr>
        <w:tab/>
      </w:r>
      <w:r>
        <w:rPr>
          <w:rFonts w:ascii="Arial" w:hAnsi="Arial"/>
          <w:color w:val="000000"/>
          <w:u w:val="single"/>
        </w:rPr>
        <w:tab/>
      </w:r>
    </w:p>
    <w:p w14:paraId="0614AF80"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629D629E"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4ADD2C2D"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21F49FF4" w14:textId="77777777" w:rsidR="00640E94" w:rsidRDefault="00640E94" w:rsidP="00B4604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40A912CE"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31434766"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7D16D05E" w14:textId="77777777" w:rsidR="00640E94" w:rsidRDefault="00640E94">
      <w:pPr>
        <w:pStyle w:val="List"/>
        <w:keepLines/>
        <w:spacing w:before="120"/>
        <w:ind w:left="0" w:firstLine="0"/>
        <w:rPr>
          <w:rFonts w:ascii="Arial" w:hAnsi="Arial"/>
          <w:b/>
        </w:rPr>
      </w:pPr>
      <w:r>
        <w:rPr>
          <w:rFonts w:ascii="Arial" w:hAnsi="Arial"/>
          <w:b/>
        </w:rPr>
        <w:t>Report on Business</w:t>
      </w:r>
    </w:p>
    <w:p w14:paraId="6F44AED1" w14:textId="57C87FD4"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EBBBDD2" w14:textId="75A98DD3" w:rsidR="00E52A97" w:rsidRDefault="00D24F72" w:rsidP="00D24F72">
      <w:pPr>
        <w:pStyle w:val="List"/>
        <w:spacing w:before="120"/>
        <w:ind w:left="720" w:firstLine="0"/>
        <w:jc w:val="both"/>
        <w:rPr>
          <w:rFonts w:ascii="Arial" w:hAnsi="Arial"/>
          <w:b/>
          <w:bCs/>
        </w:rPr>
      </w:pPr>
      <w:r w:rsidRPr="00D24F72">
        <w:rPr>
          <w:rFonts w:ascii="Arial" w:hAnsi="Arial"/>
          <w:b/>
          <w:bCs/>
        </w:rPr>
        <w:t xml:space="preserve">The company continues to look for additional opportunities to expand the distribution network for its </w:t>
      </w:r>
      <w:proofErr w:type="spellStart"/>
      <w:r w:rsidRPr="00D24F72">
        <w:rPr>
          <w:rFonts w:ascii="Arial" w:hAnsi="Arial"/>
          <w:b/>
          <w:bCs/>
        </w:rPr>
        <w:t>Lyfted</w:t>
      </w:r>
      <w:proofErr w:type="spellEnd"/>
      <w:r w:rsidRPr="00D24F72">
        <w:rPr>
          <w:rFonts w:ascii="Arial" w:hAnsi="Arial"/>
          <w:b/>
          <w:bCs/>
        </w:rPr>
        <w:t xml:space="preserve"> Farms, </w:t>
      </w:r>
      <w:proofErr w:type="spellStart"/>
      <w:r w:rsidRPr="00D24F72">
        <w:rPr>
          <w:rFonts w:ascii="Arial" w:hAnsi="Arial"/>
          <w:b/>
          <w:bCs/>
        </w:rPr>
        <w:t>Soldaze</w:t>
      </w:r>
      <w:proofErr w:type="spellEnd"/>
      <w:r w:rsidRPr="00D24F72">
        <w:rPr>
          <w:rFonts w:ascii="Arial" w:hAnsi="Arial"/>
          <w:b/>
          <w:bCs/>
        </w:rPr>
        <w:t>, and</w:t>
      </w:r>
      <w:r>
        <w:rPr>
          <w:rFonts w:ascii="Arial" w:hAnsi="Arial"/>
          <w:b/>
          <w:bCs/>
        </w:rPr>
        <w:t xml:space="preserve"> </w:t>
      </w:r>
      <w:r w:rsidRPr="00D24F72">
        <w:rPr>
          <w:rFonts w:ascii="Arial" w:hAnsi="Arial"/>
          <w:b/>
          <w:bCs/>
        </w:rPr>
        <w:t xml:space="preserve">Daily brands. </w:t>
      </w:r>
    </w:p>
    <w:p w14:paraId="04B2D66F" w14:textId="3636795C" w:rsidR="00CD4AA1" w:rsidRDefault="00CD4AA1" w:rsidP="00CD4AA1">
      <w:pPr>
        <w:pStyle w:val="List"/>
        <w:spacing w:before="120"/>
        <w:ind w:left="720" w:firstLine="0"/>
        <w:jc w:val="both"/>
        <w:rPr>
          <w:rFonts w:ascii="Arial" w:hAnsi="Arial"/>
          <w:b/>
          <w:bCs/>
          <w:lang w:val="en-US"/>
        </w:rPr>
      </w:pPr>
      <w:r w:rsidRPr="00CD4AA1">
        <w:rPr>
          <w:rFonts w:ascii="Arial" w:hAnsi="Arial"/>
          <w:b/>
          <w:bCs/>
        </w:rPr>
        <w:lastRenderedPageBreak/>
        <w:t>The Company engaged Jones Lang LaSalle to work on the re-financing of the Daly facility in Modesto.</w:t>
      </w:r>
      <w:r>
        <w:rPr>
          <w:rFonts w:ascii="Arial" w:hAnsi="Arial"/>
          <w:b/>
          <w:bCs/>
        </w:rPr>
        <w:t xml:space="preserve"> </w:t>
      </w:r>
      <w:r w:rsidRPr="00CD4AA1">
        <w:rPr>
          <w:rFonts w:ascii="Arial" w:hAnsi="Arial"/>
          <w:b/>
          <w:bCs/>
          <w:lang w:val="en-US"/>
        </w:rPr>
        <w:t>Jones Lang LaSalle has initiated their marketing campaign and have targeted early first quarter of 2020 for completion.</w:t>
      </w:r>
    </w:p>
    <w:p w14:paraId="38F36DC1" w14:textId="36F0371D" w:rsidR="00640E94" w:rsidRDefault="00640E94" w:rsidP="00E52A97">
      <w:pPr>
        <w:pStyle w:val="List"/>
        <w:spacing w:before="120"/>
        <w:ind w:left="720" w:firstLine="0"/>
        <w:jc w:val="both"/>
        <w:rPr>
          <w:rFonts w:ascii="Arial" w:hAnsi="Arial"/>
        </w:rPr>
      </w:pPr>
      <w:r>
        <w:rPr>
          <w:rFonts w:ascii="Arial" w:hAnsi="Arial"/>
        </w:rPr>
        <w:t>Provide a general overview and discussion of the activities of management.</w:t>
      </w:r>
    </w:p>
    <w:p w14:paraId="67E12195" w14:textId="0B644863" w:rsidR="00D24F72" w:rsidRDefault="00D24F72" w:rsidP="00D24F72">
      <w:pPr>
        <w:pStyle w:val="List"/>
        <w:spacing w:before="120"/>
        <w:ind w:left="720" w:firstLine="0"/>
        <w:jc w:val="both"/>
        <w:rPr>
          <w:rFonts w:ascii="Arial" w:hAnsi="Arial"/>
          <w:b/>
          <w:bCs/>
          <w:lang w:val="en-US"/>
        </w:rPr>
      </w:pPr>
      <w:r w:rsidRPr="003D2A65">
        <w:rPr>
          <w:rFonts w:ascii="Arial" w:hAnsi="Arial"/>
          <w:b/>
          <w:bCs/>
        </w:rPr>
        <w:t>During the month</w:t>
      </w:r>
      <w:r>
        <w:rPr>
          <w:rFonts w:ascii="Arial" w:hAnsi="Arial"/>
          <w:b/>
          <w:bCs/>
        </w:rPr>
        <w:t xml:space="preserve"> of</w:t>
      </w:r>
      <w:r w:rsidRPr="00E57076">
        <w:rPr>
          <w:rFonts w:ascii="Arial" w:hAnsi="Arial"/>
          <w:b/>
          <w:bCs/>
          <w:lang w:val="en-US"/>
        </w:rPr>
        <w:t xml:space="preserve"> </w:t>
      </w:r>
      <w:r w:rsidR="001F7A19">
        <w:rPr>
          <w:rFonts w:ascii="Arial" w:hAnsi="Arial"/>
          <w:b/>
          <w:bCs/>
          <w:lang w:val="en-US"/>
        </w:rPr>
        <w:t>January</w:t>
      </w:r>
      <w:r w:rsidRPr="00E57076">
        <w:rPr>
          <w:rFonts w:ascii="Arial" w:hAnsi="Arial"/>
          <w:b/>
          <w:bCs/>
          <w:lang w:val="en-US"/>
        </w:rPr>
        <w:t xml:space="preserve">, </w:t>
      </w:r>
      <w:r w:rsidRPr="00E52A97">
        <w:rPr>
          <w:rFonts w:ascii="Arial" w:hAnsi="Arial"/>
          <w:b/>
          <w:bCs/>
          <w:lang w:val="en-US"/>
        </w:rPr>
        <w:t xml:space="preserve">the </w:t>
      </w:r>
      <w:r>
        <w:rPr>
          <w:rFonts w:ascii="Arial" w:hAnsi="Arial"/>
          <w:b/>
          <w:bCs/>
          <w:lang w:val="en-US"/>
        </w:rPr>
        <w:t>C</w:t>
      </w:r>
      <w:r w:rsidRPr="00E52A97">
        <w:rPr>
          <w:rFonts w:ascii="Arial" w:hAnsi="Arial"/>
          <w:b/>
          <w:bCs/>
          <w:lang w:val="en-US"/>
        </w:rPr>
        <w:t xml:space="preserve">ompany </w:t>
      </w:r>
      <w:r w:rsidR="001F7A19" w:rsidRPr="001F7A19">
        <w:rPr>
          <w:rFonts w:ascii="Arial" w:hAnsi="Arial"/>
          <w:b/>
          <w:bCs/>
        </w:rPr>
        <w:t xml:space="preserve">increased its revenues from November by 20% to CAD $564,000.00.  The net income from operations was CAD $91,000 which is slightly over 16%. The company had recurring revenue in flower, a significant increase in </w:t>
      </w:r>
      <w:proofErr w:type="spellStart"/>
      <w:r w:rsidR="001F7A19" w:rsidRPr="001F7A19">
        <w:rPr>
          <w:rFonts w:ascii="Arial" w:hAnsi="Arial"/>
          <w:b/>
          <w:bCs/>
        </w:rPr>
        <w:t>Soldaze</w:t>
      </w:r>
      <w:proofErr w:type="spellEnd"/>
      <w:r w:rsidR="001F7A19" w:rsidRPr="001F7A19">
        <w:rPr>
          <w:rFonts w:ascii="Arial" w:hAnsi="Arial"/>
          <w:b/>
          <w:bCs/>
        </w:rPr>
        <w:t xml:space="preserve"> edibles with the majority of the increase coming from the continued growth in the manufacturing and distribution units of the company.</w:t>
      </w:r>
      <w:r>
        <w:rPr>
          <w:rFonts w:ascii="Arial" w:hAnsi="Arial"/>
          <w:b/>
          <w:bCs/>
          <w:lang w:val="en-US"/>
        </w:rPr>
        <w:t xml:space="preserve"> </w:t>
      </w:r>
    </w:p>
    <w:p w14:paraId="387F2283" w14:textId="3C6EBB6B" w:rsidR="00E52A97" w:rsidRDefault="001F7A19" w:rsidP="00D24F72">
      <w:pPr>
        <w:pStyle w:val="List"/>
        <w:spacing w:before="120"/>
        <w:ind w:left="720" w:firstLine="0"/>
        <w:jc w:val="both"/>
        <w:rPr>
          <w:rFonts w:ascii="Arial" w:hAnsi="Arial"/>
        </w:rPr>
      </w:pPr>
      <w:r w:rsidRPr="001F7A19">
        <w:rPr>
          <w:rFonts w:ascii="Arial" w:hAnsi="Arial"/>
          <w:b/>
          <w:bCs/>
          <w:lang w:val="en-US"/>
        </w:rPr>
        <w:t xml:space="preserve">In addition to the ongoing sales of flower from </w:t>
      </w:r>
      <w:proofErr w:type="spellStart"/>
      <w:r w:rsidRPr="001F7A19">
        <w:rPr>
          <w:rFonts w:ascii="Arial" w:hAnsi="Arial"/>
          <w:b/>
          <w:bCs/>
          <w:lang w:val="en-US"/>
        </w:rPr>
        <w:t>Lyfted</w:t>
      </w:r>
      <w:proofErr w:type="spellEnd"/>
      <w:r w:rsidRPr="001F7A19">
        <w:rPr>
          <w:rFonts w:ascii="Arial" w:hAnsi="Arial"/>
          <w:b/>
          <w:bCs/>
          <w:lang w:val="en-US"/>
        </w:rPr>
        <w:t xml:space="preserve"> Farms, our </w:t>
      </w:r>
      <w:proofErr w:type="spellStart"/>
      <w:r w:rsidRPr="001F7A19">
        <w:rPr>
          <w:rFonts w:ascii="Arial" w:hAnsi="Arial"/>
          <w:b/>
          <w:bCs/>
          <w:lang w:val="en-US"/>
        </w:rPr>
        <w:t>Soldaze</w:t>
      </w:r>
      <w:proofErr w:type="spellEnd"/>
      <w:r w:rsidRPr="001F7A19">
        <w:rPr>
          <w:rFonts w:ascii="Arial" w:hAnsi="Arial"/>
          <w:b/>
          <w:bCs/>
          <w:lang w:val="en-US"/>
        </w:rPr>
        <w:t xml:space="preserve"> edibles attracted consumer attention after winning multiple awards at the Emerald Cup. Our plan is to grow all four business units simultaneously so we have steady and balanced revenue growth moving forward</w:t>
      </w:r>
      <w:r w:rsidR="00D24F72" w:rsidRPr="00E52A97">
        <w:rPr>
          <w:rFonts w:ascii="Arial" w:hAnsi="Arial"/>
          <w:b/>
          <w:bCs/>
          <w:lang w:val="en-US"/>
        </w:rPr>
        <w:t>.</w:t>
      </w:r>
      <w:r>
        <w:rPr>
          <w:rFonts w:ascii="Arial" w:hAnsi="Arial"/>
          <w:b/>
          <w:bCs/>
          <w:lang w:val="en-US"/>
        </w:rPr>
        <w:t xml:space="preserve"> T</w:t>
      </w:r>
      <w:r w:rsidRPr="001F7A19">
        <w:rPr>
          <w:rFonts w:ascii="Arial" w:hAnsi="Arial"/>
          <w:b/>
          <w:bCs/>
          <w:lang w:val="en-US"/>
        </w:rPr>
        <w:t xml:space="preserve">he company opened the last room in the expansion of our </w:t>
      </w:r>
      <w:proofErr w:type="spellStart"/>
      <w:r w:rsidRPr="001F7A19">
        <w:rPr>
          <w:rFonts w:ascii="Arial" w:hAnsi="Arial"/>
          <w:b/>
          <w:bCs/>
          <w:lang w:val="en-US"/>
        </w:rPr>
        <w:t>Lyfted</w:t>
      </w:r>
      <w:proofErr w:type="spellEnd"/>
      <w:r w:rsidRPr="001F7A19">
        <w:rPr>
          <w:rFonts w:ascii="Arial" w:hAnsi="Arial"/>
          <w:b/>
          <w:bCs/>
          <w:lang w:val="en-US"/>
        </w:rPr>
        <w:t xml:space="preserve"> Farms </w:t>
      </w:r>
      <w:proofErr w:type="spellStart"/>
      <w:r w:rsidRPr="001F7A19">
        <w:rPr>
          <w:rFonts w:ascii="Arial" w:hAnsi="Arial"/>
          <w:b/>
          <w:bCs/>
          <w:lang w:val="en-US"/>
        </w:rPr>
        <w:t>facilites</w:t>
      </w:r>
      <w:proofErr w:type="spellEnd"/>
      <w:r w:rsidRPr="001F7A19">
        <w:rPr>
          <w:rFonts w:ascii="Arial" w:hAnsi="Arial"/>
          <w:b/>
          <w:bCs/>
          <w:lang w:val="en-US"/>
        </w:rPr>
        <w:t>. With the completion of the construction</w:t>
      </w:r>
      <w:r>
        <w:rPr>
          <w:rFonts w:ascii="Arial" w:hAnsi="Arial"/>
          <w:b/>
          <w:bCs/>
          <w:lang w:val="en-US"/>
        </w:rPr>
        <w:t>,</w:t>
      </w:r>
      <w:r w:rsidRPr="001F7A19">
        <w:rPr>
          <w:rFonts w:ascii="Arial" w:hAnsi="Arial"/>
          <w:b/>
          <w:bCs/>
          <w:lang w:val="en-US"/>
        </w:rPr>
        <w:t xml:space="preserve"> focus will turn to maximizing the yield from the expanded space.</w:t>
      </w:r>
      <w:r>
        <w:rPr>
          <w:rFonts w:ascii="Arial" w:hAnsi="Arial"/>
          <w:b/>
          <w:bCs/>
          <w:lang w:val="en-US"/>
        </w:rPr>
        <w:t xml:space="preserve"> </w:t>
      </w:r>
    </w:p>
    <w:p w14:paraId="6DC65941" w14:textId="55CD2A4D"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294AEDA0" w14:textId="77777777" w:rsidR="00D24F72" w:rsidRDefault="00D24F72" w:rsidP="00D24F72">
      <w:pPr>
        <w:autoSpaceDE w:val="0"/>
        <w:autoSpaceDN w:val="0"/>
        <w:adjustRightInd w:val="0"/>
        <w:ind w:left="720"/>
        <w:jc w:val="both"/>
        <w:rPr>
          <w:rFonts w:ascii="ArialRegular" w:hAnsi="ArialRegular" w:cs="ArialRegular"/>
          <w:b/>
          <w:bCs/>
          <w:sz w:val="22"/>
          <w:szCs w:val="22"/>
        </w:rPr>
      </w:pPr>
      <w:bookmarkStart w:id="5" w:name="_Hlk26795613"/>
    </w:p>
    <w:p w14:paraId="13E801A1" w14:textId="59E80CD5" w:rsidR="00E57076" w:rsidRPr="00CD4AA1" w:rsidRDefault="00D24F72" w:rsidP="00D24F72">
      <w:pPr>
        <w:autoSpaceDE w:val="0"/>
        <w:autoSpaceDN w:val="0"/>
        <w:adjustRightInd w:val="0"/>
        <w:ind w:left="720"/>
        <w:jc w:val="both"/>
        <w:rPr>
          <w:rFonts w:ascii="Arial" w:hAnsi="Arial" w:cs="Arial"/>
          <w:b/>
          <w:bCs/>
          <w:sz w:val="24"/>
          <w:szCs w:val="24"/>
        </w:rPr>
      </w:pPr>
      <w:r w:rsidRPr="00CD4AA1">
        <w:rPr>
          <w:rFonts w:ascii="Arial" w:hAnsi="Arial" w:cs="Arial"/>
          <w:b/>
          <w:bCs/>
          <w:sz w:val="24"/>
          <w:szCs w:val="24"/>
        </w:rPr>
        <w:t>With the depth of management talent now in the organization, the Company will initiate a new Crop Management Services division in 2020. Several cannabis growers in the area have shown interest in hiring TransCanna management to oversee the process of managing crops and bringing product to market.</w:t>
      </w:r>
    </w:p>
    <w:bookmarkEnd w:id="5"/>
    <w:p w14:paraId="6D5B1224" w14:textId="098EAB9F"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3EE72AB3" w14:textId="3C82429F" w:rsidR="00E57076" w:rsidRPr="00E57076" w:rsidRDefault="00E57076" w:rsidP="00E57076">
      <w:pPr>
        <w:pStyle w:val="List"/>
        <w:spacing w:before="120"/>
        <w:ind w:left="1800"/>
        <w:jc w:val="both"/>
        <w:rPr>
          <w:rFonts w:ascii="Arial" w:hAnsi="Arial"/>
          <w:b/>
          <w:bCs/>
        </w:rPr>
      </w:pPr>
      <w:bookmarkStart w:id="6" w:name="_Hlk26795746"/>
      <w:r w:rsidRPr="00E57076">
        <w:rPr>
          <w:rFonts w:ascii="Arial" w:hAnsi="Arial"/>
          <w:b/>
          <w:bCs/>
        </w:rPr>
        <w:t xml:space="preserve">Not applicable for the month of </w:t>
      </w:r>
      <w:r w:rsidR="006F7DB2">
        <w:rPr>
          <w:rFonts w:ascii="Arial" w:hAnsi="Arial"/>
          <w:b/>
          <w:bCs/>
        </w:rPr>
        <w:t>January</w:t>
      </w:r>
      <w:r>
        <w:rPr>
          <w:rFonts w:ascii="Arial" w:hAnsi="Arial"/>
          <w:b/>
          <w:bCs/>
        </w:rPr>
        <w:t>.</w:t>
      </w:r>
      <w:bookmarkEnd w:id="6"/>
    </w:p>
    <w:p w14:paraId="59D3CEE9" w14:textId="62DA7F62"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355BEF2" w14:textId="5633E095" w:rsidR="00CD4AA1" w:rsidRDefault="006D6BD8" w:rsidP="006D6BD8">
      <w:pPr>
        <w:pStyle w:val="List"/>
        <w:spacing w:before="120"/>
        <w:ind w:left="720" w:firstLine="0"/>
        <w:jc w:val="both"/>
        <w:rPr>
          <w:rFonts w:ascii="Arial" w:hAnsi="Arial"/>
        </w:rPr>
      </w:pPr>
      <w:r>
        <w:rPr>
          <w:rFonts w:ascii="Arial" w:hAnsi="Arial"/>
          <w:b/>
          <w:bCs/>
          <w:lang w:val="en-US"/>
        </w:rPr>
        <w:t xml:space="preserve">TransCanna Holdings </w:t>
      </w:r>
      <w:r w:rsidRPr="006D6BD8">
        <w:rPr>
          <w:rFonts w:ascii="Arial" w:hAnsi="Arial"/>
          <w:b/>
          <w:bCs/>
          <w:lang w:val="en-US"/>
        </w:rPr>
        <w:t xml:space="preserve">subsidiary, Dalvi, LLC ("Dalvi"), has entered into an amendment agreement with Cool </w:t>
      </w:r>
      <w:proofErr w:type="spellStart"/>
      <w:r w:rsidRPr="006D6BD8">
        <w:rPr>
          <w:rFonts w:ascii="Arial" w:hAnsi="Arial"/>
          <w:b/>
          <w:bCs/>
          <w:lang w:val="en-US"/>
        </w:rPr>
        <w:t>Swang</w:t>
      </w:r>
      <w:proofErr w:type="spellEnd"/>
      <w:r w:rsidRPr="006D6BD8">
        <w:rPr>
          <w:rFonts w:ascii="Arial" w:hAnsi="Arial"/>
          <w:b/>
          <w:bCs/>
          <w:lang w:val="en-US"/>
        </w:rPr>
        <w:t xml:space="preserve">, LLC ("Cool </w:t>
      </w:r>
      <w:proofErr w:type="spellStart"/>
      <w:r w:rsidRPr="006D6BD8">
        <w:rPr>
          <w:rFonts w:ascii="Arial" w:hAnsi="Arial"/>
          <w:b/>
          <w:bCs/>
          <w:lang w:val="en-US"/>
        </w:rPr>
        <w:t>Swang</w:t>
      </w:r>
      <w:proofErr w:type="spellEnd"/>
      <w:r w:rsidRPr="006D6BD8">
        <w:rPr>
          <w:rFonts w:ascii="Arial" w:hAnsi="Arial"/>
          <w:b/>
          <w:bCs/>
          <w:lang w:val="en-US"/>
        </w:rPr>
        <w:t xml:space="preserve">") to further extend the maturity date for the promissory note issued by Dalvi in </w:t>
      </w:r>
      <w:proofErr w:type="spellStart"/>
      <w:r w:rsidRPr="006D6BD8">
        <w:rPr>
          <w:rFonts w:ascii="Arial" w:hAnsi="Arial"/>
          <w:b/>
          <w:bCs/>
          <w:lang w:val="en-US"/>
        </w:rPr>
        <w:t>favour</w:t>
      </w:r>
      <w:proofErr w:type="spellEnd"/>
      <w:r w:rsidRPr="006D6BD8">
        <w:rPr>
          <w:rFonts w:ascii="Arial" w:hAnsi="Arial"/>
          <w:b/>
          <w:bCs/>
          <w:lang w:val="en-US"/>
        </w:rPr>
        <w:t xml:space="preserve"> of Cool </w:t>
      </w:r>
      <w:proofErr w:type="spellStart"/>
      <w:r w:rsidRPr="006D6BD8">
        <w:rPr>
          <w:rFonts w:ascii="Arial" w:hAnsi="Arial"/>
          <w:b/>
          <w:bCs/>
          <w:lang w:val="en-US"/>
        </w:rPr>
        <w:t>Swang</w:t>
      </w:r>
      <w:proofErr w:type="spellEnd"/>
      <w:r w:rsidRPr="006D6BD8">
        <w:rPr>
          <w:rFonts w:ascii="Arial" w:hAnsi="Arial"/>
          <w:b/>
          <w:bCs/>
          <w:lang w:val="en-US"/>
        </w:rPr>
        <w:t xml:space="preserve"> to April of 2022. The promissory note evidences a loan in the principal amount of US$6,750,000, which was advanced by Cool </w:t>
      </w:r>
      <w:proofErr w:type="spellStart"/>
      <w:r w:rsidRPr="006D6BD8">
        <w:rPr>
          <w:rFonts w:ascii="Arial" w:hAnsi="Arial"/>
          <w:b/>
          <w:bCs/>
          <w:lang w:val="en-US"/>
        </w:rPr>
        <w:t>Swang</w:t>
      </w:r>
      <w:proofErr w:type="spellEnd"/>
      <w:r w:rsidRPr="006D6BD8">
        <w:rPr>
          <w:rFonts w:ascii="Arial" w:hAnsi="Arial"/>
          <w:b/>
          <w:bCs/>
          <w:lang w:val="en-US"/>
        </w:rPr>
        <w:t xml:space="preserve">, as seller, to fund a portion of the purchase price for the Company's Daly facility in Modesto, California, which was acquired by Dalvi in April 2019. The maturity date of the promissory note had been previously extended to April </w:t>
      </w:r>
      <w:r w:rsidRPr="006D6BD8">
        <w:rPr>
          <w:rFonts w:ascii="Arial" w:hAnsi="Arial"/>
          <w:b/>
          <w:bCs/>
          <w:lang w:val="en-US"/>
        </w:rPr>
        <w:lastRenderedPageBreak/>
        <w:t xml:space="preserve">2020 as announced on October 17, 2019, and the current amendment therefore extends the maturity date by an additional two years. Under the terms of the agreement, Dalvi agreed to pay an extension fee of US$135,000 to Cool </w:t>
      </w:r>
      <w:proofErr w:type="spellStart"/>
      <w:r w:rsidRPr="006D6BD8">
        <w:rPr>
          <w:rFonts w:ascii="Arial" w:hAnsi="Arial"/>
          <w:b/>
          <w:bCs/>
          <w:lang w:val="en-US"/>
        </w:rPr>
        <w:t>Swang</w:t>
      </w:r>
      <w:proofErr w:type="spellEnd"/>
      <w:r w:rsidRPr="006D6BD8">
        <w:rPr>
          <w:rFonts w:ascii="Arial" w:hAnsi="Arial"/>
          <w:b/>
          <w:bCs/>
          <w:lang w:val="en-US"/>
        </w:rPr>
        <w:t xml:space="preserve"> on January 15, 2020, and the interest rate will increase from 7% to 12% effective January 1, 2020. All or any of the principal amount of the promissory note may be pre-paid at the option of the Company without penalty</w:t>
      </w:r>
      <w:r w:rsidR="00CD4AA1" w:rsidRPr="00CD4AA1">
        <w:rPr>
          <w:rFonts w:ascii="Arial" w:hAnsi="Arial"/>
          <w:b/>
          <w:bCs/>
          <w:lang w:val="en-US"/>
        </w:rPr>
        <w:t>.</w:t>
      </w:r>
    </w:p>
    <w:p w14:paraId="2DB5A6C6" w14:textId="582D57CF"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5E8E7517" w14:textId="1DBECC7D" w:rsidR="00E57076" w:rsidRDefault="0056349B" w:rsidP="006F7DB2">
      <w:pPr>
        <w:pStyle w:val="List"/>
        <w:spacing w:before="120"/>
        <w:ind w:left="720" w:firstLine="0"/>
        <w:jc w:val="both"/>
        <w:rPr>
          <w:rFonts w:ascii="Arial" w:hAnsi="Arial"/>
        </w:rPr>
      </w:pPr>
      <w:r w:rsidRPr="002A756B">
        <w:rPr>
          <w:rFonts w:ascii="Arial" w:hAnsi="Arial"/>
          <w:b/>
          <w:bCs/>
          <w:lang w:val="en-US"/>
        </w:rPr>
        <w:t xml:space="preserve">Not applicable for the month of </w:t>
      </w:r>
      <w:r>
        <w:rPr>
          <w:rFonts w:ascii="Arial" w:hAnsi="Arial"/>
          <w:b/>
          <w:bCs/>
          <w:lang w:val="en-US"/>
        </w:rPr>
        <w:t>January</w:t>
      </w:r>
      <w:r w:rsidR="00E57076" w:rsidRPr="00E57076">
        <w:rPr>
          <w:rFonts w:ascii="Arial" w:hAnsi="Arial"/>
          <w:b/>
          <w:bCs/>
          <w:lang w:val="en-US"/>
        </w:rPr>
        <w:t>.</w:t>
      </w:r>
    </w:p>
    <w:p w14:paraId="2CCBC383" w14:textId="3B551DDB"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4B673C57" w14:textId="77AE0BEE" w:rsidR="00E57076" w:rsidRDefault="00E57076" w:rsidP="00E57076">
      <w:pPr>
        <w:pStyle w:val="List"/>
        <w:spacing w:before="120"/>
        <w:ind w:left="1800"/>
        <w:jc w:val="both"/>
        <w:rPr>
          <w:rFonts w:ascii="Arial" w:hAnsi="Arial"/>
          <w:b/>
          <w:bCs/>
          <w:lang w:val="en-US"/>
        </w:rPr>
      </w:pPr>
      <w:r w:rsidRPr="00E57076">
        <w:rPr>
          <w:rFonts w:ascii="Arial" w:hAnsi="Arial"/>
          <w:b/>
          <w:bCs/>
          <w:lang w:val="en-US"/>
        </w:rPr>
        <w:t xml:space="preserve">Not applicable for the month of </w:t>
      </w:r>
      <w:r w:rsidR="006F7DB2">
        <w:rPr>
          <w:rFonts w:ascii="Arial" w:hAnsi="Arial"/>
          <w:b/>
          <w:bCs/>
          <w:lang w:val="en-US"/>
        </w:rPr>
        <w:t>January</w:t>
      </w:r>
      <w:r w:rsidRPr="00E57076">
        <w:rPr>
          <w:rFonts w:ascii="Arial" w:hAnsi="Arial"/>
          <w:b/>
          <w:bCs/>
          <w:lang w:val="en-US"/>
        </w:rPr>
        <w:t>.</w:t>
      </w:r>
    </w:p>
    <w:p w14:paraId="20183A4E" w14:textId="74FD7F10"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3C008DE3" w14:textId="52CD5FE8" w:rsidR="00E57076" w:rsidRDefault="00E57076" w:rsidP="00E57076">
      <w:pPr>
        <w:pStyle w:val="List"/>
        <w:spacing w:before="120"/>
        <w:ind w:left="1800"/>
        <w:jc w:val="both"/>
        <w:rPr>
          <w:rFonts w:ascii="Arial" w:hAnsi="Arial"/>
        </w:rPr>
      </w:pPr>
      <w:r w:rsidRPr="00E57076">
        <w:rPr>
          <w:rFonts w:ascii="Arial" w:hAnsi="Arial"/>
          <w:b/>
          <w:bCs/>
          <w:lang w:val="en-US"/>
        </w:rPr>
        <w:t xml:space="preserve">Not applicable for the month of </w:t>
      </w:r>
      <w:r w:rsidR="006F7DB2">
        <w:rPr>
          <w:rFonts w:ascii="Arial" w:hAnsi="Arial"/>
          <w:b/>
          <w:bCs/>
          <w:lang w:val="en-US"/>
        </w:rPr>
        <w:t>January.</w:t>
      </w:r>
    </w:p>
    <w:p w14:paraId="5C818146" w14:textId="7CC32E9C"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66E006D6" w14:textId="07A62E22" w:rsidR="00E57076" w:rsidRDefault="00B46047" w:rsidP="00B46047">
      <w:pPr>
        <w:pStyle w:val="List"/>
        <w:spacing w:before="120"/>
        <w:ind w:left="720" w:firstLine="0"/>
        <w:jc w:val="both"/>
        <w:rPr>
          <w:rFonts w:ascii="Arial" w:hAnsi="Arial"/>
        </w:rPr>
      </w:pPr>
      <w:bookmarkStart w:id="7" w:name="_Hlk26796140"/>
      <w:bookmarkStart w:id="8" w:name="_Hlk26796416"/>
      <w:bookmarkStart w:id="9" w:name="_Hlk26798161"/>
      <w:r w:rsidRPr="00B46047">
        <w:rPr>
          <w:rFonts w:ascii="Arial" w:hAnsi="Arial"/>
          <w:b/>
          <w:bCs/>
          <w:lang w:val="en-US"/>
        </w:rPr>
        <w:t>TransCanna received unanimous recommendation</w:t>
      </w:r>
      <w:r>
        <w:rPr>
          <w:rFonts w:ascii="Arial" w:hAnsi="Arial"/>
          <w:b/>
          <w:bCs/>
          <w:lang w:val="en-US"/>
        </w:rPr>
        <w:t xml:space="preserve"> </w:t>
      </w:r>
      <w:r w:rsidRPr="00B46047">
        <w:rPr>
          <w:rFonts w:ascii="Arial" w:hAnsi="Arial"/>
          <w:b/>
          <w:bCs/>
          <w:lang w:val="en-US"/>
        </w:rPr>
        <w:t>from the Stanislaus County Planning Commission to recommend to the Board of</w:t>
      </w:r>
      <w:r>
        <w:rPr>
          <w:rFonts w:ascii="Arial" w:hAnsi="Arial"/>
          <w:b/>
          <w:bCs/>
          <w:lang w:val="en-US"/>
        </w:rPr>
        <w:t xml:space="preserve"> </w:t>
      </w:r>
      <w:r w:rsidRPr="00B46047">
        <w:rPr>
          <w:rFonts w:ascii="Arial" w:hAnsi="Arial"/>
          <w:b/>
          <w:bCs/>
          <w:lang w:val="en-US"/>
        </w:rPr>
        <w:t>Supervisors the approval of the Daly Project. The Daly project is a 196,000 square foot</w:t>
      </w:r>
      <w:r>
        <w:rPr>
          <w:rFonts w:ascii="Arial" w:hAnsi="Arial"/>
          <w:b/>
          <w:bCs/>
          <w:lang w:val="en-US"/>
        </w:rPr>
        <w:t xml:space="preserve"> </w:t>
      </w:r>
      <w:r w:rsidRPr="00B46047">
        <w:rPr>
          <w:rFonts w:ascii="Arial" w:hAnsi="Arial"/>
          <w:b/>
          <w:bCs/>
          <w:lang w:val="en-US"/>
        </w:rPr>
        <w:t>cannabis cultivation, manufacturing and distribution facility in Modesto, California. The</w:t>
      </w:r>
      <w:r>
        <w:rPr>
          <w:rFonts w:ascii="Arial" w:hAnsi="Arial"/>
          <w:b/>
          <w:bCs/>
          <w:lang w:val="en-US"/>
        </w:rPr>
        <w:t xml:space="preserve"> </w:t>
      </w:r>
      <w:r w:rsidRPr="00B46047">
        <w:rPr>
          <w:rFonts w:ascii="Arial" w:hAnsi="Arial"/>
          <w:b/>
          <w:bCs/>
          <w:lang w:val="en-US"/>
        </w:rPr>
        <w:t xml:space="preserve">Planning Commission is appointed by the Board of Supervisors of the county to </w:t>
      </w:r>
      <w:proofErr w:type="gramStart"/>
      <w:r w:rsidRPr="00B46047">
        <w:rPr>
          <w:rFonts w:ascii="Arial" w:hAnsi="Arial"/>
          <w:b/>
          <w:bCs/>
          <w:lang w:val="en-US"/>
        </w:rPr>
        <w:t>assess</w:t>
      </w:r>
      <w:r>
        <w:rPr>
          <w:rFonts w:ascii="Arial" w:hAnsi="Arial"/>
          <w:b/>
          <w:bCs/>
          <w:lang w:val="en-US"/>
        </w:rPr>
        <w:t xml:space="preserve">  </w:t>
      </w:r>
      <w:r w:rsidRPr="00B46047">
        <w:rPr>
          <w:rFonts w:ascii="Arial" w:hAnsi="Arial"/>
          <w:b/>
          <w:bCs/>
          <w:lang w:val="en-US"/>
        </w:rPr>
        <w:t>projects</w:t>
      </w:r>
      <w:proofErr w:type="gramEnd"/>
      <w:r w:rsidRPr="00B46047">
        <w:rPr>
          <w:rFonts w:ascii="Arial" w:hAnsi="Arial"/>
          <w:b/>
          <w:bCs/>
          <w:lang w:val="en-US"/>
        </w:rPr>
        <w:t xml:space="preserve"> for potential negative impacts and the relative benefits projects may carry into the</w:t>
      </w:r>
      <w:r>
        <w:rPr>
          <w:rFonts w:ascii="Arial" w:hAnsi="Arial"/>
          <w:b/>
          <w:bCs/>
          <w:lang w:val="en-US"/>
        </w:rPr>
        <w:t xml:space="preserve"> </w:t>
      </w:r>
      <w:r w:rsidRPr="00B46047">
        <w:rPr>
          <w:rFonts w:ascii="Arial" w:hAnsi="Arial"/>
          <w:b/>
          <w:bCs/>
          <w:lang w:val="en-US"/>
        </w:rPr>
        <w:t xml:space="preserve">community at large. The items of consideration before the commission in </w:t>
      </w:r>
      <w:r>
        <w:rPr>
          <w:rFonts w:ascii="Arial" w:hAnsi="Arial"/>
          <w:b/>
          <w:bCs/>
          <w:lang w:val="en-US"/>
        </w:rPr>
        <w:t>the December 19, 2019</w:t>
      </w:r>
      <w:r w:rsidRPr="00B46047">
        <w:rPr>
          <w:rFonts w:ascii="Arial" w:hAnsi="Arial"/>
          <w:b/>
          <w:bCs/>
          <w:lang w:val="en-US"/>
        </w:rPr>
        <w:t xml:space="preserve">  hearing</w:t>
      </w:r>
      <w:r>
        <w:rPr>
          <w:rFonts w:ascii="Arial" w:hAnsi="Arial"/>
          <w:b/>
          <w:bCs/>
          <w:lang w:val="en-US"/>
        </w:rPr>
        <w:t xml:space="preserve"> </w:t>
      </w:r>
      <w:r w:rsidRPr="00B46047">
        <w:rPr>
          <w:rFonts w:ascii="Arial" w:hAnsi="Arial"/>
          <w:b/>
          <w:bCs/>
          <w:lang w:val="en-US"/>
        </w:rPr>
        <w:t>included both a Conditional Use Permit Application for the commercial cannabis uses</w:t>
      </w:r>
      <w:r>
        <w:rPr>
          <w:rFonts w:ascii="Arial" w:hAnsi="Arial"/>
          <w:b/>
          <w:bCs/>
          <w:lang w:val="en-US"/>
        </w:rPr>
        <w:t xml:space="preserve"> </w:t>
      </w:r>
      <w:r w:rsidRPr="00B46047">
        <w:rPr>
          <w:rFonts w:ascii="Arial" w:hAnsi="Arial"/>
          <w:b/>
          <w:bCs/>
          <w:lang w:val="en-US"/>
        </w:rPr>
        <w:t xml:space="preserve">proposed at the facility, as well as a Development Agreement negotiated between </w:t>
      </w:r>
      <w:proofErr w:type="spellStart"/>
      <w:r w:rsidRPr="00B46047">
        <w:rPr>
          <w:rFonts w:ascii="Arial" w:hAnsi="Arial"/>
          <w:b/>
          <w:bCs/>
          <w:lang w:val="en-US"/>
        </w:rPr>
        <w:t>Lyfted</w:t>
      </w:r>
      <w:proofErr w:type="spellEnd"/>
      <w:r w:rsidRPr="00B46047">
        <w:rPr>
          <w:rFonts w:ascii="Arial" w:hAnsi="Arial"/>
          <w:b/>
          <w:bCs/>
          <w:lang w:val="en-US"/>
        </w:rPr>
        <w:t xml:space="preserve"> and</w:t>
      </w:r>
      <w:r>
        <w:rPr>
          <w:rFonts w:ascii="Arial" w:hAnsi="Arial"/>
          <w:b/>
          <w:bCs/>
          <w:lang w:val="en-US"/>
        </w:rPr>
        <w:t xml:space="preserve"> </w:t>
      </w:r>
      <w:r w:rsidRPr="00B46047">
        <w:rPr>
          <w:rFonts w:ascii="Arial" w:hAnsi="Arial"/>
          <w:b/>
          <w:bCs/>
          <w:lang w:val="en-US"/>
        </w:rPr>
        <w:t>the county which establishes the relative rights and obligations of the parties.</w:t>
      </w:r>
      <w:bookmarkEnd w:id="7"/>
      <w:bookmarkEnd w:id="8"/>
    </w:p>
    <w:bookmarkEnd w:id="9"/>
    <w:p w14:paraId="6F494A72" w14:textId="4BCFC3B3"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5CC351CA" w14:textId="71E81B0C" w:rsidR="00C441AB" w:rsidRDefault="00C441AB" w:rsidP="00C441AB">
      <w:pPr>
        <w:pStyle w:val="List"/>
        <w:spacing w:before="120"/>
        <w:ind w:left="1800"/>
        <w:jc w:val="both"/>
        <w:rPr>
          <w:rFonts w:ascii="Arial" w:hAnsi="Arial"/>
        </w:rPr>
      </w:pPr>
      <w:bookmarkStart w:id="10" w:name="_Hlk31886345"/>
      <w:r w:rsidRPr="002A756B">
        <w:rPr>
          <w:rFonts w:ascii="Arial" w:hAnsi="Arial"/>
          <w:b/>
          <w:bCs/>
          <w:lang w:val="en-US"/>
        </w:rPr>
        <w:t xml:space="preserve">Not applicable </w:t>
      </w:r>
      <w:bookmarkStart w:id="11" w:name="_Hlk31886286"/>
      <w:r w:rsidRPr="002A756B">
        <w:rPr>
          <w:rFonts w:ascii="Arial" w:hAnsi="Arial"/>
          <w:b/>
          <w:bCs/>
          <w:lang w:val="en-US"/>
        </w:rPr>
        <w:t xml:space="preserve">for the month of </w:t>
      </w:r>
      <w:r w:rsidR="0056349B">
        <w:rPr>
          <w:rFonts w:ascii="Arial" w:hAnsi="Arial"/>
          <w:b/>
          <w:bCs/>
          <w:lang w:val="en-US"/>
        </w:rPr>
        <w:t>January</w:t>
      </w:r>
      <w:bookmarkEnd w:id="10"/>
      <w:bookmarkEnd w:id="11"/>
      <w:r w:rsidRPr="002A756B">
        <w:rPr>
          <w:rFonts w:ascii="Arial" w:hAnsi="Arial"/>
          <w:b/>
          <w:bCs/>
          <w:lang w:val="en-US"/>
        </w:rPr>
        <w:t>.</w:t>
      </w:r>
    </w:p>
    <w:p w14:paraId="69B9E675" w14:textId="0B092574"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8EE997F" w14:textId="371D6102" w:rsidR="002A756B" w:rsidRDefault="002A756B" w:rsidP="002A756B">
      <w:pPr>
        <w:pStyle w:val="List"/>
        <w:spacing w:before="120"/>
        <w:ind w:left="1800"/>
        <w:jc w:val="both"/>
        <w:rPr>
          <w:rFonts w:ascii="Arial" w:hAnsi="Arial"/>
        </w:rPr>
      </w:pPr>
      <w:bookmarkStart w:id="12" w:name="_Hlk31886424"/>
      <w:r w:rsidRPr="002A756B">
        <w:rPr>
          <w:rFonts w:ascii="Arial" w:hAnsi="Arial"/>
          <w:b/>
          <w:bCs/>
          <w:lang w:val="en-US"/>
        </w:rPr>
        <w:t>Not applicable</w:t>
      </w:r>
      <w:r w:rsidR="0056349B">
        <w:rPr>
          <w:rFonts w:ascii="Arial" w:hAnsi="Arial"/>
          <w:b/>
          <w:bCs/>
          <w:lang w:val="en-US"/>
        </w:rPr>
        <w:t xml:space="preserve"> </w:t>
      </w:r>
      <w:r w:rsidR="0056349B" w:rsidRPr="002A756B">
        <w:rPr>
          <w:rFonts w:ascii="Arial" w:hAnsi="Arial"/>
          <w:b/>
          <w:bCs/>
          <w:lang w:val="en-US"/>
        </w:rPr>
        <w:t xml:space="preserve">for the month of </w:t>
      </w:r>
      <w:r w:rsidR="0056349B">
        <w:rPr>
          <w:rFonts w:ascii="Arial" w:hAnsi="Arial"/>
          <w:b/>
          <w:bCs/>
          <w:lang w:val="en-US"/>
        </w:rPr>
        <w:t>January</w:t>
      </w:r>
      <w:r w:rsidR="00F07A0C">
        <w:rPr>
          <w:rFonts w:ascii="Arial" w:hAnsi="Arial"/>
          <w:b/>
          <w:bCs/>
          <w:lang w:val="en-US"/>
        </w:rPr>
        <w:t>.</w:t>
      </w:r>
      <w:bookmarkEnd w:id="12"/>
    </w:p>
    <w:p w14:paraId="1BCAF7D7" w14:textId="00ABCB84" w:rsidR="00640E94" w:rsidRDefault="00640E94">
      <w:pPr>
        <w:pStyle w:val="List"/>
        <w:numPr>
          <w:ilvl w:val="0"/>
          <w:numId w:val="28"/>
        </w:numPr>
        <w:spacing w:before="120"/>
        <w:jc w:val="both"/>
        <w:rPr>
          <w:rFonts w:ascii="Arial" w:hAnsi="Arial"/>
        </w:rPr>
      </w:pPr>
      <w:r>
        <w:rPr>
          <w:rFonts w:ascii="Arial" w:hAnsi="Arial"/>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9AB3B07" w14:textId="6077EE46" w:rsidR="002A756B" w:rsidRDefault="0056349B" w:rsidP="005E19D0">
      <w:pPr>
        <w:pStyle w:val="List"/>
        <w:spacing w:before="120"/>
        <w:ind w:left="720" w:firstLine="0"/>
        <w:jc w:val="both"/>
        <w:rPr>
          <w:rFonts w:ascii="Arial" w:hAnsi="Arial"/>
        </w:rPr>
      </w:pPr>
      <w:r w:rsidRPr="002A756B">
        <w:rPr>
          <w:rFonts w:ascii="Arial" w:hAnsi="Arial"/>
          <w:b/>
          <w:bCs/>
          <w:lang w:val="en-US"/>
        </w:rPr>
        <w:t>Not applicable</w:t>
      </w:r>
      <w:r>
        <w:rPr>
          <w:rFonts w:ascii="Arial" w:hAnsi="Arial"/>
          <w:b/>
          <w:bCs/>
          <w:lang w:val="en-US"/>
        </w:rPr>
        <w:t xml:space="preserve"> </w:t>
      </w:r>
      <w:r w:rsidRPr="002A756B">
        <w:rPr>
          <w:rFonts w:ascii="Arial" w:hAnsi="Arial"/>
          <w:b/>
          <w:bCs/>
          <w:lang w:val="en-US"/>
        </w:rPr>
        <w:t xml:space="preserve">for the month of </w:t>
      </w:r>
      <w:r>
        <w:rPr>
          <w:rFonts w:ascii="Arial" w:hAnsi="Arial"/>
          <w:b/>
          <w:bCs/>
          <w:lang w:val="en-US"/>
        </w:rPr>
        <w:t>January.</w:t>
      </w:r>
    </w:p>
    <w:p w14:paraId="5492A4B5" w14:textId="4EB2635D"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2C9AC426" w14:textId="683E0A18" w:rsidR="002A756B" w:rsidRDefault="0056349B" w:rsidP="0056349B">
      <w:pPr>
        <w:pStyle w:val="List"/>
        <w:spacing w:before="120"/>
        <w:ind w:left="720" w:firstLine="0"/>
        <w:jc w:val="both"/>
        <w:rPr>
          <w:rFonts w:ascii="Arial" w:hAnsi="Arial"/>
        </w:rPr>
      </w:pPr>
      <w:r>
        <w:rPr>
          <w:rFonts w:ascii="Arial" w:hAnsi="Arial"/>
          <w:b/>
          <w:bCs/>
          <w:lang w:val="en-US"/>
        </w:rPr>
        <w:t xml:space="preserve">The Company </w:t>
      </w:r>
      <w:r w:rsidRPr="006F7DB2">
        <w:rPr>
          <w:rFonts w:ascii="Arial" w:hAnsi="Arial"/>
          <w:b/>
          <w:bCs/>
          <w:lang w:val="en-US"/>
        </w:rPr>
        <w:t xml:space="preserve">settled </w:t>
      </w:r>
      <w:r>
        <w:rPr>
          <w:rFonts w:ascii="Arial" w:hAnsi="Arial"/>
          <w:b/>
          <w:bCs/>
          <w:lang w:val="en-US"/>
        </w:rPr>
        <w:t xml:space="preserve">an </w:t>
      </w:r>
      <w:r w:rsidRPr="006F7DB2">
        <w:rPr>
          <w:rFonts w:ascii="Arial" w:hAnsi="Arial"/>
          <w:b/>
          <w:bCs/>
          <w:lang w:val="en-US"/>
        </w:rPr>
        <w:t>outstanding indebtedness in the amount of CDN$255,000 owing to a consultant through the issuance of 300,000 common shares of the Company at a deemed price of $0.85 per common share. The common shares issued in connection with the Settlement are subject to certain restrictions on trading in accordance with applicable securities laws, and are additionally subject to a pooling agreement that restricts trading of the common shares for period of eight months from the date of issuance</w:t>
      </w:r>
      <w:r w:rsidRPr="002A756B">
        <w:rPr>
          <w:rFonts w:ascii="Arial" w:hAnsi="Arial"/>
          <w:b/>
          <w:bCs/>
          <w:lang w:val="en-US"/>
        </w:rPr>
        <w:t>.</w:t>
      </w:r>
    </w:p>
    <w:p w14:paraId="18C59709"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6F400198" w14:textId="77777777" w:rsidR="00640E94" w:rsidRDefault="00640E94">
      <w:pPr>
        <w:pStyle w:val="List"/>
        <w:spacing w:before="120"/>
        <w:ind w:left="0" w:firstLine="0"/>
        <w:jc w:val="both"/>
        <w:rPr>
          <w:rFonts w:ascii="Arial" w:hAnsi="Arial"/>
        </w:rPr>
      </w:pPr>
    </w:p>
    <w:tbl>
      <w:tblPr>
        <w:tblW w:w="900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530"/>
        <w:gridCol w:w="3150"/>
        <w:gridCol w:w="2340"/>
      </w:tblGrid>
      <w:tr w:rsidR="00640E94" w14:paraId="61A43FC0" w14:textId="77777777" w:rsidTr="00AD7476">
        <w:tc>
          <w:tcPr>
            <w:tcW w:w="1980" w:type="dxa"/>
          </w:tcPr>
          <w:p w14:paraId="058A0F72"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1530" w:type="dxa"/>
          </w:tcPr>
          <w:p w14:paraId="1C7F3932" w14:textId="5F998D68" w:rsidR="00640E94" w:rsidRDefault="00640E94">
            <w:pPr>
              <w:pStyle w:val="List"/>
              <w:tabs>
                <w:tab w:val="left" w:pos="360"/>
              </w:tabs>
              <w:spacing w:before="0" w:line="280" w:lineRule="exact"/>
              <w:ind w:left="0" w:firstLine="0"/>
              <w:jc w:val="center"/>
              <w:rPr>
                <w:rFonts w:ascii="Arial" w:hAnsi="Arial"/>
                <w:b/>
              </w:rPr>
            </w:pPr>
            <w:r>
              <w:rPr>
                <w:rFonts w:ascii="Arial" w:hAnsi="Arial"/>
                <w:b/>
              </w:rPr>
              <w:t>N</w:t>
            </w:r>
            <w:r w:rsidR="00AD7476">
              <w:rPr>
                <w:rFonts w:ascii="Arial" w:hAnsi="Arial"/>
                <w:b/>
              </w:rPr>
              <w:t>o.</w:t>
            </w:r>
            <w:r>
              <w:rPr>
                <w:rFonts w:ascii="Arial" w:hAnsi="Arial"/>
                <w:b/>
              </w:rPr>
              <w:t xml:space="preserve"> Issued</w:t>
            </w:r>
          </w:p>
        </w:tc>
        <w:tc>
          <w:tcPr>
            <w:tcW w:w="3150" w:type="dxa"/>
          </w:tcPr>
          <w:p w14:paraId="57C1F028"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40" w:type="dxa"/>
          </w:tcPr>
          <w:p w14:paraId="462702D3"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125851E1" w14:textId="77777777" w:rsidTr="00AD7476">
        <w:tc>
          <w:tcPr>
            <w:tcW w:w="1980" w:type="dxa"/>
          </w:tcPr>
          <w:p w14:paraId="752EA68D" w14:textId="3A730460" w:rsidR="00AD7476" w:rsidRDefault="00AD7476">
            <w:pPr>
              <w:pStyle w:val="List"/>
              <w:tabs>
                <w:tab w:val="left" w:pos="360"/>
              </w:tabs>
              <w:spacing w:before="0" w:line="280" w:lineRule="exact"/>
              <w:ind w:left="0" w:firstLine="0"/>
              <w:jc w:val="both"/>
              <w:rPr>
                <w:rFonts w:ascii="Arial" w:hAnsi="Arial"/>
              </w:rPr>
            </w:pPr>
            <w:r>
              <w:rPr>
                <w:rFonts w:ascii="Arial" w:hAnsi="Arial"/>
              </w:rPr>
              <w:t>Common shares</w:t>
            </w:r>
          </w:p>
        </w:tc>
        <w:tc>
          <w:tcPr>
            <w:tcW w:w="1530" w:type="dxa"/>
          </w:tcPr>
          <w:p w14:paraId="19B86E74" w14:textId="6D6ED0A2" w:rsidR="00640E94" w:rsidRDefault="00EF4BDC" w:rsidP="00F07A0C">
            <w:pPr>
              <w:pStyle w:val="List"/>
              <w:tabs>
                <w:tab w:val="left" w:pos="360"/>
              </w:tabs>
              <w:spacing w:before="0" w:line="280" w:lineRule="exact"/>
              <w:ind w:left="0" w:firstLine="0"/>
              <w:jc w:val="right"/>
              <w:rPr>
                <w:rFonts w:ascii="Arial" w:hAnsi="Arial"/>
              </w:rPr>
            </w:pPr>
            <w:r>
              <w:rPr>
                <w:rFonts w:ascii="Arial" w:hAnsi="Arial"/>
              </w:rPr>
              <w:t>124</w:t>
            </w:r>
            <w:r w:rsidR="000C6730">
              <w:rPr>
                <w:rFonts w:ascii="Arial" w:hAnsi="Arial"/>
              </w:rPr>
              <w:t>,000</w:t>
            </w:r>
          </w:p>
        </w:tc>
        <w:tc>
          <w:tcPr>
            <w:tcW w:w="3150" w:type="dxa"/>
          </w:tcPr>
          <w:p w14:paraId="53721C1A" w14:textId="1B927FBD" w:rsidR="00640E94" w:rsidRDefault="00EF4BDC" w:rsidP="00AD7476">
            <w:pPr>
              <w:pStyle w:val="List"/>
              <w:tabs>
                <w:tab w:val="left" w:pos="360"/>
              </w:tabs>
              <w:spacing w:before="0" w:line="280" w:lineRule="exact"/>
              <w:ind w:left="0" w:firstLine="0"/>
              <w:rPr>
                <w:rFonts w:ascii="Arial" w:hAnsi="Arial"/>
              </w:rPr>
            </w:pPr>
            <w:r>
              <w:rPr>
                <w:rFonts w:ascii="Arial" w:hAnsi="Arial"/>
              </w:rPr>
              <w:t>Warrant exercise</w:t>
            </w:r>
          </w:p>
        </w:tc>
        <w:tc>
          <w:tcPr>
            <w:tcW w:w="2340" w:type="dxa"/>
          </w:tcPr>
          <w:p w14:paraId="5BACE19E" w14:textId="4721DD54" w:rsidR="00640E94" w:rsidRDefault="00EF4BDC" w:rsidP="00AD7476">
            <w:pPr>
              <w:pStyle w:val="List"/>
              <w:tabs>
                <w:tab w:val="left" w:pos="360"/>
              </w:tabs>
              <w:spacing w:before="0" w:line="280" w:lineRule="exact"/>
              <w:ind w:left="0" w:firstLine="0"/>
              <w:jc w:val="center"/>
              <w:rPr>
                <w:rFonts w:ascii="Arial" w:hAnsi="Arial"/>
              </w:rPr>
            </w:pPr>
            <w:r>
              <w:rPr>
                <w:rFonts w:ascii="Arial" w:hAnsi="Arial"/>
              </w:rPr>
              <w:t>Working capital</w:t>
            </w:r>
          </w:p>
        </w:tc>
      </w:tr>
      <w:tr w:rsidR="00EF4BDC" w14:paraId="02597E74" w14:textId="77777777" w:rsidTr="00AD7476">
        <w:tc>
          <w:tcPr>
            <w:tcW w:w="1980" w:type="dxa"/>
          </w:tcPr>
          <w:p w14:paraId="6149D24B" w14:textId="4600916E" w:rsidR="00EF4BDC" w:rsidRDefault="00EF4BDC" w:rsidP="00EF4BDC">
            <w:pPr>
              <w:pStyle w:val="List"/>
              <w:tabs>
                <w:tab w:val="left" w:pos="360"/>
              </w:tabs>
              <w:spacing w:before="0" w:line="280" w:lineRule="exact"/>
              <w:ind w:left="0" w:firstLine="0"/>
              <w:jc w:val="both"/>
              <w:rPr>
                <w:rFonts w:ascii="Arial" w:hAnsi="Arial"/>
              </w:rPr>
            </w:pPr>
            <w:r>
              <w:rPr>
                <w:rFonts w:ascii="Arial" w:hAnsi="Arial"/>
              </w:rPr>
              <w:t>Common shares</w:t>
            </w:r>
          </w:p>
        </w:tc>
        <w:tc>
          <w:tcPr>
            <w:tcW w:w="1530" w:type="dxa"/>
          </w:tcPr>
          <w:p w14:paraId="681571DE" w14:textId="66ED04BC" w:rsidR="00EF4BDC" w:rsidRDefault="00EF4BDC" w:rsidP="00EF4BDC">
            <w:pPr>
              <w:pStyle w:val="List"/>
              <w:tabs>
                <w:tab w:val="left" w:pos="360"/>
              </w:tabs>
              <w:spacing w:before="0" w:line="280" w:lineRule="exact"/>
              <w:ind w:left="0" w:firstLine="0"/>
              <w:jc w:val="right"/>
              <w:rPr>
                <w:rFonts w:ascii="Arial" w:hAnsi="Arial"/>
              </w:rPr>
            </w:pPr>
            <w:r>
              <w:rPr>
                <w:rFonts w:ascii="Arial" w:hAnsi="Arial"/>
              </w:rPr>
              <w:t>300,000</w:t>
            </w:r>
          </w:p>
        </w:tc>
        <w:tc>
          <w:tcPr>
            <w:tcW w:w="3150" w:type="dxa"/>
          </w:tcPr>
          <w:p w14:paraId="19BE3DB3" w14:textId="7B56CFD1" w:rsidR="00EF4BDC" w:rsidRDefault="00EF4BDC" w:rsidP="00EF4BDC">
            <w:pPr>
              <w:pStyle w:val="List"/>
              <w:tabs>
                <w:tab w:val="left" w:pos="360"/>
              </w:tabs>
              <w:spacing w:before="0" w:line="280" w:lineRule="exact"/>
              <w:ind w:left="0" w:firstLine="0"/>
              <w:rPr>
                <w:rFonts w:ascii="Arial" w:hAnsi="Arial"/>
              </w:rPr>
            </w:pPr>
            <w:r>
              <w:rPr>
                <w:rFonts w:ascii="Arial" w:hAnsi="Arial"/>
              </w:rPr>
              <w:t>Shares for debt</w:t>
            </w:r>
          </w:p>
        </w:tc>
        <w:tc>
          <w:tcPr>
            <w:tcW w:w="2340" w:type="dxa"/>
          </w:tcPr>
          <w:p w14:paraId="3251ACA8" w14:textId="46B290D5" w:rsidR="00EF4BDC" w:rsidRDefault="00EF4BDC" w:rsidP="00EF4BDC">
            <w:pPr>
              <w:pStyle w:val="List"/>
              <w:tabs>
                <w:tab w:val="left" w:pos="360"/>
              </w:tabs>
              <w:spacing w:before="0" w:line="280" w:lineRule="exact"/>
              <w:ind w:left="0" w:firstLine="0"/>
              <w:jc w:val="center"/>
              <w:rPr>
                <w:rFonts w:ascii="Arial" w:hAnsi="Arial"/>
              </w:rPr>
            </w:pPr>
            <w:r>
              <w:rPr>
                <w:rFonts w:ascii="Arial" w:hAnsi="Arial"/>
              </w:rPr>
              <w:t>Working capital</w:t>
            </w:r>
          </w:p>
        </w:tc>
      </w:tr>
      <w:tr w:rsidR="00EF4BDC" w14:paraId="5C62666F" w14:textId="77777777" w:rsidTr="00AD7476">
        <w:tc>
          <w:tcPr>
            <w:tcW w:w="1980" w:type="dxa"/>
          </w:tcPr>
          <w:p w14:paraId="7CF7DAB3" w14:textId="4B8D9BC7" w:rsidR="00EF4BDC" w:rsidRDefault="00EF4BDC" w:rsidP="00EF4BDC">
            <w:pPr>
              <w:pStyle w:val="List"/>
              <w:tabs>
                <w:tab w:val="left" w:pos="360"/>
              </w:tabs>
              <w:spacing w:before="0" w:line="280" w:lineRule="exact"/>
              <w:ind w:left="0" w:firstLine="0"/>
              <w:jc w:val="both"/>
              <w:rPr>
                <w:rFonts w:ascii="Arial" w:hAnsi="Arial"/>
              </w:rPr>
            </w:pPr>
            <w:r>
              <w:rPr>
                <w:rFonts w:ascii="Arial" w:hAnsi="Arial"/>
              </w:rPr>
              <w:t>Common shares</w:t>
            </w:r>
          </w:p>
        </w:tc>
        <w:tc>
          <w:tcPr>
            <w:tcW w:w="1530" w:type="dxa"/>
          </w:tcPr>
          <w:p w14:paraId="4B8DFC9D" w14:textId="48873581" w:rsidR="00EF4BDC" w:rsidRDefault="00EF4BDC" w:rsidP="00EF4BDC">
            <w:pPr>
              <w:pStyle w:val="List"/>
              <w:tabs>
                <w:tab w:val="left" w:pos="360"/>
              </w:tabs>
              <w:spacing w:before="0" w:line="280" w:lineRule="exact"/>
              <w:ind w:left="0" w:firstLine="0"/>
              <w:jc w:val="right"/>
              <w:rPr>
                <w:rFonts w:ascii="Arial" w:hAnsi="Arial"/>
              </w:rPr>
            </w:pPr>
            <w:r>
              <w:rPr>
                <w:rFonts w:ascii="Arial" w:hAnsi="Arial"/>
              </w:rPr>
              <w:t>25,000</w:t>
            </w:r>
          </w:p>
        </w:tc>
        <w:tc>
          <w:tcPr>
            <w:tcW w:w="3150" w:type="dxa"/>
          </w:tcPr>
          <w:p w14:paraId="2120E8FB" w14:textId="2B6D4B00" w:rsidR="00EF4BDC" w:rsidRDefault="00EF4BDC" w:rsidP="00EF4BDC">
            <w:pPr>
              <w:pStyle w:val="List"/>
              <w:tabs>
                <w:tab w:val="left" w:pos="360"/>
              </w:tabs>
              <w:spacing w:before="0" w:line="280" w:lineRule="exact"/>
              <w:ind w:left="0" w:firstLine="0"/>
              <w:rPr>
                <w:rFonts w:ascii="Arial" w:hAnsi="Arial"/>
              </w:rPr>
            </w:pPr>
            <w:r>
              <w:rPr>
                <w:rFonts w:ascii="Arial" w:hAnsi="Arial"/>
              </w:rPr>
              <w:t>Option exercise</w:t>
            </w:r>
          </w:p>
        </w:tc>
        <w:tc>
          <w:tcPr>
            <w:tcW w:w="2340" w:type="dxa"/>
          </w:tcPr>
          <w:p w14:paraId="0696A5C7" w14:textId="69025585" w:rsidR="00EF4BDC" w:rsidRDefault="00EF4BDC" w:rsidP="00EF4BDC">
            <w:pPr>
              <w:pStyle w:val="List"/>
              <w:tabs>
                <w:tab w:val="left" w:pos="360"/>
              </w:tabs>
              <w:spacing w:before="0" w:line="280" w:lineRule="exact"/>
              <w:ind w:left="0" w:firstLine="0"/>
              <w:jc w:val="center"/>
              <w:rPr>
                <w:rFonts w:ascii="Arial" w:hAnsi="Arial"/>
              </w:rPr>
            </w:pPr>
            <w:r>
              <w:rPr>
                <w:rFonts w:ascii="Arial" w:hAnsi="Arial"/>
              </w:rPr>
              <w:t>Working capital</w:t>
            </w:r>
          </w:p>
        </w:tc>
      </w:tr>
      <w:tr w:rsidR="00EF4BDC" w14:paraId="6E6C53A9" w14:textId="77777777" w:rsidTr="00AD7476">
        <w:tc>
          <w:tcPr>
            <w:tcW w:w="1980" w:type="dxa"/>
          </w:tcPr>
          <w:p w14:paraId="56A8EB8C" w14:textId="129E0FD1" w:rsidR="00EF4BDC" w:rsidRDefault="00EF4BDC" w:rsidP="00EF4BDC">
            <w:pPr>
              <w:pStyle w:val="List"/>
              <w:tabs>
                <w:tab w:val="left" w:pos="360"/>
              </w:tabs>
              <w:spacing w:before="0" w:line="280" w:lineRule="exact"/>
              <w:ind w:left="0" w:firstLine="0"/>
              <w:jc w:val="both"/>
              <w:rPr>
                <w:rFonts w:ascii="Arial" w:hAnsi="Arial"/>
              </w:rPr>
            </w:pPr>
            <w:r>
              <w:rPr>
                <w:rFonts w:ascii="Arial" w:hAnsi="Arial"/>
              </w:rPr>
              <w:t>Common shares</w:t>
            </w:r>
          </w:p>
        </w:tc>
        <w:tc>
          <w:tcPr>
            <w:tcW w:w="1530" w:type="dxa"/>
          </w:tcPr>
          <w:p w14:paraId="296132CD" w14:textId="582186DE" w:rsidR="00EF4BDC" w:rsidRDefault="00EF4BDC" w:rsidP="00EF4BDC">
            <w:pPr>
              <w:pStyle w:val="List"/>
              <w:tabs>
                <w:tab w:val="left" w:pos="360"/>
              </w:tabs>
              <w:spacing w:before="0" w:line="280" w:lineRule="exact"/>
              <w:ind w:left="0" w:firstLine="0"/>
              <w:jc w:val="right"/>
              <w:rPr>
                <w:rFonts w:ascii="Arial" w:hAnsi="Arial"/>
              </w:rPr>
            </w:pPr>
            <w:r>
              <w:rPr>
                <w:rFonts w:ascii="Arial" w:hAnsi="Arial"/>
              </w:rPr>
              <w:t>550,504</w:t>
            </w:r>
          </w:p>
        </w:tc>
        <w:tc>
          <w:tcPr>
            <w:tcW w:w="3150" w:type="dxa"/>
          </w:tcPr>
          <w:p w14:paraId="10E6AD41" w14:textId="705C60A8" w:rsidR="00EF4BDC" w:rsidRDefault="00EF4BDC" w:rsidP="00EF4BDC">
            <w:pPr>
              <w:pStyle w:val="List"/>
              <w:tabs>
                <w:tab w:val="left" w:pos="360"/>
              </w:tabs>
              <w:spacing w:before="0" w:line="280" w:lineRule="exact"/>
              <w:ind w:left="0" w:firstLine="0"/>
              <w:rPr>
                <w:rFonts w:ascii="Arial" w:hAnsi="Arial"/>
              </w:rPr>
            </w:pPr>
            <w:r>
              <w:rPr>
                <w:rFonts w:ascii="Arial" w:hAnsi="Arial"/>
              </w:rPr>
              <w:t xml:space="preserve">Option </w:t>
            </w:r>
            <w:r w:rsidR="00480664">
              <w:rPr>
                <w:rFonts w:ascii="Arial" w:hAnsi="Arial"/>
              </w:rPr>
              <w:t xml:space="preserve">/Warrant </w:t>
            </w:r>
            <w:bookmarkStart w:id="13" w:name="_GoBack"/>
            <w:bookmarkEnd w:id="13"/>
            <w:r>
              <w:rPr>
                <w:rFonts w:ascii="Arial" w:hAnsi="Arial"/>
              </w:rPr>
              <w:t>exercise</w:t>
            </w:r>
          </w:p>
        </w:tc>
        <w:tc>
          <w:tcPr>
            <w:tcW w:w="2340" w:type="dxa"/>
          </w:tcPr>
          <w:p w14:paraId="7C9154BA" w14:textId="6B358A35" w:rsidR="00EF4BDC" w:rsidRDefault="00EF4BDC" w:rsidP="00EF4BDC">
            <w:pPr>
              <w:pStyle w:val="List"/>
              <w:tabs>
                <w:tab w:val="left" w:pos="360"/>
              </w:tabs>
              <w:spacing w:before="0" w:line="280" w:lineRule="exact"/>
              <w:ind w:left="0" w:firstLine="0"/>
              <w:jc w:val="center"/>
              <w:rPr>
                <w:rFonts w:ascii="Arial" w:hAnsi="Arial"/>
              </w:rPr>
            </w:pPr>
            <w:r>
              <w:rPr>
                <w:rFonts w:ascii="Arial" w:hAnsi="Arial"/>
              </w:rPr>
              <w:t>Working capital</w:t>
            </w:r>
          </w:p>
        </w:tc>
      </w:tr>
      <w:tr w:rsidR="00EF4BDC" w14:paraId="6DA00038" w14:textId="77777777" w:rsidTr="00AD7476">
        <w:tc>
          <w:tcPr>
            <w:tcW w:w="1980" w:type="dxa"/>
          </w:tcPr>
          <w:p w14:paraId="377C14A5" w14:textId="54D17554" w:rsidR="00EF4BDC" w:rsidRDefault="00EF4BDC" w:rsidP="00EF4BDC">
            <w:pPr>
              <w:pStyle w:val="List"/>
              <w:tabs>
                <w:tab w:val="left" w:pos="360"/>
              </w:tabs>
              <w:spacing w:before="0" w:line="280" w:lineRule="exact"/>
              <w:ind w:left="0" w:firstLine="0"/>
              <w:jc w:val="both"/>
              <w:rPr>
                <w:rFonts w:ascii="Arial" w:hAnsi="Arial"/>
              </w:rPr>
            </w:pPr>
            <w:r>
              <w:rPr>
                <w:rFonts w:ascii="Arial" w:hAnsi="Arial"/>
              </w:rPr>
              <w:t>Common shares</w:t>
            </w:r>
          </w:p>
        </w:tc>
        <w:tc>
          <w:tcPr>
            <w:tcW w:w="1530" w:type="dxa"/>
          </w:tcPr>
          <w:p w14:paraId="2E30C533" w14:textId="0C5F59F2" w:rsidR="00EF4BDC" w:rsidRDefault="00EF4BDC" w:rsidP="00EF4BDC">
            <w:pPr>
              <w:pStyle w:val="List"/>
              <w:tabs>
                <w:tab w:val="left" w:pos="360"/>
              </w:tabs>
              <w:spacing w:before="0" w:line="280" w:lineRule="exact"/>
              <w:ind w:left="0" w:firstLine="0"/>
              <w:jc w:val="right"/>
              <w:rPr>
                <w:rFonts w:ascii="Arial" w:hAnsi="Arial"/>
              </w:rPr>
            </w:pPr>
            <w:r>
              <w:rPr>
                <w:rFonts w:ascii="Arial" w:hAnsi="Arial"/>
              </w:rPr>
              <w:t>1,284,750</w:t>
            </w:r>
          </w:p>
        </w:tc>
        <w:tc>
          <w:tcPr>
            <w:tcW w:w="3150" w:type="dxa"/>
          </w:tcPr>
          <w:p w14:paraId="200A0567" w14:textId="67EDBAA8" w:rsidR="00EF4BDC" w:rsidRDefault="00EF4BDC" w:rsidP="00EF4BDC">
            <w:pPr>
              <w:pStyle w:val="List"/>
              <w:tabs>
                <w:tab w:val="left" w:pos="360"/>
              </w:tabs>
              <w:spacing w:before="0" w:line="280" w:lineRule="exact"/>
              <w:ind w:left="0" w:firstLine="0"/>
              <w:rPr>
                <w:rFonts w:ascii="Arial" w:hAnsi="Arial"/>
              </w:rPr>
            </w:pPr>
            <w:r>
              <w:rPr>
                <w:rFonts w:ascii="Arial" w:hAnsi="Arial"/>
              </w:rPr>
              <w:t>Warrant exercise</w:t>
            </w:r>
          </w:p>
        </w:tc>
        <w:tc>
          <w:tcPr>
            <w:tcW w:w="2340" w:type="dxa"/>
          </w:tcPr>
          <w:p w14:paraId="3B7E0C05" w14:textId="36996AC4" w:rsidR="00EF4BDC" w:rsidRDefault="00EF4BDC" w:rsidP="00EF4BDC">
            <w:pPr>
              <w:pStyle w:val="List"/>
              <w:tabs>
                <w:tab w:val="left" w:pos="360"/>
              </w:tabs>
              <w:spacing w:before="0" w:line="280" w:lineRule="exact"/>
              <w:ind w:left="0" w:firstLine="0"/>
              <w:jc w:val="center"/>
              <w:rPr>
                <w:rFonts w:ascii="Arial" w:hAnsi="Arial"/>
              </w:rPr>
            </w:pPr>
            <w:r>
              <w:rPr>
                <w:rFonts w:ascii="Arial" w:hAnsi="Arial"/>
              </w:rPr>
              <w:t>Working capital</w:t>
            </w:r>
          </w:p>
        </w:tc>
      </w:tr>
      <w:tr w:rsidR="00EF4BDC" w14:paraId="698C3D26" w14:textId="77777777" w:rsidTr="00AD7476">
        <w:tc>
          <w:tcPr>
            <w:tcW w:w="1980" w:type="dxa"/>
          </w:tcPr>
          <w:p w14:paraId="311E0C7D" w14:textId="092E880E" w:rsidR="00EF4BDC" w:rsidRDefault="00EF4BDC" w:rsidP="00EF4BDC">
            <w:pPr>
              <w:pStyle w:val="List"/>
              <w:tabs>
                <w:tab w:val="left" w:pos="360"/>
              </w:tabs>
              <w:spacing w:before="0" w:line="280" w:lineRule="exact"/>
              <w:ind w:left="0" w:firstLine="0"/>
              <w:jc w:val="both"/>
              <w:rPr>
                <w:rFonts w:ascii="Arial" w:hAnsi="Arial"/>
              </w:rPr>
            </w:pPr>
            <w:r>
              <w:rPr>
                <w:rFonts w:ascii="Arial" w:hAnsi="Arial"/>
              </w:rPr>
              <w:t>Common shares</w:t>
            </w:r>
          </w:p>
        </w:tc>
        <w:tc>
          <w:tcPr>
            <w:tcW w:w="1530" w:type="dxa"/>
          </w:tcPr>
          <w:p w14:paraId="68D1E3AF" w14:textId="3551307D" w:rsidR="00EF4BDC" w:rsidRDefault="00EF4BDC" w:rsidP="00EF4BDC">
            <w:pPr>
              <w:pStyle w:val="List"/>
              <w:tabs>
                <w:tab w:val="left" w:pos="360"/>
              </w:tabs>
              <w:spacing w:before="0" w:line="280" w:lineRule="exact"/>
              <w:ind w:left="0" w:firstLine="0"/>
              <w:jc w:val="right"/>
              <w:rPr>
                <w:rFonts w:ascii="Arial" w:hAnsi="Arial"/>
              </w:rPr>
            </w:pPr>
            <w:r>
              <w:rPr>
                <w:rFonts w:ascii="Arial" w:hAnsi="Arial"/>
              </w:rPr>
              <w:t>200,000</w:t>
            </w:r>
          </w:p>
        </w:tc>
        <w:tc>
          <w:tcPr>
            <w:tcW w:w="3150" w:type="dxa"/>
          </w:tcPr>
          <w:p w14:paraId="5718AD54" w14:textId="7DFCFEBE" w:rsidR="00EF4BDC" w:rsidRDefault="00EF4BDC" w:rsidP="00EF4BDC">
            <w:pPr>
              <w:pStyle w:val="List"/>
              <w:tabs>
                <w:tab w:val="left" w:pos="360"/>
              </w:tabs>
              <w:spacing w:before="0" w:line="280" w:lineRule="exact"/>
              <w:ind w:left="0" w:firstLine="0"/>
              <w:rPr>
                <w:rFonts w:ascii="Arial" w:hAnsi="Arial"/>
              </w:rPr>
            </w:pPr>
            <w:r>
              <w:rPr>
                <w:rFonts w:ascii="Arial" w:hAnsi="Arial"/>
              </w:rPr>
              <w:t>Option exercise</w:t>
            </w:r>
          </w:p>
        </w:tc>
        <w:tc>
          <w:tcPr>
            <w:tcW w:w="2340" w:type="dxa"/>
          </w:tcPr>
          <w:p w14:paraId="68BE59E9" w14:textId="489AEFFD" w:rsidR="00EF4BDC" w:rsidRDefault="00EF4BDC" w:rsidP="00EF4BDC">
            <w:pPr>
              <w:pStyle w:val="List"/>
              <w:tabs>
                <w:tab w:val="left" w:pos="360"/>
              </w:tabs>
              <w:spacing w:before="0" w:line="280" w:lineRule="exact"/>
              <w:ind w:left="0" w:firstLine="0"/>
              <w:jc w:val="center"/>
              <w:rPr>
                <w:rFonts w:ascii="Arial" w:hAnsi="Arial"/>
              </w:rPr>
            </w:pPr>
            <w:r>
              <w:rPr>
                <w:rFonts w:ascii="Arial" w:hAnsi="Arial"/>
              </w:rPr>
              <w:t>Working capital</w:t>
            </w:r>
          </w:p>
        </w:tc>
      </w:tr>
      <w:tr w:rsidR="00EF4BDC" w14:paraId="67C77268" w14:textId="77777777" w:rsidTr="00AD7476">
        <w:tc>
          <w:tcPr>
            <w:tcW w:w="1980" w:type="dxa"/>
          </w:tcPr>
          <w:p w14:paraId="3E54DE50" w14:textId="028EFE65" w:rsidR="00EF4BDC" w:rsidRDefault="00EF4BDC" w:rsidP="00EF4BDC">
            <w:pPr>
              <w:pStyle w:val="List"/>
              <w:tabs>
                <w:tab w:val="left" w:pos="360"/>
              </w:tabs>
              <w:spacing w:before="0" w:line="280" w:lineRule="exact"/>
              <w:ind w:left="0" w:firstLine="0"/>
              <w:jc w:val="both"/>
              <w:rPr>
                <w:rFonts w:ascii="Arial" w:hAnsi="Arial"/>
              </w:rPr>
            </w:pPr>
            <w:r>
              <w:rPr>
                <w:rFonts w:ascii="Arial" w:hAnsi="Arial"/>
              </w:rPr>
              <w:t>Common shares</w:t>
            </w:r>
          </w:p>
        </w:tc>
        <w:tc>
          <w:tcPr>
            <w:tcW w:w="1530" w:type="dxa"/>
          </w:tcPr>
          <w:p w14:paraId="58E1896A" w14:textId="76B97224" w:rsidR="00EF4BDC" w:rsidRDefault="00EF4BDC" w:rsidP="00EF4BDC">
            <w:pPr>
              <w:pStyle w:val="List"/>
              <w:tabs>
                <w:tab w:val="left" w:pos="360"/>
              </w:tabs>
              <w:spacing w:before="0" w:line="280" w:lineRule="exact"/>
              <w:ind w:left="0" w:firstLine="0"/>
              <w:jc w:val="right"/>
              <w:rPr>
                <w:rFonts w:ascii="Arial" w:hAnsi="Arial"/>
              </w:rPr>
            </w:pPr>
            <w:r>
              <w:rPr>
                <w:rFonts w:ascii="Arial" w:hAnsi="Arial"/>
              </w:rPr>
              <w:t>100,000</w:t>
            </w:r>
          </w:p>
        </w:tc>
        <w:tc>
          <w:tcPr>
            <w:tcW w:w="3150" w:type="dxa"/>
          </w:tcPr>
          <w:p w14:paraId="5F619CFE" w14:textId="01CBB019" w:rsidR="00EF4BDC" w:rsidRDefault="00EF4BDC" w:rsidP="00EF4BDC">
            <w:pPr>
              <w:pStyle w:val="List"/>
              <w:tabs>
                <w:tab w:val="left" w:pos="360"/>
              </w:tabs>
              <w:spacing w:before="0" w:line="280" w:lineRule="exact"/>
              <w:ind w:left="0" w:firstLine="0"/>
              <w:rPr>
                <w:rFonts w:ascii="Arial" w:hAnsi="Arial"/>
              </w:rPr>
            </w:pPr>
            <w:r>
              <w:rPr>
                <w:rFonts w:ascii="Arial" w:hAnsi="Arial"/>
              </w:rPr>
              <w:t>Warrant exercise</w:t>
            </w:r>
          </w:p>
        </w:tc>
        <w:tc>
          <w:tcPr>
            <w:tcW w:w="2340" w:type="dxa"/>
          </w:tcPr>
          <w:p w14:paraId="3ED0B548" w14:textId="76AE07B9" w:rsidR="00EF4BDC" w:rsidRDefault="00EF4BDC" w:rsidP="00EF4BDC">
            <w:pPr>
              <w:pStyle w:val="List"/>
              <w:tabs>
                <w:tab w:val="left" w:pos="360"/>
              </w:tabs>
              <w:spacing w:before="0" w:line="280" w:lineRule="exact"/>
              <w:ind w:left="0" w:firstLine="0"/>
              <w:jc w:val="center"/>
              <w:rPr>
                <w:rFonts w:ascii="Arial" w:hAnsi="Arial"/>
              </w:rPr>
            </w:pPr>
            <w:r>
              <w:rPr>
                <w:rFonts w:ascii="Arial" w:hAnsi="Arial"/>
              </w:rPr>
              <w:t>Working capital</w:t>
            </w:r>
          </w:p>
        </w:tc>
      </w:tr>
    </w:tbl>
    <w:p w14:paraId="697CE528"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77702684" w14:textId="26483BB1"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3C26CF71" w14:textId="7590C755" w:rsidR="00F07A0C" w:rsidRDefault="00F07A0C" w:rsidP="00F07A0C">
      <w:pPr>
        <w:pStyle w:val="List"/>
        <w:keepNext/>
        <w:keepLines/>
        <w:spacing w:before="120"/>
        <w:ind w:left="1800"/>
        <w:jc w:val="both"/>
        <w:rPr>
          <w:rFonts w:ascii="Arial" w:hAnsi="Arial"/>
        </w:rPr>
      </w:pPr>
      <w:r w:rsidRPr="00F07A0C">
        <w:rPr>
          <w:rFonts w:ascii="Arial" w:hAnsi="Arial"/>
          <w:b/>
          <w:bCs/>
          <w:lang w:val="en-US"/>
        </w:rPr>
        <w:t xml:space="preserve">Not applicable for the month of </w:t>
      </w:r>
      <w:r w:rsidR="0056349B">
        <w:rPr>
          <w:rFonts w:ascii="Arial" w:hAnsi="Arial"/>
          <w:b/>
          <w:bCs/>
          <w:lang w:val="en-US"/>
        </w:rPr>
        <w:t>January</w:t>
      </w:r>
      <w:r w:rsidRPr="00F07A0C">
        <w:rPr>
          <w:rFonts w:ascii="Arial" w:hAnsi="Arial"/>
          <w:b/>
          <w:bCs/>
          <w:lang w:val="en-US"/>
        </w:rPr>
        <w:t>.</w:t>
      </w:r>
    </w:p>
    <w:p w14:paraId="248280E1" w14:textId="416C34E8"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6F368989" w14:textId="3F7C75F7" w:rsidR="00F07A0C" w:rsidRDefault="00F07A0C" w:rsidP="00F07A0C">
      <w:pPr>
        <w:pStyle w:val="List"/>
        <w:keepNext/>
        <w:keepLines/>
        <w:spacing w:before="120"/>
        <w:ind w:left="1800"/>
        <w:jc w:val="both"/>
        <w:rPr>
          <w:rFonts w:ascii="Arial" w:hAnsi="Arial"/>
        </w:rPr>
      </w:pPr>
      <w:r w:rsidRPr="00F07A0C">
        <w:rPr>
          <w:rFonts w:ascii="Arial" w:hAnsi="Arial"/>
          <w:b/>
          <w:bCs/>
          <w:lang w:val="en-US"/>
        </w:rPr>
        <w:t xml:space="preserve">Not applicable for the month of </w:t>
      </w:r>
      <w:r w:rsidR="0056349B">
        <w:rPr>
          <w:rFonts w:ascii="Arial" w:hAnsi="Arial"/>
          <w:b/>
          <w:bCs/>
          <w:lang w:val="en-US"/>
        </w:rPr>
        <w:t>January</w:t>
      </w:r>
      <w:r w:rsidRPr="00F07A0C">
        <w:rPr>
          <w:rFonts w:ascii="Arial" w:hAnsi="Arial"/>
          <w:b/>
          <w:bCs/>
          <w:lang w:val="en-US"/>
        </w:rPr>
        <w:t>.</w:t>
      </w:r>
    </w:p>
    <w:p w14:paraId="3D96F302" w14:textId="60A6EA24"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47FAE61F" w14:textId="77777777" w:rsidR="00F07A0C" w:rsidRPr="00512B19" w:rsidRDefault="00F07A0C" w:rsidP="00F07A0C">
      <w:pPr>
        <w:widowControl w:val="0"/>
        <w:autoSpaceDE w:val="0"/>
        <w:autoSpaceDN w:val="0"/>
        <w:adjustRightInd w:val="0"/>
        <w:spacing w:before="120" w:after="240"/>
        <w:jc w:val="both"/>
        <w:rPr>
          <w:rFonts w:ascii="Arial" w:hAnsi="Arial" w:cs="Arial"/>
          <w:b/>
          <w:sz w:val="24"/>
          <w:szCs w:val="24"/>
          <w:u w:val="single"/>
          <w:lang w:val="en-CA"/>
        </w:rPr>
      </w:pPr>
      <w:r w:rsidRPr="00512B19">
        <w:rPr>
          <w:rFonts w:ascii="Arial" w:hAnsi="Arial" w:cs="Arial"/>
          <w:b/>
          <w:sz w:val="24"/>
          <w:szCs w:val="24"/>
          <w:u w:val="single"/>
          <w:lang w:val="en-CA"/>
        </w:rPr>
        <w:t>United States Regulatory Environment Applicable to the Cannabis Industry</w:t>
      </w:r>
    </w:p>
    <w:p w14:paraId="7F5B2081" w14:textId="77777777" w:rsidR="00F07A0C" w:rsidRPr="00512B19" w:rsidRDefault="00F07A0C" w:rsidP="00F07A0C">
      <w:pPr>
        <w:pStyle w:val="Heading2"/>
        <w:keepNext w:val="0"/>
        <w:widowControl w:val="0"/>
        <w:tabs>
          <w:tab w:val="num" w:pos="-90"/>
          <w:tab w:val="left" w:pos="0"/>
        </w:tabs>
        <w:spacing w:before="0"/>
        <w:ind w:left="0" w:firstLine="0"/>
        <w:jc w:val="both"/>
        <w:rPr>
          <w:rFonts w:cs="Arial"/>
          <w:sz w:val="24"/>
        </w:rPr>
      </w:pPr>
      <w:r w:rsidRPr="00512B19">
        <w:rPr>
          <w:rFonts w:cs="Arial"/>
          <w:sz w:val="24"/>
        </w:rPr>
        <w:t>Cannabis is a Schedule I controlled substance under the Federal Controlled Substance Act (the “CSA”). Even in those states, and the District of Columbia, in which the cultivation, manufacture and use of medical or adult-use cannabis has been legalized, the possession, use, cultivation and transfer of cannabis remains a violation of federal law. Federal law criminalizing the use of cannabis pre</w:t>
      </w:r>
      <w:r>
        <w:rPr>
          <w:rFonts w:cs="Arial"/>
          <w:sz w:val="24"/>
        </w:rPr>
        <w:t>-</w:t>
      </w:r>
      <w:r w:rsidRPr="00512B19">
        <w:rPr>
          <w:rFonts w:cs="Arial"/>
          <w:sz w:val="24"/>
        </w:rPr>
        <w:t xml:space="preserve">empts state laws legalizing the use of cannabis for medicinal or adult-use purposes and, therefore, strict enforcement of federal law regarding cannabis would severely restrict the ability of </w:t>
      </w:r>
      <w:r>
        <w:rPr>
          <w:rFonts w:cs="Arial"/>
          <w:sz w:val="24"/>
        </w:rPr>
        <w:t>the Issuer</w:t>
      </w:r>
      <w:r w:rsidRPr="00512B19">
        <w:rPr>
          <w:rFonts w:cs="Arial"/>
          <w:sz w:val="24"/>
        </w:rPr>
        <w:t xml:space="preserve"> to implement its business plan. </w:t>
      </w:r>
    </w:p>
    <w:p w14:paraId="65FAEE9F" w14:textId="77777777" w:rsidR="00F07A0C" w:rsidRPr="00512B19" w:rsidRDefault="00F07A0C" w:rsidP="00F07A0C">
      <w:pPr>
        <w:pStyle w:val="Heading2"/>
        <w:keepNext w:val="0"/>
        <w:widowControl w:val="0"/>
        <w:tabs>
          <w:tab w:val="num" w:pos="450"/>
        </w:tabs>
        <w:ind w:left="0" w:firstLine="0"/>
        <w:jc w:val="both"/>
        <w:rPr>
          <w:rFonts w:cs="Arial"/>
          <w:sz w:val="24"/>
        </w:rPr>
      </w:pPr>
      <w:r w:rsidRPr="00512B19">
        <w:rPr>
          <w:rFonts w:cs="Arial"/>
          <w:sz w:val="24"/>
        </w:rPr>
        <w:lastRenderedPageBreak/>
        <w:t>The U.S. Department of Justice (the “DOJ”) under the Obama administration issued memoranda, including the so-called “Cole Memorandum” issued on August 29, 2013, describing DOJ’s priorities for enforcement of federal cannabis prohibitions under the CSA. Generally, the DOJ described the prosecution of individuals and companies engaged in the use, manufacture and distribution of medical cannabis when such individuals or companies were in compliance with state regulatory systems as an inefficient use of federal investigative and prosecutorial resources. The DOJ’s position is predicated on state regulatory and enforcement efforts that are effective with respect to certain enumerated federal enforcement priorities under the CSA. In the “Cole Memo,” the DOJ advised all federal prosecutors that federal enforcement of the CSA against cannabis-related conduct should be focused on eight priorities, which are the prevention of: (1) distribution of cannabis to minors; (2) diversion of revenue from sale of cannabis to criminal enterprises, gangs and cartels; (3) transfer of cannabis from states where it is legal to states where it is illegal; (4) the use of cannabis activity as a pretext for trafficking in other illegal drugs or engaging in illegal activity; (5) violence or use of firearms in cannabis cultivation and distribution; (6) drugged driving and adverse public health consequences from cannabis use; (7) growth of cannabis on federal lands; and (8) cannabis possession or use on federal property.</w:t>
      </w:r>
    </w:p>
    <w:p w14:paraId="66A12A0B" w14:textId="77777777" w:rsidR="00F07A0C" w:rsidRPr="00512B19" w:rsidRDefault="00F07A0C" w:rsidP="00F07A0C">
      <w:pPr>
        <w:pStyle w:val="Heading2"/>
        <w:keepNext w:val="0"/>
        <w:widowControl w:val="0"/>
        <w:tabs>
          <w:tab w:val="num" w:pos="450"/>
        </w:tabs>
        <w:ind w:left="0" w:firstLine="0"/>
        <w:jc w:val="both"/>
        <w:rPr>
          <w:rFonts w:cs="Arial"/>
          <w:sz w:val="24"/>
        </w:rPr>
      </w:pPr>
      <w:r w:rsidRPr="00512B19">
        <w:rPr>
          <w:rFonts w:cs="Arial"/>
          <w:sz w:val="24"/>
        </w:rPr>
        <w:t xml:space="preserve">In addition, Congress enacted an omnibus spending bill for fiscal year 2016 including a provision prohibiting the DOJ (which includes the Drug Enforcement Administration) from using funds appropriated by that bill to prevent states from implementing their medical-use cannabis laws. This provision was renewed on December 22, 2017; however, it is effective only until </w:t>
      </w:r>
      <w:r>
        <w:rPr>
          <w:rFonts w:cs="Arial"/>
          <w:sz w:val="24"/>
        </w:rPr>
        <w:t>April</w:t>
      </w:r>
      <w:r w:rsidRPr="00512B19">
        <w:rPr>
          <w:rFonts w:cs="Arial"/>
          <w:sz w:val="24"/>
        </w:rPr>
        <w:t xml:space="preserve"> 19, 2018 and must be renewed by Congress in subsequent years. This prohibition must be included in the Senate version of the fiscal year 2018 Commerce, Justice, and Science (CJS) Appropriations bill to remain effective. Currently, only the Senate version of the CJS Appropriations bill includes the prohibition and the House version does not. A final decision is dependent on the outcome of the House-Senate conference committee’s final version of the bill. In USA v. McIntosh, the United States Circuit Court of Appeals for the Ninth Circuit held that this provision prohibits the DOJ from spending funds from relevant appropriations acts to prosecute individuals who engage in conduct permitted by state medical-use cannabis laws and who strictly comply with such laws. The Ninth Circuit’s opinion, which only applies in the states of Alaska, Arizona, California, Hawaii and Idaho, also held that persons who do not strictly comply with all state laws and regulations regarding the distribution, possession and cultivation of medical-use cannabis have engaged in conduct that is unauthorized, and in such instances the U.S. Department of Justice may prosecute those individuals.</w:t>
      </w:r>
    </w:p>
    <w:p w14:paraId="4FD6D17F" w14:textId="77777777" w:rsidR="00F07A0C" w:rsidRPr="00512B19" w:rsidRDefault="00F07A0C" w:rsidP="00734FF6">
      <w:pPr>
        <w:pStyle w:val="Heading2"/>
        <w:keepNext w:val="0"/>
        <w:widowControl w:val="0"/>
        <w:tabs>
          <w:tab w:val="num" w:pos="450"/>
        </w:tabs>
        <w:ind w:left="0" w:firstLine="0"/>
        <w:jc w:val="both"/>
        <w:rPr>
          <w:rFonts w:cs="Arial"/>
          <w:sz w:val="24"/>
        </w:rPr>
      </w:pPr>
      <w:r>
        <w:rPr>
          <w:rFonts w:cs="Arial"/>
          <w:sz w:val="24"/>
        </w:rPr>
        <w:t>Issuer</w:t>
      </w:r>
      <w:r w:rsidRPr="00512B19">
        <w:rPr>
          <w:rFonts w:cs="Arial"/>
          <w:sz w:val="24"/>
        </w:rPr>
        <w:t xml:space="preserve"> does not intend to engage in any of the activities enumerated in the Cole Memo, but federal prosecutors have significant discretion in their interpretation of these priorities. Therefore, no assurance can be given that the federal prosecutor in the judicial district where the Issuer is engaged in its cannabis activity will agree that those activities do not involve the activities enumerated in the Cole Memo. There is also no guarantee that the current administration or future administrations </w:t>
      </w:r>
      <w:r w:rsidRPr="00512B19">
        <w:rPr>
          <w:rFonts w:cs="Arial"/>
          <w:sz w:val="24"/>
        </w:rPr>
        <w:lastRenderedPageBreak/>
        <w:t>will not revise the federal enforcement priorities enumerated in the Cole Memo or otherwise choose to strictly enforce the federal laws governing cannabis cultivation, manufacturing, distribution or retail sales. Penalties for violation of federal laws related to cannabis-related business could result in prosecution and in the event of conviction, fines or asset forfeiture.  In addition, the federal government has in the past seized the assets of cannabis businesses under civil forfeiture statutes.</w:t>
      </w:r>
    </w:p>
    <w:p w14:paraId="7F2FC562" w14:textId="77777777" w:rsidR="00F07A0C" w:rsidRPr="00512B19" w:rsidRDefault="00F07A0C" w:rsidP="00734FF6">
      <w:pPr>
        <w:pStyle w:val="Heading2"/>
        <w:keepNext w:val="0"/>
        <w:widowControl w:val="0"/>
        <w:tabs>
          <w:tab w:val="left" w:pos="-180"/>
          <w:tab w:val="left" w:pos="-90"/>
        </w:tabs>
        <w:ind w:left="0" w:firstLine="0"/>
        <w:jc w:val="both"/>
        <w:rPr>
          <w:rFonts w:cs="Arial"/>
          <w:sz w:val="24"/>
        </w:rPr>
      </w:pPr>
      <w:r w:rsidRPr="00512B19">
        <w:rPr>
          <w:rFonts w:cs="Arial"/>
          <w:sz w:val="24"/>
        </w:rPr>
        <w:t>Political and regulatory risks also exist due to the recent election of Donald Trump to the U.S. presidency. Mr. Trump’s positions regarding marijuana are difficult to discern. It remains unclear what stance the Department of Justice under the new administration might take toward legalization efforts in U.S. states, but federal enforcement of the Controlled Substances Act and other applicable laws is possible.</w:t>
      </w:r>
    </w:p>
    <w:p w14:paraId="66B42F0B" w14:textId="77777777" w:rsidR="00F07A0C" w:rsidRPr="00512B19" w:rsidRDefault="00F07A0C" w:rsidP="00734FF6">
      <w:pPr>
        <w:pStyle w:val="Heading2"/>
        <w:keepNext w:val="0"/>
        <w:widowControl w:val="0"/>
        <w:tabs>
          <w:tab w:val="num" w:pos="450"/>
        </w:tabs>
        <w:ind w:left="0" w:firstLine="0"/>
        <w:jc w:val="both"/>
        <w:rPr>
          <w:rFonts w:cs="Arial"/>
          <w:sz w:val="24"/>
        </w:rPr>
      </w:pPr>
      <w:r w:rsidRPr="00512B19">
        <w:rPr>
          <w:rFonts w:cs="Arial"/>
          <w:sz w:val="24"/>
        </w:rPr>
        <w:t>Despite the legal, regulatory, and political obstacles the marijuana industry currently faces, the industry has continued to grow.</w:t>
      </w:r>
    </w:p>
    <w:p w14:paraId="55BB3C45" w14:textId="77777777" w:rsidR="00F07A0C" w:rsidRPr="00512B19" w:rsidRDefault="00F07A0C" w:rsidP="00734FF6">
      <w:pPr>
        <w:pStyle w:val="Heading2"/>
        <w:keepNext w:val="0"/>
        <w:widowControl w:val="0"/>
        <w:ind w:left="0" w:firstLine="0"/>
        <w:jc w:val="both"/>
        <w:rPr>
          <w:rFonts w:cs="Arial"/>
          <w:sz w:val="24"/>
          <w:u w:val="single"/>
        </w:rPr>
      </w:pPr>
      <w:r w:rsidRPr="00512B19">
        <w:rPr>
          <w:rFonts w:cs="Arial"/>
          <w:sz w:val="24"/>
          <w:u w:val="single"/>
        </w:rPr>
        <w:t>U.S. Federal Laws in Respect of Banking</w:t>
      </w:r>
    </w:p>
    <w:p w14:paraId="0B04035A" w14:textId="77777777" w:rsidR="00F07A0C" w:rsidRPr="00512B19" w:rsidRDefault="00F07A0C" w:rsidP="00734FF6">
      <w:pPr>
        <w:pStyle w:val="Heading2"/>
        <w:keepNext w:val="0"/>
        <w:widowControl w:val="0"/>
        <w:tabs>
          <w:tab w:val="num" w:pos="450"/>
        </w:tabs>
        <w:ind w:left="0" w:firstLine="0"/>
        <w:jc w:val="both"/>
        <w:rPr>
          <w:rFonts w:cs="Arial"/>
          <w:sz w:val="24"/>
        </w:rPr>
      </w:pPr>
      <w:r w:rsidRPr="00512B19">
        <w:rPr>
          <w:rFonts w:cs="Arial"/>
          <w:sz w:val="24"/>
        </w:rPr>
        <w:t xml:space="preserve">Under U.S. federal law it may be a violation of federal money laundering statutes for financial institutions to accept the deposit of proceeds from marijuana sales or any other Schedule I substance. Canadian banks are also hesitant to deal with cannabis companies, due to the uncertain legal and regulatory framework of the industry. Banks and other financial institutions could be prosecuted and possibly convicted of money laundering for providing services to cannabis businesses. Under U.S. federal law, banks or other financial institutions that provide a cannabis business with a checking account, debit or credit card, small business loan, or any other service could be found guilty of money laundering or conspiracy. Despite these laws, the U.S. Treasury Department issued a memorandum in </w:t>
      </w:r>
      <w:r>
        <w:rPr>
          <w:rFonts w:cs="Arial"/>
          <w:sz w:val="24"/>
        </w:rPr>
        <w:t>April</w:t>
      </w:r>
      <w:r w:rsidRPr="00512B19">
        <w:rPr>
          <w:rFonts w:cs="Arial"/>
          <w:sz w:val="24"/>
        </w:rPr>
        <w:t xml:space="preserve"> of 2014 outlining the pathways for financial institutions to bank marijuana businesses in compliance with federal law. </w:t>
      </w:r>
    </w:p>
    <w:p w14:paraId="340156D5" w14:textId="77777777" w:rsidR="00F07A0C" w:rsidRPr="00512B19" w:rsidRDefault="00F07A0C" w:rsidP="00734FF6">
      <w:pPr>
        <w:pStyle w:val="Heading2"/>
        <w:keepNext w:val="0"/>
        <w:widowControl w:val="0"/>
        <w:tabs>
          <w:tab w:val="left" w:pos="-360"/>
          <w:tab w:val="num" w:pos="450"/>
        </w:tabs>
        <w:ind w:left="0" w:firstLine="0"/>
        <w:jc w:val="both"/>
        <w:rPr>
          <w:rFonts w:cs="Arial"/>
          <w:sz w:val="24"/>
        </w:rPr>
      </w:pPr>
      <w:r w:rsidRPr="00512B19">
        <w:rPr>
          <w:rFonts w:cs="Arial"/>
          <w:sz w:val="24"/>
        </w:rPr>
        <w:t xml:space="preserve">Under these guidelines, financial institutions must submit a “suspicious activity report” (“SAR”) as required by federal money laundering laws. These marijuana-related SARs are divided into three categories: marijuana limited, marijuana priority, and marijuana terminated, based on the financial institution’s belief that the marijuana business follows state law, is operating out of compliance with state law, or where the banking relationship has been terminated. The memorandum also outlines the due diligence required of banks dealing with marijuana-related businesses. The due diligence requirements may act to limit participation by many banks.  On April 27, 2017, Rep. Perlmutter introduced H.R. 2215 – the Secure and Fair Enforcement Banking Act of 2017 to grant banks and other financial institutions immunity from federal criminal prosecution for servicing marijuana-related businesses if the underlying marijuana business complies with state law. The bill was referred to the Subcommittee on Crime, Terrorism, Homeland Security, and Investigations on September 21, 2017. There can be no assurance that H.R. 2215 will be passed in its current form or at all. In both Canada and the United </w:t>
      </w:r>
      <w:r w:rsidRPr="00512B19">
        <w:rPr>
          <w:rFonts w:cs="Arial"/>
          <w:sz w:val="24"/>
        </w:rPr>
        <w:lastRenderedPageBreak/>
        <w:t xml:space="preserve">States, transactions involving banks and other financial institutions are both difficult and unpredictable under the current legal and regulatory landscape. Legislative changes to help reduce these challenges would eliminate these challenges for companies in the cannabis space, and would improve the efficiency of both significant and minor financial transactions. </w:t>
      </w:r>
    </w:p>
    <w:p w14:paraId="326CF9A1" w14:textId="77777777" w:rsidR="00F07A0C" w:rsidRPr="00512B19" w:rsidRDefault="00F07A0C" w:rsidP="00734FF6">
      <w:pPr>
        <w:pStyle w:val="Heading2"/>
        <w:keepNext w:val="0"/>
        <w:widowControl w:val="0"/>
        <w:tabs>
          <w:tab w:val="num" w:pos="450"/>
        </w:tabs>
        <w:ind w:left="0" w:firstLine="0"/>
        <w:jc w:val="both"/>
        <w:rPr>
          <w:rFonts w:cs="Arial"/>
          <w:sz w:val="24"/>
          <w:u w:val="single"/>
        </w:rPr>
      </w:pPr>
      <w:r w:rsidRPr="00512B19">
        <w:rPr>
          <w:rFonts w:cs="Arial"/>
          <w:sz w:val="24"/>
          <w:u w:val="single"/>
        </w:rPr>
        <w:t xml:space="preserve">California State Laws Applicable to the Medical-Use Cannabis Industry </w:t>
      </w:r>
    </w:p>
    <w:p w14:paraId="19B15D92" w14:textId="77777777" w:rsidR="00F07A0C" w:rsidRPr="00512B19" w:rsidRDefault="00F07A0C" w:rsidP="00734FF6">
      <w:pPr>
        <w:pStyle w:val="Heading2"/>
        <w:keepNext w:val="0"/>
        <w:widowControl w:val="0"/>
        <w:tabs>
          <w:tab w:val="num" w:pos="-270"/>
        </w:tabs>
        <w:ind w:left="0" w:firstLine="0"/>
        <w:jc w:val="both"/>
        <w:rPr>
          <w:rFonts w:cs="Arial"/>
          <w:sz w:val="24"/>
        </w:rPr>
      </w:pPr>
      <w:proofErr w:type="gramStart"/>
      <w:r w:rsidRPr="00512B19">
        <w:rPr>
          <w:rFonts w:cs="Arial"/>
          <w:sz w:val="24"/>
        </w:rPr>
        <w:t>On  27</w:t>
      </w:r>
      <w:proofErr w:type="gramEnd"/>
      <w:r w:rsidRPr="00512B19">
        <w:rPr>
          <w:rFonts w:cs="Arial"/>
          <w:sz w:val="24"/>
        </w:rPr>
        <w:t xml:space="preserve">, 2017, Governor Jerry Brown signed the Medicinal and Adult-Use Cannabis Regulation and Safety Act (“MAUCRSA”) to reconcile the Control, Regulate and Tax Adult Use of Marijuana Act with California’s previous medical marijuana laws. California was the first state to pass medical marijuana in 1996, allowing for a not-for-profit patient/caregiver system, but there was no state licensing authority to oversee businesses that emerged. “Patient/caregiver” system refers to the type of non-commercial medical marijuana laws that were passed from 1996 to 2008. These laws permitted qualified patients to cultivate their own medical marijuana or designate a caregiver to cultivate on behalf of a patient or patients. </w:t>
      </w:r>
    </w:p>
    <w:p w14:paraId="445F79D6" w14:textId="77777777" w:rsidR="00F07A0C" w:rsidRPr="00512B19" w:rsidRDefault="00F07A0C" w:rsidP="00734FF6">
      <w:pPr>
        <w:pStyle w:val="Heading2"/>
        <w:keepNext w:val="0"/>
        <w:widowControl w:val="0"/>
        <w:tabs>
          <w:tab w:val="num" w:pos="450"/>
        </w:tabs>
        <w:ind w:left="0" w:firstLine="0"/>
        <w:jc w:val="both"/>
        <w:rPr>
          <w:rFonts w:cs="Arial"/>
          <w:sz w:val="24"/>
        </w:rPr>
      </w:pPr>
      <w:r w:rsidRPr="00512B19">
        <w:rPr>
          <w:rFonts w:cs="Arial"/>
          <w:sz w:val="24"/>
        </w:rPr>
        <w:t xml:space="preserve">MAUCRSA establishes a licensing and regulatory framework for medical marijuana businesses and adult-use marijuana businesses in California. The system has multiple license types for dispensaries, infused products manufacturers, nurseries, cultivation facilities, testing laboratories, transportation companies, and distributors. Licenses will be designated as either “M” for medical marijuana or “A” for adult-use.  All transactions involving cannabis, other than dispensary sales, must be conducted between holders of a California license.  In addition, “M” licensees may only sell to other “M” licensees or, in the case of an “M” dispensary, to holders of a physician recommendation. Likewise, “A” licensees may only sell to other “A” licensees or, in the case of an “A” Dispensary, to individuals over the age of 21. Edible infused product manufacturers require either volatile solvent or </w:t>
      </w:r>
      <w:proofErr w:type="spellStart"/>
      <w:r w:rsidRPr="00512B19">
        <w:rPr>
          <w:rFonts w:cs="Arial"/>
          <w:sz w:val="24"/>
        </w:rPr>
        <w:t>nonvolatile</w:t>
      </w:r>
      <w:proofErr w:type="spellEnd"/>
      <w:r w:rsidRPr="00512B19">
        <w:rPr>
          <w:rFonts w:cs="Arial"/>
          <w:sz w:val="24"/>
        </w:rPr>
        <w:t xml:space="preserve"> solvent manufacturing licenses depending on their specific extraction methodology. Multiple agencies oversee different aspects of the program and businesses </w:t>
      </w:r>
      <w:r>
        <w:rPr>
          <w:rFonts w:cs="Arial"/>
          <w:sz w:val="24"/>
        </w:rPr>
        <w:t>are r</w:t>
      </w:r>
      <w:r w:rsidRPr="00512B19">
        <w:rPr>
          <w:rFonts w:cs="Arial"/>
          <w:sz w:val="24"/>
        </w:rPr>
        <w:t>equire</w:t>
      </w:r>
      <w:r>
        <w:rPr>
          <w:rFonts w:cs="Arial"/>
          <w:sz w:val="24"/>
        </w:rPr>
        <w:t>d</w:t>
      </w:r>
      <w:r w:rsidRPr="00512B19">
        <w:rPr>
          <w:rFonts w:cs="Arial"/>
          <w:sz w:val="24"/>
        </w:rPr>
        <w:t xml:space="preserve"> </w:t>
      </w:r>
      <w:r>
        <w:rPr>
          <w:rFonts w:cs="Arial"/>
          <w:sz w:val="24"/>
        </w:rPr>
        <w:t>to apply and receive</w:t>
      </w:r>
      <w:r w:rsidRPr="00512B19">
        <w:rPr>
          <w:rFonts w:cs="Arial"/>
          <w:sz w:val="24"/>
        </w:rPr>
        <w:t xml:space="preserve"> state license and local approval</w:t>
      </w:r>
      <w:r>
        <w:rPr>
          <w:rFonts w:cs="Arial"/>
          <w:sz w:val="24"/>
        </w:rPr>
        <w:t>s</w:t>
      </w:r>
      <w:r w:rsidRPr="00512B19">
        <w:rPr>
          <w:rFonts w:cs="Arial"/>
          <w:sz w:val="24"/>
        </w:rPr>
        <w:t xml:space="preserve"> to operate. California </w:t>
      </w:r>
      <w:r>
        <w:rPr>
          <w:rFonts w:cs="Arial"/>
          <w:sz w:val="24"/>
        </w:rPr>
        <w:t>bega</w:t>
      </w:r>
      <w:r w:rsidRPr="00512B19">
        <w:rPr>
          <w:rFonts w:cs="Arial"/>
          <w:sz w:val="24"/>
        </w:rPr>
        <w:t xml:space="preserve">n licensing both medical marijuana businesses and adult-use marijuana business at the state level under MAUCRSA after </w:t>
      </w:r>
      <w:r>
        <w:rPr>
          <w:rFonts w:cs="Arial"/>
          <w:sz w:val="24"/>
        </w:rPr>
        <w:t>April</w:t>
      </w:r>
      <w:r w:rsidRPr="00512B19">
        <w:rPr>
          <w:rFonts w:cs="Arial"/>
          <w:sz w:val="24"/>
        </w:rPr>
        <w:t xml:space="preserve"> 1, 2018. </w:t>
      </w:r>
    </w:p>
    <w:p w14:paraId="1DD1F1BE" w14:textId="77777777" w:rsidR="00F07A0C" w:rsidRPr="00512B19" w:rsidRDefault="00F07A0C" w:rsidP="00734FF6">
      <w:pPr>
        <w:pStyle w:val="Heading2"/>
        <w:keepNext w:val="0"/>
        <w:widowControl w:val="0"/>
        <w:tabs>
          <w:tab w:val="num" w:pos="450"/>
        </w:tabs>
        <w:ind w:left="0" w:firstLine="0"/>
        <w:jc w:val="both"/>
        <w:rPr>
          <w:rFonts w:cs="Arial"/>
          <w:sz w:val="24"/>
        </w:rPr>
      </w:pPr>
      <w:r w:rsidRPr="00512B19">
        <w:rPr>
          <w:rFonts w:cs="Arial"/>
          <w:sz w:val="24"/>
        </w:rPr>
        <w:t xml:space="preserve">An applicant under the MAUCRSA must obtain local approval and a state license. The state license approval process is not competitive, and localities are accepting licenses based on timelines within their individual ordinances. Localities may prohibit medical marijuana business or limit the number of licenses offered in their jurisdiction. The Bureau of Cannabis Control, the Department of Food and Agriculture, and the Department of Public Health released emergency regulations for MAUCRSA on November 16, 2017. Cities and counties across the state are either adopting local licensing and regulations around both medical and adult-use cannabis or modifying their current regulations for consistency with MAUCRSA. </w:t>
      </w:r>
    </w:p>
    <w:p w14:paraId="1A33C830" w14:textId="77777777" w:rsidR="00F07A0C" w:rsidRDefault="00F07A0C" w:rsidP="00734FF6">
      <w:pPr>
        <w:pStyle w:val="Heading2"/>
        <w:keepNext w:val="0"/>
        <w:widowControl w:val="0"/>
        <w:tabs>
          <w:tab w:val="num" w:pos="450"/>
        </w:tabs>
        <w:ind w:left="0" w:firstLine="0"/>
        <w:jc w:val="both"/>
        <w:rPr>
          <w:rFonts w:cs="Arial"/>
          <w:sz w:val="24"/>
        </w:rPr>
      </w:pPr>
      <w:r w:rsidRPr="00512B19">
        <w:rPr>
          <w:rFonts w:cs="Arial"/>
          <w:sz w:val="24"/>
        </w:rPr>
        <w:t xml:space="preserve">The application process for a state license requires submission of policies and procedures designed to ensure compliance with the emergency regulations.  The policies and procedures relate to personnel, safety, security, building design and </w:t>
      </w:r>
      <w:r w:rsidRPr="00512B19">
        <w:rPr>
          <w:rFonts w:cs="Arial"/>
          <w:sz w:val="24"/>
        </w:rPr>
        <w:lastRenderedPageBreak/>
        <w:t xml:space="preserve">related matters.  </w:t>
      </w:r>
    </w:p>
    <w:p w14:paraId="4F939BD3" w14:textId="403795B7" w:rsidR="00F07A0C" w:rsidRPr="00A92518" w:rsidRDefault="00F07A0C" w:rsidP="00734FF6">
      <w:pPr>
        <w:pStyle w:val="Heading2"/>
        <w:ind w:left="0" w:firstLine="0"/>
        <w:rPr>
          <w:rFonts w:cs="Arial"/>
          <w:sz w:val="24"/>
          <w:u w:val="single"/>
        </w:rPr>
      </w:pPr>
      <w:r w:rsidRPr="00A92518">
        <w:rPr>
          <w:rFonts w:cs="Arial"/>
          <w:sz w:val="24"/>
          <w:u w:val="single"/>
        </w:rPr>
        <w:t xml:space="preserve">Risks Related to Conflicting Federal and State Laws </w:t>
      </w:r>
    </w:p>
    <w:p w14:paraId="6CCDC4F1" w14:textId="77777777" w:rsidR="00F07A0C" w:rsidRPr="00872AB9" w:rsidRDefault="00F07A0C" w:rsidP="00734FF6">
      <w:pPr>
        <w:pStyle w:val="BodyText"/>
        <w:jc w:val="both"/>
        <w:rPr>
          <w:rFonts w:ascii="Arial" w:hAnsi="Arial" w:cs="Arial"/>
          <w:b/>
        </w:rPr>
      </w:pPr>
      <w:r w:rsidRPr="00872AB9">
        <w:rPr>
          <w:rFonts w:ascii="Arial" w:hAnsi="Arial" w:cs="Arial"/>
          <w:b/>
        </w:rPr>
        <w:t xml:space="preserve">The cannabis industry is currently conducted in </w:t>
      </w:r>
      <w:proofErr w:type="gramStart"/>
      <w:r>
        <w:rPr>
          <w:rFonts w:ascii="Arial" w:hAnsi="Arial" w:cs="Arial"/>
          <w:b/>
        </w:rPr>
        <w:t>thirty three</w:t>
      </w:r>
      <w:proofErr w:type="gramEnd"/>
      <w:r w:rsidRPr="00872AB9">
        <w:rPr>
          <w:rFonts w:ascii="Arial" w:hAnsi="Arial" w:cs="Arial"/>
          <w:b/>
        </w:rPr>
        <w:t xml:space="preserve"> states and the District of Columbia. These jurisdictions have passed laws either decriminalizing or legalizing the medicinal or recreational use of cannabis. However, under U.S. Federal law, the possession, use, cultivation, and transfer of cannabis remains illegal. The Federal, and, in some cases, State law enforcement authorities have frequently closed down retail dispensaries, growers, and producers of cannabis products and have investigated or closed physician offices that provide medicinal cannabis recommendations. To the extent that an affected retail dispensary, grower, producer, or physician office is a customer of the </w:t>
      </w:r>
      <w:r>
        <w:rPr>
          <w:rFonts w:ascii="Arial" w:hAnsi="Arial" w:cs="Arial"/>
          <w:b/>
        </w:rPr>
        <w:t xml:space="preserve">Issuer or </w:t>
      </w:r>
      <w:r w:rsidRPr="00872AB9">
        <w:rPr>
          <w:rFonts w:ascii="Arial" w:hAnsi="Arial" w:cs="Arial"/>
          <w:b/>
        </w:rPr>
        <w:t xml:space="preserve">Issuer’s licensee, it will affect the Issuer’s revenue. Enforcement actions that impact new retail dispensaries, growers, producers and physician offices entering the cannabis industry may materially affect the Issuer’s business and operations. </w:t>
      </w:r>
    </w:p>
    <w:p w14:paraId="2D0942D8" w14:textId="02D944B0" w:rsidR="00F07A0C" w:rsidRPr="00A92518" w:rsidRDefault="00F07A0C" w:rsidP="00F07A0C">
      <w:pPr>
        <w:pStyle w:val="Heading2"/>
        <w:rPr>
          <w:rFonts w:cs="Arial"/>
          <w:sz w:val="24"/>
          <w:u w:val="single"/>
        </w:rPr>
      </w:pPr>
      <w:r w:rsidRPr="00A92518">
        <w:rPr>
          <w:rFonts w:cs="Arial"/>
          <w:sz w:val="24"/>
          <w:u w:val="single"/>
        </w:rPr>
        <w:t xml:space="preserve">Risks Related to the Current Operating Model </w:t>
      </w:r>
    </w:p>
    <w:p w14:paraId="57562485" w14:textId="77777777" w:rsidR="00F07A0C" w:rsidRPr="00872AB9" w:rsidRDefault="00F07A0C" w:rsidP="00734FF6">
      <w:pPr>
        <w:pStyle w:val="BodyText"/>
        <w:jc w:val="both"/>
        <w:rPr>
          <w:rFonts w:ascii="Arial" w:hAnsi="Arial" w:cs="Arial"/>
          <w:b/>
        </w:rPr>
      </w:pPr>
      <w:r w:rsidRPr="00872AB9">
        <w:rPr>
          <w:rFonts w:ascii="Arial" w:hAnsi="Arial" w:cs="Arial"/>
          <w:b/>
        </w:rPr>
        <w:t>Under U.S. Federal law, the possession, use, cultivation, and transfer of cannabis is illega</w:t>
      </w:r>
      <w:r w:rsidRPr="0047594C">
        <w:rPr>
          <w:rFonts w:ascii="Arial" w:hAnsi="Arial" w:cs="Arial"/>
          <w:b/>
        </w:rPr>
        <w:t xml:space="preserve">l. The Issuer </w:t>
      </w:r>
      <w:r w:rsidRPr="005A5A95">
        <w:rPr>
          <w:rFonts w:ascii="Arial" w:hAnsi="Arial" w:cs="Arial"/>
          <w:b/>
        </w:rPr>
        <w:t>sells and transports cannabis to its</w:t>
      </w:r>
      <w:r w:rsidRPr="0047594C">
        <w:rPr>
          <w:rFonts w:ascii="Arial" w:hAnsi="Arial" w:cs="Arial"/>
          <w:b/>
        </w:rPr>
        <w:t xml:space="preserve"> customers </w:t>
      </w:r>
      <w:r w:rsidRPr="005A5A95">
        <w:rPr>
          <w:rFonts w:ascii="Arial" w:hAnsi="Arial" w:cs="Arial"/>
          <w:b/>
        </w:rPr>
        <w:t xml:space="preserve">who </w:t>
      </w:r>
      <w:r w:rsidRPr="0047594C">
        <w:rPr>
          <w:rFonts w:ascii="Arial" w:hAnsi="Arial" w:cs="Arial"/>
          <w:b/>
        </w:rPr>
        <w:t>are engaged in the possession, use, cultivation and transfer of cannabis. A</w:t>
      </w:r>
      <w:r w:rsidRPr="00872AB9">
        <w:rPr>
          <w:rFonts w:ascii="Arial" w:hAnsi="Arial" w:cs="Arial"/>
          <w:b/>
        </w:rPr>
        <w:t xml:space="preserve">s a result, law enforcement authorities may seek to bring an action or actions against the Issuer, on the basis of, but not limited to, a claim of aiding and abetting another criminal’s activities. The Issuer will vigorously defend all such actions but such actions would have a material effect on the Issuer’s business and operations. </w:t>
      </w:r>
    </w:p>
    <w:p w14:paraId="1EC3EA2B" w14:textId="348A56FD" w:rsidR="00F07A0C" w:rsidRPr="00A92518" w:rsidRDefault="00F07A0C" w:rsidP="00734FF6">
      <w:pPr>
        <w:pStyle w:val="Heading2"/>
        <w:ind w:left="0" w:firstLine="0"/>
        <w:rPr>
          <w:rFonts w:cs="Arial"/>
          <w:sz w:val="24"/>
          <w:u w:val="single"/>
        </w:rPr>
      </w:pPr>
      <w:r w:rsidRPr="00A92518">
        <w:rPr>
          <w:rFonts w:cs="Arial"/>
          <w:sz w:val="24"/>
          <w:u w:val="single"/>
        </w:rPr>
        <w:t>Regulatory Risks</w:t>
      </w:r>
    </w:p>
    <w:p w14:paraId="5CFB4405" w14:textId="77777777" w:rsidR="00F07A0C" w:rsidRDefault="00F07A0C" w:rsidP="00734FF6">
      <w:pPr>
        <w:pStyle w:val="BodyText"/>
        <w:jc w:val="both"/>
        <w:rPr>
          <w:rFonts w:ascii="Arial" w:hAnsi="Arial" w:cs="Arial"/>
          <w:b/>
        </w:rPr>
      </w:pPr>
      <w:r w:rsidRPr="003606E5">
        <w:rPr>
          <w:rFonts w:ascii="Arial" w:hAnsi="Arial" w:cs="Arial"/>
          <w:b/>
        </w:rPr>
        <w:t xml:space="preserve">The activities of the Issuer </w:t>
      </w:r>
      <w:r>
        <w:rPr>
          <w:rFonts w:ascii="Arial" w:hAnsi="Arial" w:cs="Arial"/>
          <w:b/>
        </w:rPr>
        <w:t xml:space="preserve">are </w:t>
      </w:r>
      <w:r w:rsidRPr="003606E5">
        <w:rPr>
          <w:rFonts w:ascii="Arial" w:hAnsi="Arial" w:cs="Arial"/>
          <w:b/>
        </w:rPr>
        <w:t>subject to intense regulation by governmental authorities. Achievement of the Issuer’s business objectives are contingent, in part, upon compliance with regulatory requirements enacted by these governmental authorities and obtaining all regulatory approvals, where necessary, for the sale of its products. The Issuer cannot predict the time required to secure all appropriate regulatory approvals for its products, or the extent of testing and documentation that may be required by governmental authorities. Any delays in obtaining, or failure to obtain regulatory approvals would significantly delay the development of markets and products and could have a material adverse effect on the business, results of operations and financial condition of the Issuer.</w:t>
      </w:r>
    </w:p>
    <w:p w14:paraId="2E6D49D6" w14:textId="77777777" w:rsidR="00F07A0C" w:rsidRPr="00A92518" w:rsidRDefault="00F07A0C" w:rsidP="00734FF6">
      <w:pPr>
        <w:pStyle w:val="Heading2"/>
        <w:ind w:left="0" w:firstLine="0"/>
        <w:rPr>
          <w:rFonts w:cs="Arial"/>
          <w:sz w:val="24"/>
          <w:u w:val="single"/>
        </w:rPr>
      </w:pPr>
      <w:r w:rsidRPr="00A92518">
        <w:rPr>
          <w:rFonts w:cs="Arial"/>
          <w:sz w:val="24"/>
          <w:u w:val="single"/>
        </w:rPr>
        <w:t>Risks Associated with Clearing Shares of Cannabis</w:t>
      </w:r>
      <w:r>
        <w:rPr>
          <w:rFonts w:cs="Arial"/>
          <w:sz w:val="24"/>
          <w:u w:val="single"/>
        </w:rPr>
        <w:t xml:space="preserve"> Companies with U.S. assets</w:t>
      </w:r>
    </w:p>
    <w:p w14:paraId="31B65E4D" w14:textId="77777777" w:rsidR="00F07A0C" w:rsidRDefault="00F07A0C" w:rsidP="00F07A0C">
      <w:pPr>
        <w:rPr>
          <w:rFonts w:ascii="Arial" w:hAnsi="Arial" w:cs="Arial"/>
        </w:rPr>
      </w:pPr>
    </w:p>
    <w:p w14:paraId="3C4C755B" w14:textId="77777777" w:rsidR="00F07A0C" w:rsidRDefault="00F07A0C" w:rsidP="00734FF6">
      <w:pPr>
        <w:jc w:val="both"/>
        <w:rPr>
          <w:rFonts w:ascii="Arial" w:hAnsi="Arial" w:cs="Arial"/>
        </w:rPr>
      </w:pPr>
      <w:r w:rsidRPr="00A92518">
        <w:rPr>
          <w:rFonts w:ascii="Arial" w:hAnsi="Arial" w:cs="Arial"/>
          <w:b/>
          <w:sz w:val="24"/>
          <w:lang w:val="en-GB"/>
        </w:rPr>
        <w:t>The Canadian Depository for Securities (CDS) is</w:t>
      </w:r>
      <w:r>
        <w:rPr>
          <w:rFonts w:ascii="Arial" w:hAnsi="Arial" w:cs="Arial"/>
          <w:b/>
          <w:sz w:val="24"/>
          <w:lang w:val="en-GB"/>
        </w:rPr>
        <w:t xml:space="preserve"> currently</w:t>
      </w:r>
      <w:r w:rsidRPr="00A92518">
        <w:rPr>
          <w:rFonts w:ascii="Arial" w:hAnsi="Arial" w:cs="Arial"/>
          <w:b/>
          <w:sz w:val="24"/>
          <w:lang w:val="en-GB"/>
        </w:rPr>
        <w:t xml:space="preserve"> reviewing </w:t>
      </w:r>
      <w:r>
        <w:rPr>
          <w:rFonts w:ascii="Arial" w:hAnsi="Arial" w:cs="Arial"/>
          <w:b/>
          <w:sz w:val="24"/>
          <w:lang w:val="en-GB"/>
        </w:rPr>
        <w:t xml:space="preserve">a possibility to change its policy which </w:t>
      </w:r>
      <w:r w:rsidRPr="00A92518">
        <w:rPr>
          <w:rFonts w:ascii="Arial" w:hAnsi="Arial" w:cs="Arial"/>
          <w:b/>
          <w:sz w:val="24"/>
          <w:lang w:val="en-GB"/>
        </w:rPr>
        <w:t xml:space="preserve">would </w:t>
      </w:r>
      <w:r>
        <w:rPr>
          <w:rFonts w:ascii="Arial" w:hAnsi="Arial" w:cs="Arial"/>
          <w:b/>
          <w:sz w:val="24"/>
          <w:lang w:val="en-GB"/>
        </w:rPr>
        <w:t xml:space="preserve">allow CDS to </w:t>
      </w:r>
      <w:r w:rsidRPr="00A92518">
        <w:rPr>
          <w:rFonts w:ascii="Arial" w:hAnsi="Arial" w:cs="Arial"/>
          <w:b/>
          <w:sz w:val="24"/>
          <w:lang w:val="en-GB"/>
        </w:rPr>
        <w:t>refuse to settle trades in a small group of cannabis f</w:t>
      </w:r>
      <w:r>
        <w:rPr>
          <w:rFonts w:ascii="Arial" w:hAnsi="Arial" w:cs="Arial"/>
          <w:b/>
          <w:sz w:val="24"/>
          <w:lang w:val="en-GB"/>
        </w:rPr>
        <w:t xml:space="preserve">irms with American investments. If implemented, this policy change would make it </w:t>
      </w:r>
      <w:r w:rsidRPr="00A92518">
        <w:rPr>
          <w:rFonts w:ascii="Arial" w:hAnsi="Arial" w:cs="Arial"/>
          <w:b/>
          <w:sz w:val="24"/>
          <w:lang w:val="en-GB"/>
        </w:rPr>
        <w:t>diff</w:t>
      </w:r>
      <w:r>
        <w:rPr>
          <w:rFonts w:ascii="Arial" w:hAnsi="Arial" w:cs="Arial"/>
          <w:b/>
          <w:sz w:val="24"/>
          <w:lang w:val="en-GB"/>
        </w:rPr>
        <w:t xml:space="preserve">icult for the Issuers’ current investors to trade the Issuer’s stock. The statement from the CSE made on Friday, August 4, 2017, noted that it continues to accept new stock listings of companies in the cannabis </w:t>
      </w:r>
      <w:r>
        <w:rPr>
          <w:rFonts w:ascii="Arial" w:hAnsi="Arial" w:cs="Arial"/>
          <w:b/>
          <w:sz w:val="24"/>
          <w:lang w:val="en-GB"/>
        </w:rPr>
        <w:lastRenderedPageBreak/>
        <w:t>industries as long as these companies meet disclosure rules and other listing standards. The Issuer believes that it is in compliance with all required standards and has provided its shareholders with all regulatory and risk disclosures that may apply to it.</w:t>
      </w:r>
    </w:p>
    <w:p w14:paraId="7E714170" w14:textId="77777777" w:rsidR="00F07A0C" w:rsidRDefault="00F07A0C" w:rsidP="00F07A0C">
      <w:pPr>
        <w:pStyle w:val="List"/>
        <w:spacing w:before="120"/>
        <w:jc w:val="both"/>
        <w:rPr>
          <w:rFonts w:ascii="Arial" w:hAnsi="Arial"/>
        </w:rPr>
      </w:pPr>
    </w:p>
    <w:p w14:paraId="62F56133"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7A9EDAAF" w14:textId="77777777" w:rsidR="00640E94" w:rsidRDefault="00640E94">
      <w:pPr>
        <w:pStyle w:val="BodyText"/>
        <w:keepNext/>
        <w:rPr>
          <w:rFonts w:ascii="Arial" w:hAnsi="Arial"/>
        </w:rPr>
      </w:pPr>
      <w:r>
        <w:rPr>
          <w:rFonts w:ascii="Arial" w:hAnsi="Arial"/>
        </w:rPr>
        <w:t>The undersigned hereby certifies that:</w:t>
      </w:r>
    </w:p>
    <w:p w14:paraId="3B3860C3"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7CE4F5F9"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6BD4930"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56ADC0D4"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62CB71BC" w14:textId="6FB00437" w:rsidR="00640E94" w:rsidRDefault="00640E94">
      <w:pPr>
        <w:pStyle w:val="BodyText"/>
        <w:tabs>
          <w:tab w:val="left" w:pos="4680"/>
          <w:tab w:val="left" w:pos="7200"/>
        </w:tabs>
        <w:spacing w:before="480"/>
        <w:jc w:val="both"/>
        <w:rPr>
          <w:rFonts w:ascii="Arial" w:hAnsi="Arial"/>
        </w:rPr>
      </w:pPr>
      <w:r>
        <w:rPr>
          <w:rFonts w:ascii="Arial" w:hAnsi="Arial"/>
        </w:rPr>
        <w:t>Dated</w:t>
      </w:r>
      <w:r w:rsidR="00F07A0C">
        <w:rPr>
          <w:rFonts w:ascii="Arial" w:hAnsi="Arial"/>
        </w:rPr>
        <w:t>:</w:t>
      </w:r>
      <w:r>
        <w:rPr>
          <w:rFonts w:ascii="Arial" w:hAnsi="Arial"/>
        </w:rPr>
        <w:t xml:space="preserve"> </w:t>
      </w:r>
      <w:r w:rsidR="00F07A0C">
        <w:rPr>
          <w:rFonts w:ascii="Arial" w:hAnsi="Arial"/>
        </w:rPr>
        <w:t xml:space="preserve"> </w:t>
      </w:r>
      <w:r w:rsidR="0056349B">
        <w:rPr>
          <w:rFonts w:ascii="Arial" w:hAnsi="Arial"/>
          <w:b/>
          <w:bCs/>
        </w:rPr>
        <w:t>Febr</w:t>
      </w:r>
      <w:r w:rsidR="00BA7AB8">
        <w:rPr>
          <w:rFonts w:ascii="Arial" w:hAnsi="Arial"/>
          <w:b/>
          <w:bCs/>
        </w:rPr>
        <w:t xml:space="preserve">uary </w:t>
      </w:r>
      <w:r w:rsidR="0056349B">
        <w:rPr>
          <w:rFonts w:ascii="Arial" w:hAnsi="Arial"/>
          <w:b/>
          <w:bCs/>
        </w:rPr>
        <w:t>6</w:t>
      </w:r>
      <w:r w:rsidR="00F07A0C" w:rsidRPr="00F07A0C">
        <w:rPr>
          <w:rFonts w:ascii="Arial" w:hAnsi="Arial"/>
          <w:b/>
          <w:bCs/>
        </w:rPr>
        <w:t>, 20</w:t>
      </w:r>
      <w:r w:rsidR="00BA7AB8">
        <w:rPr>
          <w:rFonts w:ascii="Arial" w:hAnsi="Arial"/>
          <w:b/>
          <w:bCs/>
        </w:rPr>
        <w:t>20</w:t>
      </w:r>
      <w:r w:rsidRPr="00F07A0C">
        <w:rPr>
          <w:rFonts w:ascii="Arial" w:hAnsi="Arial"/>
          <w:b/>
          <w:bCs/>
        </w:rPr>
        <w:t>.</w:t>
      </w:r>
    </w:p>
    <w:p w14:paraId="31D728A4" w14:textId="5E8BE2CE" w:rsidR="00640E94" w:rsidRDefault="00640E94">
      <w:pPr>
        <w:pStyle w:val="List"/>
        <w:tabs>
          <w:tab w:val="left" w:pos="9180"/>
        </w:tabs>
        <w:ind w:left="5760" w:hanging="5760"/>
        <w:rPr>
          <w:rFonts w:ascii="Arial" w:hAnsi="Arial"/>
        </w:rPr>
      </w:pPr>
      <w:r>
        <w:rPr>
          <w:rFonts w:ascii="Arial" w:hAnsi="Arial"/>
        </w:rPr>
        <w:tab/>
      </w:r>
      <w:r w:rsidR="00F07A0C" w:rsidRPr="00F07A0C">
        <w:rPr>
          <w:rFonts w:ascii="Arial" w:hAnsi="Arial"/>
          <w:u w:val="single"/>
        </w:rPr>
        <w:t>Michele Pillon</w:t>
      </w:r>
      <w:r w:rsidRPr="00F07A0C">
        <w:rPr>
          <w:rFonts w:ascii="Arial" w:hAnsi="Arial"/>
          <w:u w:val="single"/>
        </w:rPr>
        <w:tab/>
      </w:r>
      <w:r>
        <w:rPr>
          <w:rFonts w:ascii="Arial" w:hAnsi="Arial"/>
          <w:u w:val="single"/>
        </w:rPr>
        <w:br/>
      </w:r>
      <w:r>
        <w:rPr>
          <w:rFonts w:ascii="Arial" w:hAnsi="Arial"/>
        </w:rPr>
        <w:t>Name of Director or Senior Officer</w:t>
      </w:r>
    </w:p>
    <w:p w14:paraId="263EF246" w14:textId="1DA9CF5F" w:rsidR="00640E94" w:rsidRDefault="00640E94">
      <w:pPr>
        <w:pStyle w:val="List"/>
        <w:tabs>
          <w:tab w:val="left" w:pos="9180"/>
          <w:tab w:val="left" w:pos="9360"/>
        </w:tabs>
        <w:ind w:left="5760" w:hanging="5760"/>
        <w:rPr>
          <w:rFonts w:ascii="Arial" w:hAnsi="Arial"/>
        </w:rPr>
      </w:pPr>
      <w:r>
        <w:rPr>
          <w:rFonts w:ascii="Arial" w:hAnsi="Arial"/>
        </w:rPr>
        <w:tab/>
      </w:r>
      <w:r w:rsidR="00CB4DFE">
        <w:rPr>
          <w:rFonts w:ascii="Arial" w:hAnsi="Arial"/>
        </w:rPr>
        <w:t>“Michele Pillon”</w:t>
      </w:r>
      <w:r>
        <w:rPr>
          <w:rFonts w:ascii="Arial" w:hAnsi="Arial"/>
          <w:u w:val="single"/>
        </w:rPr>
        <w:tab/>
      </w:r>
      <w:r>
        <w:rPr>
          <w:rFonts w:ascii="Arial" w:hAnsi="Arial"/>
        </w:rPr>
        <w:br/>
        <w:t>Signature</w:t>
      </w:r>
    </w:p>
    <w:p w14:paraId="57E120F9" w14:textId="3AB34D91" w:rsidR="00640E94" w:rsidRDefault="00F07A0C">
      <w:pPr>
        <w:pStyle w:val="BodyText"/>
        <w:tabs>
          <w:tab w:val="left" w:pos="9180"/>
        </w:tabs>
        <w:spacing w:before="0"/>
        <w:ind w:left="5760"/>
        <w:rPr>
          <w:rFonts w:ascii="Arial" w:hAnsi="Arial"/>
        </w:rPr>
      </w:pPr>
      <w:r>
        <w:rPr>
          <w:rFonts w:ascii="Arial" w:hAnsi="Arial"/>
          <w:u w:val="single"/>
        </w:rPr>
        <w:t>CFO</w:t>
      </w:r>
      <w:r w:rsidR="00640E94">
        <w:rPr>
          <w:rFonts w:ascii="Arial" w:hAnsi="Arial"/>
          <w:u w:val="single"/>
        </w:rPr>
        <w:tab/>
      </w:r>
      <w:r w:rsidR="00640E94">
        <w:rPr>
          <w:rFonts w:ascii="Arial" w:hAnsi="Arial"/>
        </w:rPr>
        <w:br/>
        <w:t>Official Capacity</w:t>
      </w:r>
      <w:bookmarkEnd w:id="4"/>
    </w:p>
    <w:p w14:paraId="72BADD7A" w14:textId="77777777" w:rsidR="00640E94" w:rsidRDefault="00640E94">
      <w:pPr>
        <w:pStyle w:val="BodyText"/>
        <w:tabs>
          <w:tab w:val="left" w:pos="9180"/>
        </w:tabs>
        <w:spacing w:before="0"/>
        <w:ind w:left="5760"/>
        <w:rPr>
          <w:rFonts w:ascii="Arial" w:hAnsi="Arial"/>
        </w:rPr>
      </w:pPr>
    </w:p>
    <w:tbl>
      <w:tblPr>
        <w:tblW w:w="954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117"/>
        <w:gridCol w:w="2520"/>
        <w:gridCol w:w="2902"/>
        <w:gridCol w:w="8"/>
      </w:tblGrid>
      <w:tr w:rsidR="00640E94" w14:paraId="189D8826" w14:textId="77777777" w:rsidTr="00F07A0C">
        <w:trPr>
          <w:gridAfter w:val="1"/>
          <w:wAfter w:w="8" w:type="dxa"/>
        </w:trPr>
        <w:tc>
          <w:tcPr>
            <w:tcW w:w="4117" w:type="dxa"/>
            <w:tcBorders>
              <w:top w:val="single" w:sz="18" w:space="0" w:color="auto"/>
              <w:bottom w:val="nil"/>
              <w:right w:val="single" w:sz="18" w:space="0" w:color="auto"/>
            </w:tcBorders>
          </w:tcPr>
          <w:p w14:paraId="05CF762D" w14:textId="77777777" w:rsidR="00640E94" w:rsidRDefault="00640E94">
            <w:pPr>
              <w:pStyle w:val="BodyText"/>
              <w:spacing w:before="0"/>
              <w:rPr>
                <w:rFonts w:ascii="Arial" w:hAnsi="Arial"/>
                <w:b/>
                <w:i/>
              </w:rPr>
            </w:pPr>
            <w:r>
              <w:rPr>
                <w:rFonts w:ascii="Arial" w:hAnsi="Arial"/>
                <w:b/>
                <w:i/>
              </w:rPr>
              <w:t>Issuer Details</w:t>
            </w:r>
          </w:p>
          <w:p w14:paraId="02F562B6" w14:textId="77777777" w:rsidR="00640E94" w:rsidRDefault="00640E94">
            <w:pPr>
              <w:pStyle w:val="BodyText"/>
              <w:spacing w:before="0"/>
              <w:rPr>
                <w:rFonts w:ascii="Arial" w:hAnsi="Arial"/>
              </w:rPr>
            </w:pPr>
            <w:r>
              <w:rPr>
                <w:rFonts w:ascii="Arial" w:hAnsi="Arial"/>
              </w:rPr>
              <w:t>Name of Issuer</w:t>
            </w:r>
          </w:p>
          <w:p w14:paraId="1AD882BD" w14:textId="1738E4D7" w:rsidR="00640E94" w:rsidRDefault="00F07A0C">
            <w:pPr>
              <w:pStyle w:val="BodyText"/>
              <w:rPr>
                <w:rFonts w:ascii="Arial" w:hAnsi="Arial"/>
              </w:rPr>
            </w:pPr>
            <w:r>
              <w:rPr>
                <w:rFonts w:ascii="Arial" w:hAnsi="Arial"/>
              </w:rPr>
              <w:t>TransCanna Holdings Inc.</w:t>
            </w:r>
          </w:p>
        </w:tc>
        <w:tc>
          <w:tcPr>
            <w:tcW w:w="2520" w:type="dxa"/>
            <w:tcBorders>
              <w:top w:val="single" w:sz="18" w:space="0" w:color="auto"/>
              <w:left w:val="single" w:sz="18" w:space="0" w:color="auto"/>
              <w:bottom w:val="nil"/>
              <w:right w:val="single" w:sz="18" w:space="0" w:color="auto"/>
            </w:tcBorders>
          </w:tcPr>
          <w:p w14:paraId="7E669C83" w14:textId="7507ED46" w:rsidR="00640E94" w:rsidRDefault="00640E94">
            <w:pPr>
              <w:pStyle w:val="BodyText"/>
              <w:spacing w:before="0"/>
              <w:rPr>
                <w:rFonts w:ascii="Arial" w:hAnsi="Arial"/>
              </w:rPr>
            </w:pPr>
            <w:r>
              <w:rPr>
                <w:rFonts w:ascii="Arial" w:hAnsi="Arial"/>
              </w:rPr>
              <w:t>For Month End</w:t>
            </w:r>
          </w:p>
          <w:p w14:paraId="306C04B8" w14:textId="77777777" w:rsidR="00F07A0C" w:rsidRDefault="00F07A0C">
            <w:pPr>
              <w:pStyle w:val="BodyText"/>
              <w:spacing w:before="0"/>
              <w:rPr>
                <w:rFonts w:ascii="Arial" w:hAnsi="Arial"/>
              </w:rPr>
            </w:pPr>
          </w:p>
          <w:p w14:paraId="05E68F4E" w14:textId="77777777" w:rsidR="00F07A0C" w:rsidRDefault="00F07A0C">
            <w:pPr>
              <w:pStyle w:val="BodyText"/>
              <w:spacing w:before="0"/>
              <w:rPr>
                <w:rFonts w:ascii="Arial" w:hAnsi="Arial"/>
              </w:rPr>
            </w:pPr>
          </w:p>
          <w:p w14:paraId="7F1C3CFD" w14:textId="1AB8D076" w:rsidR="00F07A0C" w:rsidRDefault="0056349B">
            <w:pPr>
              <w:pStyle w:val="BodyText"/>
              <w:spacing w:before="0"/>
              <w:rPr>
                <w:rFonts w:ascii="Arial" w:hAnsi="Arial"/>
              </w:rPr>
            </w:pPr>
            <w:r>
              <w:rPr>
                <w:rFonts w:ascii="Arial" w:hAnsi="Arial"/>
              </w:rPr>
              <w:t>January</w:t>
            </w:r>
            <w:r w:rsidR="00C441AB">
              <w:rPr>
                <w:rFonts w:ascii="Arial" w:hAnsi="Arial"/>
              </w:rPr>
              <w:t xml:space="preserve"> 3</w:t>
            </w:r>
            <w:r w:rsidR="00BA7AB8">
              <w:rPr>
                <w:rFonts w:ascii="Arial" w:hAnsi="Arial"/>
              </w:rPr>
              <w:t>1</w:t>
            </w:r>
            <w:r w:rsidR="00F07A0C">
              <w:rPr>
                <w:rFonts w:ascii="Arial" w:hAnsi="Arial"/>
              </w:rPr>
              <w:t>, 20</w:t>
            </w:r>
            <w:r>
              <w:rPr>
                <w:rFonts w:ascii="Arial" w:hAnsi="Arial"/>
              </w:rPr>
              <w:t>20</w:t>
            </w:r>
          </w:p>
        </w:tc>
        <w:tc>
          <w:tcPr>
            <w:tcW w:w="2902" w:type="dxa"/>
            <w:tcBorders>
              <w:top w:val="single" w:sz="18" w:space="0" w:color="auto"/>
              <w:left w:val="single" w:sz="18" w:space="0" w:color="auto"/>
              <w:bottom w:val="nil"/>
            </w:tcBorders>
          </w:tcPr>
          <w:p w14:paraId="795CACD1" w14:textId="77777777" w:rsidR="00640E94" w:rsidRDefault="00640E94">
            <w:pPr>
              <w:pStyle w:val="BodyText"/>
              <w:spacing w:before="0"/>
              <w:rPr>
                <w:rFonts w:ascii="Arial" w:hAnsi="Arial"/>
              </w:rPr>
            </w:pPr>
            <w:r>
              <w:rPr>
                <w:rFonts w:ascii="Arial" w:hAnsi="Arial"/>
              </w:rPr>
              <w:t>Date of Report</w:t>
            </w:r>
          </w:p>
          <w:p w14:paraId="5CB082CC" w14:textId="77777777" w:rsidR="00640E94" w:rsidRDefault="00640E94">
            <w:pPr>
              <w:pStyle w:val="BodyText"/>
              <w:spacing w:before="0"/>
              <w:rPr>
                <w:rFonts w:ascii="Arial" w:hAnsi="Arial"/>
              </w:rPr>
            </w:pPr>
            <w:r>
              <w:rPr>
                <w:rFonts w:ascii="Arial" w:hAnsi="Arial"/>
              </w:rPr>
              <w:t>YY/MM/D</w:t>
            </w:r>
          </w:p>
          <w:p w14:paraId="19EEF6C9" w14:textId="77777777" w:rsidR="00F07A0C" w:rsidRDefault="00F07A0C">
            <w:pPr>
              <w:pStyle w:val="BodyText"/>
              <w:spacing w:before="0"/>
              <w:rPr>
                <w:rFonts w:ascii="Arial" w:hAnsi="Arial"/>
              </w:rPr>
            </w:pPr>
          </w:p>
          <w:p w14:paraId="735ED851" w14:textId="24F55150" w:rsidR="00F07A0C" w:rsidRDefault="00BA7AB8">
            <w:pPr>
              <w:pStyle w:val="BodyText"/>
              <w:spacing w:before="0"/>
              <w:rPr>
                <w:rFonts w:ascii="Arial" w:hAnsi="Arial"/>
              </w:rPr>
            </w:pPr>
            <w:r>
              <w:rPr>
                <w:rFonts w:ascii="Arial" w:hAnsi="Arial"/>
              </w:rPr>
              <w:t>20</w:t>
            </w:r>
            <w:r w:rsidR="00F07A0C">
              <w:rPr>
                <w:rFonts w:ascii="Arial" w:hAnsi="Arial"/>
              </w:rPr>
              <w:t>/</w:t>
            </w:r>
            <w:r>
              <w:rPr>
                <w:rFonts w:ascii="Arial" w:hAnsi="Arial"/>
              </w:rPr>
              <w:t>0</w:t>
            </w:r>
            <w:r w:rsidR="0056349B">
              <w:rPr>
                <w:rFonts w:ascii="Arial" w:hAnsi="Arial"/>
              </w:rPr>
              <w:t>2</w:t>
            </w:r>
            <w:r w:rsidR="00F07A0C">
              <w:rPr>
                <w:rFonts w:ascii="Arial" w:hAnsi="Arial"/>
              </w:rPr>
              <w:t>/</w:t>
            </w:r>
            <w:r>
              <w:rPr>
                <w:rFonts w:ascii="Arial" w:hAnsi="Arial"/>
              </w:rPr>
              <w:t>0</w:t>
            </w:r>
            <w:r w:rsidR="0056349B">
              <w:rPr>
                <w:rFonts w:ascii="Arial" w:hAnsi="Arial"/>
              </w:rPr>
              <w:t>6</w:t>
            </w:r>
          </w:p>
        </w:tc>
      </w:tr>
      <w:tr w:rsidR="00640E94" w14:paraId="47357825" w14:textId="77777777" w:rsidTr="00F07A0C">
        <w:trPr>
          <w:cantSplit/>
        </w:trPr>
        <w:tc>
          <w:tcPr>
            <w:tcW w:w="9547" w:type="dxa"/>
            <w:gridSpan w:val="4"/>
            <w:tcBorders>
              <w:top w:val="single" w:sz="18" w:space="0" w:color="auto"/>
              <w:bottom w:val="single" w:sz="18" w:space="0" w:color="auto"/>
            </w:tcBorders>
          </w:tcPr>
          <w:p w14:paraId="6E7CE2DB" w14:textId="77777777" w:rsidR="00640E94" w:rsidRDefault="00640E94">
            <w:pPr>
              <w:pStyle w:val="BodyText"/>
              <w:spacing w:before="0"/>
              <w:rPr>
                <w:rFonts w:ascii="Arial" w:hAnsi="Arial"/>
              </w:rPr>
            </w:pPr>
            <w:r>
              <w:rPr>
                <w:rFonts w:ascii="Arial" w:hAnsi="Arial"/>
              </w:rPr>
              <w:t>Issuer Address</w:t>
            </w:r>
          </w:p>
          <w:p w14:paraId="4817EF95" w14:textId="77777777" w:rsidR="00640E94" w:rsidRDefault="00640E94">
            <w:pPr>
              <w:pStyle w:val="BodyText"/>
              <w:spacing w:before="0"/>
              <w:rPr>
                <w:rFonts w:ascii="Arial" w:hAnsi="Arial"/>
              </w:rPr>
            </w:pPr>
          </w:p>
          <w:p w14:paraId="594F0311" w14:textId="7595FBF0" w:rsidR="00640E94" w:rsidRDefault="00F07A0C">
            <w:pPr>
              <w:pStyle w:val="BodyText"/>
              <w:spacing w:before="0"/>
              <w:rPr>
                <w:rFonts w:ascii="Arial" w:hAnsi="Arial"/>
              </w:rPr>
            </w:pPr>
            <w:r>
              <w:rPr>
                <w:rFonts w:ascii="Arial" w:hAnsi="Arial"/>
              </w:rPr>
              <w:t>#928 – 1030 West Georgia St.</w:t>
            </w:r>
          </w:p>
        </w:tc>
      </w:tr>
      <w:tr w:rsidR="00640E94" w14:paraId="1AF76B29" w14:textId="77777777" w:rsidTr="00F07A0C">
        <w:trPr>
          <w:gridAfter w:val="1"/>
          <w:wAfter w:w="8" w:type="dxa"/>
        </w:trPr>
        <w:tc>
          <w:tcPr>
            <w:tcW w:w="4117" w:type="dxa"/>
            <w:tcBorders>
              <w:top w:val="single" w:sz="18" w:space="0" w:color="auto"/>
              <w:bottom w:val="single" w:sz="18" w:space="0" w:color="auto"/>
              <w:right w:val="single" w:sz="18" w:space="0" w:color="auto"/>
            </w:tcBorders>
          </w:tcPr>
          <w:p w14:paraId="694EFC87" w14:textId="77777777" w:rsidR="00640E94" w:rsidRDefault="00640E94">
            <w:pPr>
              <w:pStyle w:val="BodyText"/>
              <w:spacing w:before="0"/>
              <w:rPr>
                <w:rFonts w:ascii="Arial" w:hAnsi="Arial"/>
              </w:rPr>
            </w:pPr>
            <w:r>
              <w:rPr>
                <w:rFonts w:ascii="Arial" w:hAnsi="Arial"/>
              </w:rPr>
              <w:t>City/Province/Postal Code</w:t>
            </w:r>
          </w:p>
          <w:p w14:paraId="163AC620" w14:textId="77777777" w:rsidR="00640E94" w:rsidRDefault="00640E94">
            <w:pPr>
              <w:pStyle w:val="BodyText"/>
              <w:spacing w:before="0"/>
              <w:rPr>
                <w:rFonts w:ascii="Arial" w:hAnsi="Arial"/>
              </w:rPr>
            </w:pPr>
          </w:p>
          <w:p w14:paraId="67CF6F7F" w14:textId="6F2EC81B" w:rsidR="00640E94" w:rsidRDefault="00F07A0C">
            <w:pPr>
              <w:pStyle w:val="BodyText"/>
              <w:spacing w:before="0"/>
              <w:rPr>
                <w:rFonts w:ascii="Arial" w:hAnsi="Arial"/>
              </w:rPr>
            </w:pPr>
            <w:r>
              <w:rPr>
                <w:rFonts w:ascii="Arial" w:hAnsi="Arial"/>
              </w:rPr>
              <w:t>Vancouver, BC V6E 2Y3</w:t>
            </w:r>
          </w:p>
        </w:tc>
        <w:tc>
          <w:tcPr>
            <w:tcW w:w="2520" w:type="dxa"/>
            <w:tcBorders>
              <w:top w:val="single" w:sz="18" w:space="0" w:color="auto"/>
              <w:left w:val="single" w:sz="18" w:space="0" w:color="auto"/>
              <w:bottom w:val="single" w:sz="18" w:space="0" w:color="auto"/>
              <w:right w:val="single" w:sz="18" w:space="0" w:color="auto"/>
            </w:tcBorders>
          </w:tcPr>
          <w:p w14:paraId="1BF54BFB" w14:textId="77777777" w:rsidR="00640E94" w:rsidRDefault="00640E94">
            <w:pPr>
              <w:pStyle w:val="BodyText"/>
              <w:spacing w:before="0"/>
              <w:rPr>
                <w:rFonts w:ascii="Arial" w:hAnsi="Arial"/>
              </w:rPr>
            </w:pPr>
            <w:r>
              <w:rPr>
                <w:rFonts w:ascii="Arial" w:hAnsi="Arial"/>
              </w:rPr>
              <w:t>Issuer Fax No.</w:t>
            </w:r>
          </w:p>
          <w:p w14:paraId="2C70A4CA" w14:textId="77777777" w:rsidR="00640E94" w:rsidRDefault="00640E94">
            <w:pPr>
              <w:pStyle w:val="BodyText"/>
              <w:spacing w:before="0"/>
              <w:rPr>
                <w:rFonts w:ascii="Arial" w:hAnsi="Arial"/>
              </w:rPr>
            </w:pPr>
            <w:r>
              <w:rPr>
                <w:rFonts w:ascii="Arial" w:hAnsi="Arial"/>
              </w:rPr>
              <w:t>(     )</w:t>
            </w:r>
          </w:p>
        </w:tc>
        <w:tc>
          <w:tcPr>
            <w:tcW w:w="2902" w:type="dxa"/>
            <w:tcBorders>
              <w:top w:val="single" w:sz="18" w:space="0" w:color="auto"/>
              <w:left w:val="single" w:sz="18" w:space="0" w:color="auto"/>
              <w:bottom w:val="single" w:sz="18" w:space="0" w:color="auto"/>
            </w:tcBorders>
          </w:tcPr>
          <w:p w14:paraId="786EB398" w14:textId="77777777" w:rsidR="00640E94" w:rsidRDefault="00640E94">
            <w:pPr>
              <w:pStyle w:val="BodyText"/>
              <w:spacing w:before="0"/>
              <w:rPr>
                <w:rFonts w:ascii="Arial" w:hAnsi="Arial"/>
              </w:rPr>
            </w:pPr>
            <w:r>
              <w:rPr>
                <w:rFonts w:ascii="Arial" w:hAnsi="Arial"/>
              </w:rPr>
              <w:t>Issuer Telephone No.</w:t>
            </w:r>
          </w:p>
          <w:p w14:paraId="49ECC2BB" w14:textId="77777777" w:rsidR="00640E94" w:rsidRDefault="00640E94">
            <w:pPr>
              <w:pStyle w:val="BodyText"/>
              <w:spacing w:before="0"/>
              <w:rPr>
                <w:rFonts w:ascii="Arial" w:hAnsi="Arial"/>
              </w:rPr>
            </w:pPr>
            <w:r>
              <w:rPr>
                <w:rFonts w:ascii="Arial" w:hAnsi="Arial"/>
              </w:rPr>
              <w:t>(     )</w:t>
            </w:r>
          </w:p>
        </w:tc>
      </w:tr>
      <w:tr w:rsidR="00640E94" w14:paraId="3D97D06B" w14:textId="77777777" w:rsidTr="00F07A0C">
        <w:trPr>
          <w:gridAfter w:val="1"/>
          <w:wAfter w:w="8" w:type="dxa"/>
        </w:trPr>
        <w:tc>
          <w:tcPr>
            <w:tcW w:w="4117" w:type="dxa"/>
            <w:tcBorders>
              <w:top w:val="single" w:sz="18" w:space="0" w:color="auto"/>
              <w:bottom w:val="single" w:sz="18" w:space="0" w:color="auto"/>
              <w:right w:val="single" w:sz="18" w:space="0" w:color="auto"/>
            </w:tcBorders>
          </w:tcPr>
          <w:p w14:paraId="20D6B49A" w14:textId="77777777" w:rsidR="00640E94" w:rsidRDefault="00640E94">
            <w:pPr>
              <w:pStyle w:val="BodyText"/>
              <w:spacing w:before="0"/>
              <w:rPr>
                <w:rFonts w:ascii="Arial" w:hAnsi="Arial"/>
              </w:rPr>
            </w:pPr>
            <w:r>
              <w:rPr>
                <w:rFonts w:ascii="Arial" w:hAnsi="Arial"/>
              </w:rPr>
              <w:t>Contact Name</w:t>
            </w:r>
          </w:p>
          <w:p w14:paraId="67DB2DF7" w14:textId="77777777" w:rsidR="00640E94" w:rsidRDefault="00640E94">
            <w:pPr>
              <w:pStyle w:val="BodyText"/>
              <w:spacing w:before="0"/>
              <w:rPr>
                <w:rFonts w:ascii="Arial" w:hAnsi="Arial"/>
              </w:rPr>
            </w:pPr>
          </w:p>
          <w:p w14:paraId="5E7F5B82" w14:textId="055346C4" w:rsidR="00640E94" w:rsidRDefault="00F07A0C">
            <w:pPr>
              <w:pStyle w:val="BodyText"/>
              <w:spacing w:before="0"/>
              <w:rPr>
                <w:rFonts w:ascii="Arial" w:hAnsi="Arial"/>
              </w:rPr>
            </w:pPr>
            <w:r>
              <w:rPr>
                <w:rFonts w:ascii="Arial" w:hAnsi="Arial"/>
              </w:rPr>
              <w:t>Michele Pillon</w:t>
            </w:r>
          </w:p>
        </w:tc>
        <w:tc>
          <w:tcPr>
            <w:tcW w:w="2520" w:type="dxa"/>
            <w:tcBorders>
              <w:top w:val="single" w:sz="18" w:space="0" w:color="auto"/>
              <w:left w:val="single" w:sz="18" w:space="0" w:color="auto"/>
              <w:bottom w:val="single" w:sz="18" w:space="0" w:color="auto"/>
              <w:right w:val="single" w:sz="18" w:space="0" w:color="auto"/>
            </w:tcBorders>
          </w:tcPr>
          <w:p w14:paraId="1970B8CD" w14:textId="77777777" w:rsidR="00640E94" w:rsidRDefault="00640E94">
            <w:pPr>
              <w:pStyle w:val="BodyText"/>
              <w:spacing w:before="0"/>
              <w:rPr>
                <w:rFonts w:ascii="Arial" w:hAnsi="Arial"/>
              </w:rPr>
            </w:pPr>
            <w:r>
              <w:rPr>
                <w:rFonts w:ascii="Arial" w:hAnsi="Arial"/>
              </w:rPr>
              <w:t>Contact Position</w:t>
            </w:r>
          </w:p>
          <w:p w14:paraId="683F6FC5" w14:textId="77777777" w:rsidR="00F07A0C" w:rsidRDefault="00F07A0C">
            <w:pPr>
              <w:pStyle w:val="BodyText"/>
              <w:spacing w:before="0"/>
              <w:rPr>
                <w:rFonts w:ascii="Arial" w:hAnsi="Arial"/>
              </w:rPr>
            </w:pPr>
          </w:p>
          <w:p w14:paraId="56E670F4" w14:textId="76756173" w:rsidR="00F07A0C" w:rsidRDefault="00F07A0C">
            <w:pPr>
              <w:pStyle w:val="BodyText"/>
              <w:spacing w:before="0"/>
              <w:rPr>
                <w:rFonts w:ascii="Arial" w:hAnsi="Arial"/>
              </w:rPr>
            </w:pPr>
            <w:r>
              <w:rPr>
                <w:rFonts w:ascii="Arial" w:hAnsi="Arial"/>
              </w:rPr>
              <w:t>CFO</w:t>
            </w:r>
          </w:p>
        </w:tc>
        <w:tc>
          <w:tcPr>
            <w:tcW w:w="2902" w:type="dxa"/>
            <w:tcBorders>
              <w:top w:val="single" w:sz="18" w:space="0" w:color="auto"/>
              <w:left w:val="single" w:sz="18" w:space="0" w:color="auto"/>
              <w:bottom w:val="single" w:sz="18" w:space="0" w:color="auto"/>
            </w:tcBorders>
          </w:tcPr>
          <w:p w14:paraId="79184523" w14:textId="77777777" w:rsidR="00640E94" w:rsidRDefault="00640E94">
            <w:pPr>
              <w:pStyle w:val="BodyText"/>
              <w:spacing w:before="0"/>
              <w:rPr>
                <w:rFonts w:ascii="Arial" w:hAnsi="Arial"/>
              </w:rPr>
            </w:pPr>
            <w:r>
              <w:rPr>
                <w:rFonts w:ascii="Arial" w:hAnsi="Arial"/>
              </w:rPr>
              <w:t>Contact Telephone No.</w:t>
            </w:r>
          </w:p>
          <w:p w14:paraId="1C748531" w14:textId="77777777" w:rsidR="00F07A0C" w:rsidRDefault="00F07A0C">
            <w:pPr>
              <w:pStyle w:val="BodyText"/>
              <w:spacing w:before="0"/>
              <w:rPr>
                <w:rFonts w:ascii="Arial" w:hAnsi="Arial"/>
              </w:rPr>
            </w:pPr>
          </w:p>
          <w:p w14:paraId="61881B9A" w14:textId="53A17F49" w:rsidR="00F07A0C" w:rsidRDefault="00F07A0C">
            <w:pPr>
              <w:pStyle w:val="BodyText"/>
              <w:spacing w:before="0"/>
              <w:rPr>
                <w:rFonts w:ascii="Arial" w:hAnsi="Arial"/>
              </w:rPr>
            </w:pPr>
            <w:r>
              <w:rPr>
                <w:rFonts w:ascii="Arial" w:hAnsi="Arial"/>
              </w:rPr>
              <w:t>604-657-2109</w:t>
            </w:r>
          </w:p>
        </w:tc>
      </w:tr>
      <w:tr w:rsidR="00640E94" w14:paraId="43BFD0A6" w14:textId="77777777" w:rsidTr="00F07A0C">
        <w:trPr>
          <w:cantSplit/>
        </w:trPr>
        <w:tc>
          <w:tcPr>
            <w:tcW w:w="4117" w:type="dxa"/>
            <w:tcBorders>
              <w:top w:val="single" w:sz="18" w:space="0" w:color="auto"/>
              <w:bottom w:val="single" w:sz="18" w:space="0" w:color="auto"/>
              <w:right w:val="single" w:sz="18" w:space="0" w:color="auto"/>
            </w:tcBorders>
          </w:tcPr>
          <w:p w14:paraId="04235AD0" w14:textId="77777777" w:rsidR="00640E94" w:rsidRDefault="00640E94">
            <w:pPr>
              <w:pStyle w:val="BodyText"/>
              <w:spacing w:before="0"/>
              <w:rPr>
                <w:rFonts w:ascii="Arial" w:hAnsi="Arial"/>
              </w:rPr>
            </w:pPr>
            <w:r>
              <w:rPr>
                <w:rFonts w:ascii="Arial" w:hAnsi="Arial"/>
              </w:rPr>
              <w:t>Contact Email Address</w:t>
            </w:r>
          </w:p>
          <w:p w14:paraId="5B5F8B0B" w14:textId="6FF83838" w:rsidR="00640E94" w:rsidRDefault="00F07A0C">
            <w:pPr>
              <w:pStyle w:val="BodyText"/>
              <w:spacing w:before="0"/>
              <w:rPr>
                <w:rFonts w:ascii="Arial" w:hAnsi="Arial"/>
              </w:rPr>
            </w:pPr>
            <w:r>
              <w:rPr>
                <w:rFonts w:ascii="Arial" w:hAnsi="Arial"/>
              </w:rPr>
              <w:t>mpillon@transcanna.com</w:t>
            </w:r>
          </w:p>
        </w:tc>
        <w:tc>
          <w:tcPr>
            <w:tcW w:w="5430" w:type="dxa"/>
            <w:gridSpan w:val="3"/>
            <w:tcBorders>
              <w:top w:val="single" w:sz="18" w:space="0" w:color="auto"/>
              <w:left w:val="single" w:sz="18" w:space="0" w:color="auto"/>
              <w:bottom w:val="single" w:sz="18" w:space="0" w:color="auto"/>
            </w:tcBorders>
          </w:tcPr>
          <w:p w14:paraId="7B6608A6" w14:textId="77777777" w:rsidR="00640E94" w:rsidRDefault="00640E94">
            <w:pPr>
              <w:pStyle w:val="BodyText"/>
              <w:spacing w:before="0"/>
              <w:rPr>
                <w:rFonts w:ascii="Arial" w:hAnsi="Arial"/>
              </w:rPr>
            </w:pPr>
            <w:r>
              <w:rPr>
                <w:rFonts w:ascii="Arial" w:hAnsi="Arial"/>
              </w:rPr>
              <w:t>Web Site Address</w:t>
            </w:r>
          </w:p>
          <w:p w14:paraId="1466B87A" w14:textId="0C3294E8" w:rsidR="00640E94" w:rsidRDefault="00F07A0C">
            <w:pPr>
              <w:pStyle w:val="BodyText"/>
              <w:spacing w:before="0"/>
              <w:rPr>
                <w:rFonts w:ascii="Arial" w:hAnsi="Arial"/>
              </w:rPr>
            </w:pPr>
            <w:r>
              <w:rPr>
                <w:rFonts w:ascii="Arial" w:hAnsi="Arial"/>
              </w:rPr>
              <w:t>www.transcanna.com</w:t>
            </w:r>
          </w:p>
        </w:tc>
      </w:tr>
    </w:tbl>
    <w:p w14:paraId="30B45037" w14:textId="77777777"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8E7B6" w14:textId="77777777" w:rsidR="00FB2247" w:rsidRDefault="00FB2247">
      <w:r>
        <w:separator/>
      </w:r>
    </w:p>
  </w:endnote>
  <w:endnote w:type="continuationSeparator" w:id="0">
    <w:p w14:paraId="1D51ED78" w14:textId="77777777" w:rsidR="00FB2247" w:rsidRDefault="00FB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Regular">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EBD3F" w14:textId="77777777" w:rsidR="00640E94" w:rsidRDefault="00640E94">
    <w:pPr>
      <w:pStyle w:val="Footer"/>
      <w:tabs>
        <w:tab w:val="clear" w:pos="4320"/>
        <w:tab w:val="clear" w:pos="8640"/>
        <w:tab w:val="center" w:pos="4680"/>
        <w:tab w:val="right" w:pos="9360"/>
      </w:tabs>
      <w:rPr>
        <w:b/>
      </w:rPr>
    </w:pPr>
  </w:p>
  <w:p w14:paraId="554EF1C7"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34472EA" wp14:editId="63F94915">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F3777"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509E3B9B"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1617AC1"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33FF5" w14:textId="77777777" w:rsidR="00640E94" w:rsidRDefault="00640E94">
    <w:pPr>
      <w:pStyle w:val="Footer"/>
      <w:tabs>
        <w:tab w:val="clear" w:pos="4320"/>
        <w:tab w:val="clear" w:pos="8640"/>
        <w:tab w:val="center" w:pos="4680"/>
        <w:tab w:val="right" w:pos="9360"/>
      </w:tabs>
      <w:rPr>
        <w:b/>
      </w:rPr>
    </w:pPr>
  </w:p>
  <w:p w14:paraId="5A7964B5"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D758ECE" wp14:editId="51F46F6B">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92F9B"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7E195143"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C4F6B8E"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9B141" w14:textId="77777777" w:rsidR="00FB2247" w:rsidRDefault="00FB2247">
      <w:r>
        <w:separator/>
      </w:r>
    </w:p>
  </w:footnote>
  <w:footnote w:type="continuationSeparator" w:id="0">
    <w:p w14:paraId="3353387F" w14:textId="77777777" w:rsidR="00FB2247" w:rsidRDefault="00FB2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F3340"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92DFC82"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8B97B"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SyMDU2MjEyt7A0MTdV0lEKTi0uzszPAykwqgUAGuIsjCwAAAA="/>
  </w:docVars>
  <w:rsids>
    <w:rsidRoot w:val="00A47914"/>
    <w:rsid w:val="00005ACD"/>
    <w:rsid w:val="000A1AB1"/>
    <w:rsid w:val="000C6730"/>
    <w:rsid w:val="001405C5"/>
    <w:rsid w:val="001F7A19"/>
    <w:rsid w:val="00237C6A"/>
    <w:rsid w:val="002A756B"/>
    <w:rsid w:val="002C281E"/>
    <w:rsid w:val="002C676F"/>
    <w:rsid w:val="002E2B69"/>
    <w:rsid w:val="002F00EB"/>
    <w:rsid w:val="003669A9"/>
    <w:rsid w:val="00371A64"/>
    <w:rsid w:val="00387FA8"/>
    <w:rsid w:val="003A4484"/>
    <w:rsid w:val="003D2A65"/>
    <w:rsid w:val="003F106B"/>
    <w:rsid w:val="00407019"/>
    <w:rsid w:val="00480664"/>
    <w:rsid w:val="004C3292"/>
    <w:rsid w:val="004D585C"/>
    <w:rsid w:val="00514795"/>
    <w:rsid w:val="005453C8"/>
    <w:rsid w:val="00545A49"/>
    <w:rsid w:val="0056349B"/>
    <w:rsid w:val="005979BA"/>
    <w:rsid w:val="005E19D0"/>
    <w:rsid w:val="005F6D8F"/>
    <w:rsid w:val="00620E7F"/>
    <w:rsid w:val="00633ED3"/>
    <w:rsid w:val="00635E9A"/>
    <w:rsid w:val="00640E94"/>
    <w:rsid w:val="006D1A06"/>
    <w:rsid w:val="006D6BD8"/>
    <w:rsid w:val="006F7DB2"/>
    <w:rsid w:val="00734FF6"/>
    <w:rsid w:val="007B2906"/>
    <w:rsid w:val="00813056"/>
    <w:rsid w:val="008B7E92"/>
    <w:rsid w:val="00922A46"/>
    <w:rsid w:val="0093204C"/>
    <w:rsid w:val="009500F2"/>
    <w:rsid w:val="00A47914"/>
    <w:rsid w:val="00AD7476"/>
    <w:rsid w:val="00B46047"/>
    <w:rsid w:val="00B83E47"/>
    <w:rsid w:val="00BA7AB8"/>
    <w:rsid w:val="00C27A18"/>
    <w:rsid w:val="00C441AB"/>
    <w:rsid w:val="00C6383E"/>
    <w:rsid w:val="00C84851"/>
    <w:rsid w:val="00C876FC"/>
    <w:rsid w:val="00CB4DFE"/>
    <w:rsid w:val="00CD4AA1"/>
    <w:rsid w:val="00CF62F2"/>
    <w:rsid w:val="00D2194A"/>
    <w:rsid w:val="00D24F72"/>
    <w:rsid w:val="00DB37C1"/>
    <w:rsid w:val="00E36141"/>
    <w:rsid w:val="00E52A97"/>
    <w:rsid w:val="00E57076"/>
    <w:rsid w:val="00E83E58"/>
    <w:rsid w:val="00EF4BDC"/>
    <w:rsid w:val="00F01BF6"/>
    <w:rsid w:val="00F07A0C"/>
    <w:rsid w:val="00FB2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5F01CDED"/>
  <w15:docId w15:val="{912EFBC1-ED94-4941-B309-AA02C835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3732</Words>
  <Characters>21274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24957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Emily Davis</cp:lastModifiedBy>
  <cp:revision>4</cp:revision>
  <cp:lastPrinted>2019-12-09T23:53:00Z</cp:lastPrinted>
  <dcterms:created xsi:type="dcterms:W3CDTF">2020-02-06T23:18:00Z</dcterms:created>
  <dcterms:modified xsi:type="dcterms:W3CDTF">2020-02-06T23:20:00Z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