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81D33" w:rsidP="00D50CE7" w14:paraId="15820E3B" w14:textId="4FBB1BD0">
      <w:pPr>
        <w:pStyle w:val="Default"/>
        <w:spacing w:line="220" w:lineRule="atLeast"/>
        <w:rPr>
          <w:rFonts w:ascii="Times" w:hAnsi="Times"/>
          <w:b/>
          <w:bCs/>
          <w:i/>
          <w:iCs/>
          <w:sz w:val="24"/>
          <w:szCs w:val="24"/>
          <w:shd w:val="clear" w:color="auto" w:fill="FFFFFF"/>
        </w:rPr>
      </w:pPr>
      <w:bookmarkStart w:id="0" w:name="_GoBack"/>
      <w:bookmarkEnd w:id="0"/>
    </w:p>
    <w:p w:rsidR="00F565E3" w:rsidP="005F7AF0" w14:paraId="7962B380" w14:textId="77777777">
      <w:pPr>
        <w:pStyle w:val="s5"/>
        <w:spacing w:before="0" w:beforeAutospacing="0" w:after="0" w:afterAutospacing="0"/>
        <w:jc w:val="center"/>
        <w:rPr>
          <w:rStyle w:val="bumpedfont15"/>
          <w:rFonts w:ascii="Times" w:hAnsi="Times"/>
          <w:b/>
          <w:bCs/>
          <w:color w:val="000000"/>
          <w:sz w:val="27"/>
          <w:szCs w:val="27"/>
          <w:shd w:val="clear" w:color="auto" w:fill="FFFFFF"/>
        </w:rPr>
      </w:pPr>
      <w:r>
        <w:rPr>
          <w:rStyle w:val="bumpedfont15"/>
          <w:rFonts w:ascii="Times" w:hAnsi="Times"/>
          <w:b/>
          <w:bCs/>
          <w:color w:val="000000"/>
          <w:sz w:val="27"/>
          <w:szCs w:val="27"/>
          <w:shd w:val="clear" w:color="auto" w:fill="FFFFFF"/>
        </w:rPr>
        <w:t>SOL Global Portfolio Company </w:t>
      </w:r>
    </w:p>
    <w:p w:rsidR="005F7AF0" w:rsidP="005F7AF0" w14:paraId="28B55E06" w14:textId="0C998A7E">
      <w:pPr>
        <w:pStyle w:val="s5"/>
        <w:spacing w:before="0" w:beforeAutospacing="0" w:after="0" w:afterAutospacing="0"/>
        <w:jc w:val="center"/>
        <w:rPr>
          <w:rFonts w:ascii="-webkit-standard" w:hAnsi="-webkit-standard"/>
          <w:color w:val="000000"/>
          <w:sz w:val="27"/>
          <w:szCs w:val="27"/>
        </w:rPr>
      </w:pPr>
      <w:r>
        <w:rPr>
          <w:rStyle w:val="bumpedfont15"/>
          <w:rFonts w:ascii="Times" w:hAnsi="Times"/>
          <w:b/>
          <w:bCs/>
          <w:color w:val="000000"/>
          <w:sz w:val="27"/>
          <w:szCs w:val="27"/>
          <w:shd w:val="clear" w:color="auto" w:fill="FFFFFF"/>
        </w:rPr>
        <w:t>CannCure Closes $15 Million USD Construction Loan to Expand One Plant Florida</w:t>
      </w:r>
    </w:p>
    <w:p w:rsidR="005F7AF0" w:rsidP="005F7AF0" w14:paraId="0969D344" w14:textId="77777777">
      <w:pPr>
        <w:pStyle w:val="s5"/>
        <w:spacing w:before="0" w:beforeAutospacing="0" w:after="0" w:afterAutospacing="0"/>
        <w:jc w:val="center"/>
        <w:rPr>
          <w:rStyle w:val="bumpedfont15"/>
          <w:rFonts w:ascii="Times" w:hAnsi="Times"/>
          <w:i/>
          <w:iCs/>
          <w:color w:val="000000"/>
          <w:sz w:val="27"/>
          <w:szCs w:val="27"/>
          <w:shd w:val="clear" w:color="auto" w:fill="FFFFFF"/>
        </w:rPr>
      </w:pPr>
    </w:p>
    <w:p w:rsidR="00432444" w:rsidP="00432444" w14:paraId="6A8C0885" w14:textId="22E4FFC6">
      <w:pPr>
        <w:pStyle w:val="Default"/>
        <w:spacing w:line="220" w:lineRule="atLeast"/>
        <w:jc w:val="center"/>
        <w:rPr>
          <w:rStyle w:val="bumpedfont15"/>
          <w:rFonts w:ascii="Times" w:eastAsia="Times New Roman" w:hAnsi="Times" w:cs="Times New Roman"/>
          <w:i/>
          <w:iCs/>
          <w:sz w:val="27"/>
          <w:szCs w:val="27"/>
          <w:bdr w:val="none" w:sz="0" w:space="0" w:color="auto"/>
          <w:shd w:val="clear" w:color="auto" w:fill="FFFFFF"/>
          <w:lang w:eastAsia="en-US"/>
        </w:rPr>
      </w:pPr>
      <w:r w:rsidRPr="00432444">
        <w:rPr>
          <w:rStyle w:val="bumpedfont15"/>
          <w:rFonts w:ascii="Times" w:eastAsia="Times New Roman" w:hAnsi="Times" w:cs="Times New Roman"/>
          <w:i/>
          <w:iCs/>
          <w:sz w:val="27"/>
          <w:szCs w:val="27"/>
          <w:bdr w:val="none" w:sz="0" w:space="0" w:color="auto"/>
          <w:shd w:val="clear" w:color="auto" w:fill="FFFFFF"/>
          <w:lang w:eastAsia="en-US"/>
        </w:rPr>
        <w:t>One Plant Flori</w:t>
      </w:r>
      <w:r>
        <w:rPr>
          <w:rStyle w:val="bumpedfont15"/>
          <w:rFonts w:ascii="Times" w:eastAsia="Times New Roman" w:hAnsi="Times" w:cs="Times New Roman"/>
          <w:i/>
          <w:iCs/>
          <w:sz w:val="27"/>
          <w:szCs w:val="27"/>
          <w:bdr w:val="none" w:sz="0" w:space="0" w:color="auto"/>
          <w:shd w:val="clear" w:color="auto" w:fill="FFFFFF"/>
          <w:lang w:eastAsia="en-US"/>
        </w:rPr>
        <w:t xml:space="preserve">da to Commence Operations at its 54,000 Sq. Ft. </w:t>
      </w:r>
      <w:r w:rsidRPr="00432444">
        <w:rPr>
          <w:rStyle w:val="bumpedfont15"/>
          <w:rFonts w:ascii="Times" w:eastAsia="Times New Roman" w:hAnsi="Times" w:cs="Times New Roman"/>
          <w:i/>
          <w:iCs/>
          <w:sz w:val="27"/>
          <w:szCs w:val="27"/>
          <w:bdr w:val="none" w:sz="0" w:space="0" w:color="auto"/>
          <w:shd w:val="clear" w:color="auto" w:fill="FFFFFF"/>
          <w:lang w:eastAsia="en-US"/>
        </w:rPr>
        <w:t xml:space="preserve">Nexus Greenhouse, Complete 10 Store Build Out and Expansion of Delivery Network. </w:t>
      </w:r>
    </w:p>
    <w:p w:rsidR="00F90151" w:rsidP="00432444" w14:paraId="46350986" w14:textId="77777777">
      <w:pPr>
        <w:pStyle w:val="Default"/>
        <w:spacing w:line="220" w:lineRule="atLeast"/>
        <w:jc w:val="center"/>
        <w:rPr>
          <w:rStyle w:val="bumpedfont15"/>
          <w:rFonts w:ascii="Times" w:eastAsia="Times New Roman" w:hAnsi="Times" w:cs="Times New Roman"/>
          <w:i/>
          <w:iCs/>
          <w:sz w:val="27"/>
          <w:szCs w:val="27"/>
          <w:bdr w:val="none" w:sz="0" w:space="0" w:color="auto"/>
          <w:shd w:val="clear" w:color="auto" w:fill="FFFFFF"/>
          <w:lang w:eastAsia="en-US"/>
        </w:rPr>
      </w:pPr>
    </w:p>
    <w:p w:rsidR="00B81D33" w:rsidRPr="00432444" w:rsidP="00432444" w14:paraId="15820E3E" w14:textId="7F4B0882">
      <w:pPr>
        <w:pStyle w:val="Default"/>
        <w:spacing w:line="220" w:lineRule="atLeast"/>
        <w:jc w:val="center"/>
        <w:rPr>
          <w:rFonts w:ascii="Times" w:eastAsia="Times New Roman" w:hAnsi="Times" w:cs="Times New Roman"/>
          <w:i/>
          <w:iCs/>
          <w:sz w:val="27"/>
          <w:szCs w:val="27"/>
          <w:bdr w:val="none" w:sz="0" w:space="0" w:color="auto"/>
          <w:shd w:val="clear" w:color="auto" w:fill="FFFFFF"/>
          <w:lang w:eastAsia="en-US"/>
        </w:rPr>
      </w:pPr>
      <w:r w:rsidRPr="00432444">
        <w:rPr>
          <w:rStyle w:val="bumpedfont15"/>
          <w:rFonts w:ascii="Times" w:eastAsia="Times New Roman" w:hAnsi="Times" w:cs="Times New Roman"/>
          <w:i/>
          <w:iCs/>
          <w:sz w:val="27"/>
          <w:szCs w:val="27"/>
          <w:bdr w:val="none" w:sz="0" w:space="0" w:color="auto"/>
          <w:shd w:val="clear" w:color="auto" w:fill="FFFFFF"/>
          <w:lang w:eastAsia="en-US"/>
        </w:rPr>
        <w:t>Newest Fun</w:t>
      </w:r>
      <w:r>
        <w:rPr>
          <w:rStyle w:val="bumpedfont15"/>
          <w:rFonts w:ascii="Times" w:eastAsia="Times New Roman" w:hAnsi="Times" w:cs="Times New Roman"/>
          <w:i/>
          <w:iCs/>
          <w:sz w:val="27"/>
          <w:szCs w:val="27"/>
          <w:bdr w:val="none" w:sz="0" w:space="0" w:color="auto"/>
          <w:shd w:val="clear" w:color="auto" w:fill="FFFFFF"/>
          <w:lang w:eastAsia="en-US"/>
        </w:rPr>
        <w:t>ding Enables Full Construction o</w:t>
      </w:r>
      <w:r w:rsidRPr="00432444">
        <w:rPr>
          <w:rStyle w:val="bumpedfont15"/>
          <w:rFonts w:ascii="Times" w:eastAsia="Times New Roman" w:hAnsi="Times" w:cs="Times New Roman"/>
          <w:i/>
          <w:iCs/>
          <w:sz w:val="27"/>
          <w:szCs w:val="27"/>
          <w:bdr w:val="none" w:sz="0" w:space="0" w:color="auto"/>
          <w:shd w:val="clear" w:color="auto" w:fill="FFFFFF"/>
          <w:lang w:eastAsia="en-US"/>
        </w:rPr>
        <w:t>f New 88,327</w:t>
      </w:r>
      <w:r w:rsidR="00391A37">
        <w:rPr>
          <w:rStyle w:val="bumpedfont15"/>
          <w:rFonts w:ascii="Times" w:eastAsia="Times New Roman" w:hAnsi="Times" w:cs="Times New Roman"/>
          <w:i/>
          <w:iCs/>
          <w:sz w:val="27"/>
          <w:szCs w:val="27"/>
          <w:bdr w:val="none" w:sz="0" w:space="0" w:color="auto"/>
          <w:shd w:val="clear" w:color="auto" w:fill="FFFFFF"/>
          <w:lang w:eastAsia="en-US"/>
        </w:rPr>
        <w:t xml:space="preserve"> Sq. </w:t>
      </w:r>
      <w:r w:rsidRPr="00432444">
        <w:rPr>
          <w:rStyle w:val="bumpedfont15"/>
          <w:rFonts w:ascii="Times" w:eastAsia="Times New Roman" w:hAnsi="Times" w:cs="Times New Roman"/>
          <w:i/>
          <w:iCs/>
          <w:sz w:val="27"/>
          <w:szCs w:val="27"/>
          <w:bdr w:val="none" w:sz="0" w:space="0" w:color="auto"/>
          <w:shd w:val="clear" w:color="auto" w:fill="FFFFFF"/>
          <w:lang w:eastAsia="en-US"/>
        </w:rPr>
        <w:t>Ft. Indoor Cultivation Facility, Proces</w:t>
      </w:r>
      <w:r>
        <w:rPr>
          <w:rStyle w:val="bumpedfont15"/>
          <w:rFonts w:ascii="Times" w:eastAsia="Times New Roman" w:hAnsi="Times" w:cs="Times New Roman"/>
          <w:i/>
          <w:iCs/>
          <w:sz w:val="27"/>
          <w:szCs w:val="27"/>
          <w:bdr w:val="none" w:sz="0" w:space="0" w:color="auto"/>
          <w:shd w:val="clear" w:color="auto" w:fill="FFFFFF"/>
          <w:lang w:eastAsia="en-US"/>
        </w:rPr>
        <w:t>sing Facility, Lab, and Kitchen i</w:t>
      </w:r>
      <w:r w:rsidRPr="00432444">
        <w:rPr>
          <w:rStyle w:val="bumpedfont15"/>
          <w:rFonts w:ascii="Times" w:eastAsia="Times New Roman" w:hAnsi="Times" w:cs="Times New Roman"/>
          <w:i/>
          <w:iCs/>
          <w:sz w:val="27"/>
          <w:szCs w:val="27"/>
          <w:bdr w:val="none" w:sz="0" w:space="0" w:color="auto"/>
          <w:shd w:val="clear" w:color="auto" w:fill="FFFFFF"/>
          <w:lang w:eastAsia="en-US"/>
        </w:rPr>
        <w:t>n Indiantown, Florida</w:t>
      </w:r>
      <w:r>
        <w:rPr>
          <w:rStyle w:val="bumpedfont15"/>
          <w:rFonts w:ascii="Times" w:eastAsia="Times New Roman" w:hAnsi="Times" w:cs="Times New Roman"/>
          <w:i/>
          <w:iCs/>
          <w:sz w:val="27"/>
          <w:szCs w:val="27"/>
          <w:bdr w:val="none" w:sz="0" w:space="0" w:color="auto"/>
          <w:shd w:val="clear" w:color="auto" w:fill="FFFFFF"/>
          <w:lang w:eastAsia="en-US"/>
        </w:rPr>
        <w:t>.</w:t>
      </w:r>
      <w:r w:rsidR="00CE3E24">
        <w:rPr>
          <w:rFonts w:ascii="Times" w:hAnsi="Times"/>
          <w:i/>
          <w:iCs/>
          <w:sz w:val="24"/>
          <w:szCs w:val="24"/>
          <w:shd w:val="clear" w:color="auto" w:fill="FFFFFF"/>
        </w:rPr>
        <w:t> </w:t>
      </w:r>
    </w:p>
    <w:p w:rsidR="00B81D33" w14:paraId="15820E3F" w14:textId="7777777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w:t>
      </w:r>
    </w:p>
    <w:p w:rsidR="00E67C92" w14:paraId="77881478" w14:textId="4FBE3A88">
      <w:pPr>
        <w:pStyle w:val="Default"/>
        <w:spacing w:line="340" w:lineRule="atLeast"/>
        <w:rPr>
          <w:rFonts w:ascii="Times" w:hAnsi="Times"/>
          <w:sz w:val="24"/>
          <w:szCs w:val="24"/>
          <w:shd w:val="clear" w:color="auto" w:fill="FFFFFF"/>
        </w:rPr>
      </w:pPr>
      <w:r>
        <w:rPr>
          <w:rFonts w:ascii="Times" w:hAnsi="Times"/>
          <w:sz w:val="24"/>
          <w:szCs w:val="24"/>
          <w:shd w:val="clear" w:color="auto" w:fill="FFFFFF"/>
        </w:rPr>
        <w:t xml:space="preserve">February </w:t>
      </w:r>
      <w:r w:rsidR="00BC2502">
        <w:rPr>
          <w:rFonts w:ascii="Times" w:hAnsi="Times"/>
          <w:sz w:val="24"/>
          <w:szCs w:val="24"/>
          <w:shd w:val="clear" w:color="auto" w:fill="FFFFFF"/>
        </w:rPr>
        <w:t>21</w:t>
      </w:r>
      <w:r>
        <w:rPr>
          <w:rFonts w:ascii="Times" w:hAnsi="Times"/>
          <w:sz w:val="24"/>
          <w:szCs w:val="24"/>
          <w:shd w:val="clear" w:color="auto" w:fill="FFFFFF"/>
        </w:rPr>
        <w:t>, 2020 /PRNewswire/ - SOL Global Investments Corp. ("</w:t>
      </w:r>
      <w:r>
        <w:rPr>
          <w:rFonts w:ascii="Times" w:hAnsi="Times"/>
          <w:b/>
          <w:bCs/>
          <w:sz w:val="24"/>
          <w:szCs w:val="24"/>
          <w:shd w:val="clear" w:color="auto" w:fill="FFFFFF"/>
        </w:rPr>
        <w:t>SOL Global</w:t>
      </w:r>
      <w:r>
        <w:rPr>
          <w:rFonts w:ascii="Times" w:hAnsi="Times"/>
          <w:sz w:val="24"/>
          <w:szCs w:val="24"/>
          <w:shd w:val="clear" w:color="auto" w:fill="FFFFFF"/>
        </w:rPr>
        <w:t>"</w:t>
      </w:r>
      <w:r w:rsidR="00E72E12">
        <w:rPr>
          <w:rFonts w:ascii="Times" w:hAnsi="Times"/>
          <w:sz w:val="24"/>
          <w:szCs w:val="24"/>
          <w:shd w:val="clear" w:color="auto" w:fill="FFFFFF"/>
        </w:rPr>
        <w:t xml:space="preserve"> or the “</w:t>
      </w:r>
      <w:r w:rsidRPr="00E72E12" w:rsidR="00E72E12">
        <w:rPr>
          <w:rFonts w:ascii="Times" w:hAnsi="Times"/>
          <w:b/>
          <w:sz w:val="24"/>
          <w:szCs w:val="24"/>
          <w:shd w:val="clear" w:color="auto" w:fill="FFFFFF"/>
        </w:rPr>
        <w:t>Company</w:t>
      </w:r>
      <w:r w:rsidR="00E72E12">
        <w:rPr>
          <w:rFonts w:ascii="Times" w:hAnsi="Times"/>
          <w:sz w:val="24"/>
          <w:szCs w:val="24"/>
          <w:shd w:val="clear" w:color="auto" w:fill="FFFFFF"/>
        </w:rPr>
        <w:t>”</w:t>
      </w:r>
      <w:r>
        <w:rPr>
          <w:rFonts w:ascii="Times" w:hAnsi="Times"/>
          <w:sz w:val="24"/>
          <w:szCs w:val="24"/>
          <w:shd w:val="clear" w:color="auto" w:fill="FFFFFF"/>
        </w:rPr>
        <w:t>) (CSE: SOL) (OTCQB: SOLCF) (Frankfurt: 9SB) is pleased to announce that</w:t>
      </w:r>
      <w:r w:rsidR="005245EB">
        <w:rPr>
          <w:rFonts w:ascii="Times" w:hAnsi="Times"/>
          <w:sz w:val="24"/>
          <w:szCs w:val="24"/>
          <w:shd w:val="clear" w:color="auto" w:fill="FFFFFF"/>
        </w:rPr>
        <w:t xml:space="preserve"> CannCure Investments Inc</w:t>
      </w:r>
      <w:r w:rsidR="00335731">
        <w:rPr>
          <w:rFonts w:ascii="Times" w:hAnsi="Times"/>
          <w:sz w:val="24"/>
          <w:szCs w:val="24"/>
          <w:shd w:val="clear" w:color="auto" w:fill="FFFFFF"/>
        </w:rPr>
        <w:t>. (“</w:t>
      </w:r>
      <w:r w:rsidRPr="00335731" w:rsidR="00335731">
        <w:rPr>
          <w:rFonts w:ascii="Times" w:hAnsi="Times"/>
          <w:b/>
          <w:sz w:val="24"/>
          <w:szCs w:val="24"/>
          <w:shd w:val="clear" w:color="auto" w:fill="FFFFFF"/>
        </w:rPr>
        <w:t>CannCure</w:t>
      </w:r>
      <w:r w:rsidR="00335731">
        <w:rPr>
          <w:rFonts w:ascii="Times" w:hAnsi="Times"/>
          <w:sz w:val="24"/>
          <w:szCs w:val="24"/>
          <w:shd w:val="clear" w:color="auto" w:fill="FFFFFF"/>
        </w:rPr>
        <w:t>”)</w:t>
      </w:r>
      <w:r w:rsidR="005245EB">
        <w:rPr>
          <w:rFonts w:ascii="Times" w:hAnsi="Times"/>
          <w:sz w:val="24"/>
          <w:szCs w:val="24"/>
          <w:shd w:val="clear" w:color="auto" w:fill="FFFFFF"/>
        </w:rPr>
        <w:t>, a portfolio company of SOL Global,</w:t>
      </w:r>
      <w:r>
        <w:rPr>
          <w:rFonts w:ascii="Times" w:hAnsi="Times"/>
          <w:sz w:val="24"/>
          <w:szCs w:val="24"/>
          <w:shd w:val="clear" w:color="auto" w:fill="FFFFFF"/>
        </w:rPr>
        <w:t xml:space="preserve"> </w:t>
      </w:r>
      <w:r w:rsidR="005245EB">
        <w:rPr>
          <w:rFonts w:ascii="Times" w:hAnsi="Times"/>
          <w:sz w:val="24"/>
          <w:szCs w:val="24"/>
          <w:shd w:val="clear" w:color="auto" w:fill="FFFFFF"/>
        </w:rPr>
        <w:t xml:space="preserve">has </w:t>
      </w:r>
      <w:r w:rsidR="0045060D">
        <w:rPr>
          <w:rFonts w:ascii="Times" w:hAnsi="Times"/>
          <w:sz w:val="24"/>
          <w:szCs w:val="24"/>
          <w:shd w:val="clear" w:color="auto" w:fill="FFFFFF"/>
        </w:rPr>
        <w:t>secured a</w:t>
      </w:r>
      <w:r w:rsidR="005245EB">
        <w:rPr>
          <w:rFonts w:ascii="Times" w:hAnsi="Times"/>
          <w:sz w:val="24"/>
          <w:szCs w:val="24"/>
          <w:shd w:val="clear" w:color="auto" w:fill="FFFFFF"/>
        </w:rPr>
        <w:t xml:space="preserve"> </w:t>
      </w:r>
      <w:r w:rsidR="00C74E9E">
        <w:rPr>
          <w:rFonts w:ascii="Times" w:hAnsi="Times"/>
          <w:sz w:val="24"/>
          <w:szCs w:val="24"/>
          <w:shd w:val="clear" w:color="auto" w:fill="FFFFFF"/>
        </w:rPr>
        <w:t>USD$15,000,000</w:t>
      </w:r>
      <w:r w:rsidRPr="005245EB" w:rsidR="005245EB">
        <w:rPr>
          <w:rFonts w:ascii="Times" w:hAnsi="Times"/>
          <w:sz w:val="24"/>
          <w:szCs w:val="24"/>
          <w:shd w:val="clear" w:color="auto" w:fill="FFFFFF"/>
        </w:rPr>
        <w:t xml:space="preserve"> construction loan </w:t>
      </w:r>
      <w:r w:rsidR="0045060D">
        <w:rPr>
          <w:rFonts w:ascii="Times" w:hAnsi="Times"/>
          <w:sz w:val="24"/>
          <w:szCs w:val="24"/>
          <w:shd w:val="clear" w:color="auto" w:fill="FFFFFF"/>
        </w:rPr>
        <w:t>from</w:t>
      </w:r>
      <w:r w:rsidRPr="005245EB" w:rsidR="005245EB">
        <w:rPr>
          <w:rFonts w:ascii="Times" w:hAnsi="Times"/>
          <w:sz w:val="24"/>
          <w:szCs w:val="24"/>
          <w:shd w:val="clear" w:color="auto" w:fill="FFFFFF"/>
        </w:rPr>
        <w:t xml:space="preserve"> Advanced Flower Capital</w:t>
      </w:r>
      <w:r w:rsidR="0045060D">
        <w:rPr>
          <w:rFonts w:ascii="Times" w:hAnsi="Times"/>
          <w:sz w:val="24"/>
          <w:szCs w:val="24"/>
          <w:shd w:val="clear" w:color="auto" w:fill="FFFFFF"/>
        </w:rPr>
        <w:t xml:space="preserve"> to fund the </w:t>
      </w:r>
      <w:r w:rsidR="00AA0F8E">
        <w:rPr>
          <w:rFonts w:ascii="Times" w:hAnsi="Times"/>
          <w:sz w:val="24"/>
          <w:szCs w:val="24"/>
          <w:shd w:val="clear" w:color="auto" w:fill="FFFFFF"/>
        </w:rPr>
        <w:t>construction</w:t>
      </w:r>
      <w:r>
        <w:rPr>
          <w:rFonts w:ascii="Times" w:hAnsi="Times"/>
          <w:sz w:val="24"/>
          <w:szCs w:val="24"/>
          <w:shd w:val="clear" w:color="auto" w:fill="FFFFFF"/>
        </w:rPr>
        <w:t xml:space="preserve"> and development</w:t>
      </w:r>
      <w:r w:rsidR="00AA0F8E">
        <w:rPr>
          <w:rFonts w:ascii="Times" w:hAnsi="Times"/>
          <w:sz w:val="24"/>
          <w:szCs w:val="24"/>
          <w:shd w:val="clear" w:color="auto" w:fill="FFFFFF"/>
        </w:rPr>
        <w:t xml:space="preserve"> of a new, state-of-the-art, 88,327 square foot tilt-up indoor cultivation, processing and lab facility in Indiantown, Florida for</w:t>
      </w:r>
      <w:r w:rsidR="0045060D">
        <w:rPr>
          <w:rFonts w:ascii="Times" w:hAnsi="Times"/>
          <w:sz w:val="24"/>
          <w:szCs w:val="24"/>
          <w:shd w:val="clear" w:color="auto" w:fill="FFFFFF"/>
        </w:rPr>
        <w:t xml:space="preserve"> CannCure’s One Plant Florida (formerly 3 Boys Farm, LLC).  </w:t>
      </w:r>
      <w:r>
        <w:rPr>
          <w:rFonts w:ascii="Times" w:hAnsi="Times"/>
          <w:sz w:val="24"/>
          <w:szCs w:val="24"/>
          <w:shd w:val="clear" w:color="auto" w:fill="FFFFFF"/>
        </w:rPr>
        <w:t xml:space="preserve">One Plant is a medical marijuana treatment center in the State of Florida licensed by the Florida Department of Health, Office of Medical Marijuana Use.  </w:t>
      </w:r>
      <w:r w:rsidRPr="00AA0F8E" w:rsidR="00AA0F8E">
        <w:rPr>
          <w:rFonts w:ascii="Times" w:hAnsi="Times"/>
          <w:sz w:val="24"/>
          <w:szCs w:val="24"/>
          <w:shd w:val="clear" w:color="auto" w:fill="FFFFFF"/>
        </w:rPr>
        <w:t xml:space="preserve">The </w:t>
      </w:r>
      <w:r w:rsidR="00AA0F8E">
        <w:rPr>
          <w:rFonts w:ascii="Times" w:hAnsi="Times"/>
          <w:sz w:val="24"/>
          <w:szCs w:val="24"/>
          <w:shd w:val="clear" w:color="auto" w:fill="FFFFFF"/>
        </w:rPr>
        <w:t>c</w:t>
      </w:r>
      <w:r w:rsidRPr="00AA0F8E" w:rsidR="00AA0F8E">
        <w:rPr>
          <w:rFonts w:ascii="Times" w:hAnsi="Times"/>
          <w:sz w:val="24"/>
          <w:szCs w:val="24"/>
          <w:shd w:val="clear" w:color="auto" w:fill="FFFFFF"/>
        </w:rPr>
        <w:t xml:space="preserve">onstruction </w:t>
      </w:r>
      <w:r w:rsidR="00AA0F8E">
        <w:rPr>
          <w:rFonts w:ascii="Times" w:hAnsi="Times"/>
          <w:sz w:val="24"/>
          <w:szCs w:val="24"/>
          <w:shd w:val="clear" w:color="auto" w:fill="FFFFFF"/>
        </w:rPr>
        <w:t>l</w:t>
      </w:r>
      <w:r w:rsidRPr="00AA0F8E" w:rsidR="00AA0F8E">
        <w:rPr>
          <w:rFonts w:ascii="Times" w:hAnsi="Times"/>
          <w:sz w:val="24"/>
          <w:szCs w:val="24"/>
          <w:shd w:val="clear" w:color="auto" w:fill="FFFFFF"/>
        </w:rPr>
        <w:t xml:space="preserve">oan will be secured by </w:t>
      </w:r>
      <w:r w:rsidR="00AA0F8E">
        <w:rPr>
          <w:rFonts w:ascii="Times" w:hAnsi="Times"/>
          <w:sz w:val="24"/>
          <w:szCs w:val="24"/>
          <w:shd w:val="clear" w:color="auto" w:fill="FFFFFF"/>
        </w:rPr>
        <w:t xml:space="preserve">a </w:t>
      </w:r>
      <w:r w:rsidRPr="00AA0F8E" w:rsidR="00AA0F8E">
        <w:rPr>
          <w:rFonts w:ascii="Times" w:hAnsi="Times"/>
          <w:sz w:val="24"/>
          <w:szCs w:val="24"/>
          <w:shd w:val="clear" w:color="auto" w:fill="FFFFFF"/>
        </w:rPr>
        <w:t xml:space="preserve">mortgage and other commercially-common security interests. </w:t>
      </w:r>
    </w:p>
    <w:p w:rsidR="00E67C92" w:rsidP="00E67C92" w14:paraId="70BD4E86" w14:textId="77777777">
      <w:pPr>
        <w:pStyle w:val="Default"/>
        <w:spacing w:line="340" w:lineRule="atLeast"/>
        <w:rPr>
          <w:rFonts w:ascii="Times" w:hAnsi="Times"/>
          <w:sz w:val="24"/>
          <w:szCs w:val="24"/>
          <w:shd w:val="clear" w:color="auto" w:fill="FFFFFF"/>
        </w:rPr>
      </w:pPr>
    </w:p>
    <w:p w:rsidR="00E67C92" w:rsidP="00E67C92" w14:paraId="3A863E99" w14:textId="2EA00114">
      <w:pPr>
        <w:pStyle w:val="Default"/>
        <w:spacing w:line="340" w:lineRule="atLeast"/>
        <w:rPr>
          <w:rFonts w:ascii="Times" w:hAnsi="Times"/>
          <w:sz w:val="24"/>
          <w:szCs w:val="24"/>
          <w:shd w:val="clear" w:color="auto" w:fill="FFFFFF"/>
        </w:rPr>
      </w:pPr>
      <w:r w:rsidRPr="00E67C92">
        <w:rPr>
          <w:rFonts w:ascii="Times" w:hAnsi="Times"/>
          <w:sz w:val="24"/>
          <w:szCs w:val="24"/>
          <w:shd w:val="clear" w:color="auto" w:fill="FFFFFF"/>
        </w:rPr>
        <w:t>Th</w:t>
      </w:r>
      <w:r w:rsidR="00E72E12">
        <w:rPr>
          <w:rFonts w:ascii="Times" w:hAnsi="Times"/>
          <w:sz w:val="24"/>
          <w:szCs w:val="24"/>
          <w:shd w:val="clear" w:color="auto" w:fill="FFFFFF"/>
        </w:rPr>
        <w:t>e</w:t>
      </w:r>
      <w:r w:rsidRPr="00E67C92">
        <w:rPr>
          <w:rFonts w:ascii="Times" w:hAnsi="Times"/>
          <w:sz w:val="24"/>
          <w:szCs w:val="24"/>
          <w:shd w:val="clear" w:color="auto" w:fill="FFFFFF"/>
        </w:rPr>
        <w:t xml:space="preserve"> new indoor facility</w:t>
      </w:r>
      <w:r w:rsidR="00E72E12">
        <w:rPr>
          <w:rFonts w:ascii="Times" w:hAnsi="Times"/>
          <w:sz w:val="24"/>
          <w:szCs w:val="24"/>
          <w:shd w:val="clear" w:color="auto" w:fill="FFFFFF"/>
        </w:rPr>
        <w:t>, to be</w:t>
      </w:r>
      <w:r w:rsidRPr="00E67C92">
        <w:rPr>
          <w:rFonts w:ascii="Times" w:hAnsi="Times"/>
          <w:sz w:val="24"/>
          <w:szCs w:val="24"/>
          <w:shd w:val="clear" w:color="auto" w:fill="FFFFFF"/>
        </w:rPr>
        <w:t xml:space="preserve"> located on </w:t>
      </w:r>
      <w:r w:rsidR="00E72E12">
        <w:rPr>
          <w:rFonts w:ascii="Times" w:hAnsi="Times"/>
          <w:sz w:val="24"/>
          <w:szCs w:val="24"/>
          <w:shd w:val="clear" w:color="auto" w:fill="FFFFFF"/>
        </w:rPr>
        <w:t xml:space="preserve">One Plant’s existing </w:t>
      </w:r>
      <w:r w:rsidRPr="00E67C92">
        <w:rPr>
          <w:rFonts w:ascii="Times" w:hAnsi="Times"/>
          <w:sz w:val="24"/>
          <w:szCs w:val="24"/>
          <w:shd w:val="clear" w:color="auto" w:fill="FFFFFF"/>
        </w:rPr>
        <w:t>Indiantown, Florida property</w:t>
      </w:r>
      <w:r w:rsidR="00E72E12">
        <w:rPr>
          <w:rFonts w:ascii="Times" w:hAnsi="Times"/>
          <w:sz w:val="24"/>
          <w:szCs w:val="24"/>
          <w:shd w:val="clear" w:color="auto" w:fill="FFFFFF"/>
        </w:rPr>
        <w:t>,</w:t>
      </w:r>
      <w:r w:rsidRPr="00E67C92">
        <w:rPr>
          <w:rFonts w:ascii="Times" w:hAnsi="Times"/>
          <w:sz w:val="24"/>
          <w:szCs w:val="24"/>
          <w:shd w:val="clear" w:color="auto" w:fill="FFFFFF"/>
        </w:rPr>
        <w:t> will include individual flowering rooms, post-harvest processing rooms, advanced curing rooms, a full extraction and research and development lab, a kitchen, trim and packaging rooms, research and development cultivation rooms, and storage and administrative space. Th</w:t>
      </w:r>
      <w:r w:rsidR="00E72E12">
        <w:rPr>
          <w:rFonts w:ascii="Times" w:hAnsi="Times"/>
          <w:sz w:val="24"/>
          <w:szCs w:val="24"/>
          <w:shd w:val="clear" w:color="auto" w:fill="FFFFFF"/>
        </w:rPr>
        <w:t>e</w:t>
      </w:r>
      <w:r w:rsidRPr="00E67C92">
        <w:rPr>
          <w:rFonts w:ascii="Times" w:hAnsi="Times"/>
          <w:sz w:val="24"/>
          <w:szCs w:val="24"/>
          <w:shd w:val="clear" w:color="auto" w:fill="FFFFFF"/>
        </w:rPr>
        <w:t xml:space="preserve"> new facility will be directly adjacent to </w:t>
      </w:r>
      <w:r w:rsidR="00E72E12">
        <w:rPr>
          <w:rFonts w:ascii="Times" w:hAnsi="Times"/>
          <w:sz w:val="24"/>
          <w:szCs w:val="24"/>
          <w:shd w:val="clear" w:color="auto" w:fill="FFFFFF"/>
        </w:rPr>
        <w:t>One Plant’s</w:t>
      </w:r>
      <w:r w:rsidRPr="00E67C92">
        <w:rPr>
          <w:rFonts w:ascii="Times" w:hAnsi="Times"/>
          <w:sz w:val="24"/>
          <w:szCs w:val="24"/>
          <w:shd w:val="clear" w:color="auto" w:fill="FFFFFF"/>
        </w:rPr>
        <w:t xml:space="preserve"> 54,000 square-foot Nexus Greenhouse in In</w:t>
      </w:r>
      <w:r w:rsidR="00E72E12">
        <w:rPr>
          <w:rFonts w:ascii="Times" w:hAnsi="Times"/>
          <w:sz w:val="24"/>
          <w:szCs w:val="24"/>
          <w:shd w:val="clear" w:color="auto" w:fill="FFFFFF"/>
        </w:rPr>
        <w:t xml:space="preserve">diantown.  One Plant </w:t>
      </w:r>
      <w:r w:rsidRPr="00E67C92">
        <w:rPr>
          <w:rFonts w:ascii="Times" w:hAnsi="Times"/>
          <w:sz w:val="24"/>
          <w:szCs w:val="24"/>
          <w:shd w:val="clear" w:color="auto" w:fill="FFFFFF"/>
        </w:rPr>
        <w:t xml:space="preserve">anticipates the </w:t>
      </w:r>
      <w:r w:rsidR="00E72E12">
        <w:rPr>
          <w:rFonts w:ascii="Times" w:hAnsi="Times"/>
          <w:sz w:val="24"/>
          <w:szCs w:val="24"/>
          <w:shd w:val="clear" w:color="auto" w:fill="FFFFFF"/>
        </w:rPr>
        <w:t>g</w:t>
      </w:r>
      <w:r w:rsidRPr="00E67C92">
        <w:rPr>
          <w:rFonts w:ascii="Times" w:hAnsi="Times"/>
          <w:sz w:val="24"/>
          <w:szCs w:val="24"/>
          <w:shd w:val="clear" w:color="auto" w:fill="FFFFFF"/>
        </w:rPr>
        <w:t xml:space="preserve">reenhouse will commence full operations before the end of the first quarter of 2020, subject to the receipt </w:t>
      </w:r>
      <w:r w:rsidR="00E72E12">
        <w:rPr>
          <w:rFonts w:ascii="Times" w:hAnsi="Times"/>
          <w:sz w:val="24"/>
          <w:szCs w:val="24"/>
          <w:shd w:val="clear" w:color="auto" w:fill="FFFFFF"/>
        </w:rPr>
        <w:t xml:space="preserve">of </w:t>
      </w:r>
      <w:r w:rsidRPr="00E67C92">
        <w:rPr>
          <w:rFonts w:ascii="Times" w:hAnsi="Times"/>
          <w:sz w:val="24"/>
          <w:szCs w:val="24"/>
          <w:shd w:val="clear" w:color="auto" w:fill="FFFFFF"/>
        </w:rPr>
        <w:t xml:space="preserve">all required regulatory approvals from the Florida Office of Medical Marijuana Use. </w:t>
      </w:r>
    </w:p>
    <w:p w:rsidR="001F4C8E" w:rsidP="00E67C92" w14:paraId="3A13C46B" w14:textId="77777777">
      <w:pPr>
        <w:pStyle w:val="Default"/>
        <w:spacing w:line="340" w:lineRule="atLeast"/>
        <w:rPr>
          <w:rFonts w:ascii="Times" w:hAnsi="Times"/>
          <w:sz w:val="24"/>
          <w:szCs w:val="24"/>
          <w:shd w:val="clear" w:color="auto" w:fill="FFFFFF"/>
        </w:rPr>
      </w:pPr>
    </w:p>
    <w:p w:rsidR="001F4C8E" w:rsidP="001F4C8E" w14:paraId="3D410AD7" w14:textId="2AA82E20">
      <w:pPr>
        <w:pStyle w:val="Default"/>
        <w:spacing w:line="340" w:lineRule="atLeast"/>
        <w:rPr>
          <w:rFonts w:ascii="Times" w:hAnsi="Times"/>
          <w:sz w:val="24"/>
          <w:szCs w:val="24"/>
          <w:shd w:val="clear" w:color="auto" w:fill="FFFFFF"/>
        </w:rPr>
      </w:pPr>
      <w:r>
        <w:rPr>
          <w:rFonts w:ascii="Times" w:hAnsi="Times"/>
          <w:sz w:val="24"/>
          <w:szCs w:val="24"/>
          <w:shd w:val="clear" w:color="auto" w:fill="FFFFFF"/>
        </w:rPr>
        <w:t>Nexus Greenhouses, manufactured by the renowned Colorado-based company</w:t>
      </w:r>
      <w:r w:rsidR="00E72E12">
        <w:rPr>
          <w:rFonts w:ascii="Times" w:hAnsi="Times"/>
          <w:sz w:val="24"/>
          <w:szCs w:val="24"/>
          <w:shd w:val="clear" w:color="auto" w:fill="FFFFFF"/>
        </w:rPr>
        <w:t>,</w:t>
      </w:r>
      <w:r>
        <w:rPr>
          <w:rFonts w:ascii="Times" w:hAnsi="Times"/>
          <w:sz w:val="24"/>
          <w:szCs w:val="24"/>
          <w:shd w:val="clear" w:color="auto" w:fill="FFFFFF"/>
        </w:rPr>
        <w:t xml:space="preserve"> Nexus Greenhouse Systems, utilize</w:t>
      </w:r>
      <w:r w:rsidR="00E72E12">
        <w:rPr>
          <w:rFonts w:ascii="Times" w:hAnsi="Times"/>
          <w:sz w:val="24"/>
          <w:szCs w:val="24"/>
          <w:shd w:val="clear" w:color="auto" w:fill="FFFFFF"/>
        </w:rPr>
        <w:t>s</w:t>
      </w:r>
      <w:r>
        <w:rPr>
          <w:rFonts w:ascii="Times" w:hAnsi="Times"/>
          <w:sz w:val="24"/>
          <w:szCs w:val="24"/>
          <w:shd w:val="clear" w:color="auto" w:fill="FFFFFF"/>
        </w:rPr>
        <w:t xml:space="preserve"> modern, state-of-the-art agricultural technology combined with a high-yield growing approach to produce indoor-style cultivated flower with less demand on energy resources. One Plant Florida’s own 54,000 square foot Nexus greenhouse was designed to include ten (10) separate cultivation rooms, and will employ separate heating and cooling systems for each room, shade control and light deprivation systems, state-of-the-art automation, irrigation and fertigation systems, all to enhance One Plant’s continued production of the highest quality cannabis flower in the State of Florida.</w:t>
      </w:r>
    </w:p>
    <w:p w:rsidR="001F4C8E" w:rsidP="001F4C8E" w14:paraId="13CBC6EE" w14:textId="77777777">
      <w:pPr>
        <w:pStyle w:val="Default"/>
        <w:spacing w:line="340" w:lineRule="atLeast"/>
        <w:rPr>
          <w:rFonts w:ascii="Times" w:eastAsia="Times" w:hAnsi="Times" w:cs="Times"/>
          <w:sz w:val="24"/>
          <w:szCs w:val="24"/>
          <w:shd w:val="clear" w:color="auto" w:fill="FFFFFF"/>
        </w:rPr>
      </w:pPr>
    </w:p>
    <w:p w:rsidR="001F4C8E" w:rsidRPr="001F4C8E" w:rsidP="001F4C8E" w14:paraId="0BC7F931" w14:textId="77777777">
      <w:pPr>
        <w:pStyle w:val="Default"/>
        <w:spacing w:line="340" w:lineRule="atLeast"/>
        <w:rPr>
          <w:rFonts w:ascii="Times" w:hAnsi="Times"/>
          <w:sz w:val="24"/>
          <w:szCs w:val="24"/>
          <w:shd w:val="clear" w:color="auto" w:fill="FFFFFF"/>
        </w:rPr>
      </w:pPr>
      <w:r w:rsidRPr="001F4C8E">
        <w:rPr>
          <w:rFonts w:ascii="Times" w:hAnsi="Times"/>
          <w:sz w:val="24"/>
          <w:szCs w:val="24"/>
          <w:shd w:val="clear" w:color="auto" w:fill="FFFFFF"/>
        </w:rPr>
        <w:t>“I am very excited about having Advanced Flower Capital as a capital partner as we scale up our operations as a premium flower company in Florida,” said Brady Cobb, CEO.  “The entire One Plant Florida team is committed to our mission and purpose of cultivating and delivering world-class flower and flower-derived products to Florida’s patients, and this construction loan will allow us to continue to execute on our plans to build and develop a state-of-the-art indoor facility to facilitate expansion and the acquisition of additional market share in the budding Florida marketplace.”</w:t>
      </w:r>
    </w:p>
    <w:p w:rsidR="001F4C8E" w:rsidRPr="00E67C92" w:rsidP="001F4C8E" w14:paraId="582EBAA0" w14:textId="11AF75CA">
      <w:pPr>
        <w:pStyle w:val="Default"/>
        <w:spacing w:line="340" w:lineRule="atLeast"/>
        <w:rPr>
          <w:rFonts w:ascii="Times" w:hAnsi="Times"/>
          <w:sz w:val="24"/>
          <w:szCs w:val="24"/>
          <w:shd w:val="clear" w:color="auto" w:fill="FFFFFF"/>
        </w:rPr>
      </w:pPr>
      <w:r w:rsidRPr="001F4C8E">
        <w:rPr>
          <w:rFonts w:ascii="Times" w:hAnsi="Times"/>
          <w:sz w:val="24"/>
          <w:szCs w:val="24"/>
          <w:shd w:val="clear" w:color="auto" w:fill="FFFFFF"/>
        </w:rPr>
        <w:t xml:space="preserve">  </w:t>
      </w:r>
    </w:p>
    <w:p w:rsidR="005341B0" w:rsidRPr="005341B0" w:rsidP="005341B0" w14:paraId="7CC5E65F" w14:textId="1D976647">
      <w:pPr>
        <w:pStyle w:val="Default"/>
        <w:spacing w:line="340" w:lineRule="atLeast"/>
        <w:rPr>
          <w:rFonts w:ascii="Times" w:eastAsia="Times" w:hAnsi="Times" w:cs="Times"/>
          <w:bCs/>
          <w:sz w:val="24"/>
          <w:szCs w:val="24"/>
          <w:shd w:val="clear" w:color="auto" w:fill="FFFFFF"/>
        </w:rPr>
      </w:pPr>
      <w:r>
        <w:rPr>
          <w:rFonts w:ascii="Times" w:eastAsia="Times" w:hAnsi="Times" w:cs="Times"/>
          <w:bCs/>
          <w:sz w:val="24"/>
          <w:szCs w:val="24"/>
          <w:shd w:val="clear" w:color="auto" w:fill="FFFFFF"/>
        </w:rPr>
        <w:t xml:space="preserve">Obtaining the construction loan satisfies one of the conditions under </w:t>
      </w:r>
      <w:r w:rsidR="009C21BF">
        <w:rPr>
          <w:rFonts w:ascii="Times" w:eastAsia="Times" w:hAnsi="Times" w:cs="Times"/>
          <w:bCs/>
          <w:sz w:val="24"/>
          <w:szCs w:val="24"/>
          <w:shd w:val="clear" w:color="auto" w:fill="FFFFFF"/>
        </w:rPr>
        <w:t>the</w:t>
      </w:r>
      <w:r w:rsidR="00335731">
        <w:rPr>
          <w:rFonts w:ascii="Times" w:eastAsia="Times" w:hAnsi="Times" w:cs="Times"/>
          <w:bCs/>
          <w:sz w:val="24"/>
          <w:szCs w:val="24"/>
          <w:shd w:val="clear" w:color="auto" w:fill="FFFFFF"/>
        </w:rPr>
        <w:t xml:space="preserve"> previously announced</w:t>
      </w:r>
      <w:r w:rsidR="009C21BF">
        <w:rPr>
          <w:rFonts w:ascii="Times" w:eastAsia="Times" w:hAnsi="Times" w:cs="Times"/>
          <w:bCs/>
          <w:sz w:val="24"/>
          <w:szCs w:val="24"/>
          <w:shd w:val="clear" w:color="auto" w:fill="FFFFFF"/>
        </w:rPr>
        <w:t xml:space="preserve"> </w:t>
      </w:r>
      <w:r w:rsidR="00335731">
        <w:rPr>
          <w:rFonts w:ascii="Times" w:eastAsia="Times" w:hAnsi="Times" w:cs="Times"/>
          <w:bCs/>
          <w:sz w:val="24"/>
          <w:szCs w:val="24"/>
          <w:shd w:val="clear" w:color="auto" w:fill="FFFFFF"/>
        </w:rPr>
        <w:t>b</w:t>
      </w:r>
      <w:r w:rsidRPr="009778E2" w:rsidR="00CE3E24">
        <w:rPr>
          <w:rFonts w:ascii="Times" w:eastAsia="Times" w:hAnsi="Times" w:cs="Times"/>
          <w:bCs/>
          <w:sz w:val="24"/>
          <w:szCs w:val="24"/>
          <w:shd w:val="clear" w:color="auto" w:fill="FFFFFF"/>
        </w:rPr>
        <w:t xml:space="preserve">usiness </w:t>
      </w:r>
      <w:r w:rsidR="00335731">
        <w:rPr>
          <w:rFonts w:ascii="Times" w:eastAsia="Times" w:hAnsi="Times" w:cs="Times"/>
          <w:bCs/>
          <w:sz w:val="24"/>
          <w:szCs w:val="24"/>
          <w:shd w:val="clear" w:color="auto" w:fill="FFFFFF"/>
        </w:rPr>
        <w:t>c</w:t>
      </w:r>
      <w:r w:rsidRPr="009778E2" w:rsidR="00CE3E24">
        <w:rPr>
          <w:rFonts w:ascii="Times" w:eastAsia="Times" w:hAnsi="Times" w:cs="Times"/>
          <w:bCs/>
          <w:sz w:val="24"/>
          <w:szCs w:val="24"/>
          <w:shd w:val="clear" w:color="auto" w:fill="FFFFFF"/>
        </w:rPr>
        <w:t xml:space="preserve">ombination </w:t>
      </w:r>
      <w:r w:rsidR="00335731">
        <w:rPr>
          <w:rFonts w:ascii="Times" w:eastAsia="Times" w:hAnsi="Times" w:cs="Times"/>
          <w:bCs/>
          <w:sz w:val="24"/>
          <w:szCs w:val="24"/>
          <w:shd w:val="clear" w:color="auto" w:fill="FFFFFF"/>
        </w:rPr>
        <w:t>a</w:t>
      </w:r>
      <w:r w:rsidRPr="009778E2" w:rsidR="00CE3E24">
        <w:rPr>
          <w:rFonts w:ascii="Times" w:eastAsia="Times" w:hAnsi="Times" w:cs="Times"/>
          <w:bCs/>
          <w:sz w:val="24"/>
          <w:szCs w:val="24"/>
          <w:shd w:val="clear" w:color="auto" w:fill="FFFFFF"/>
        </w:rPr>
        <w:t xml:space="preserve">greement </w:t>
      </w:r>
      <w:r w:rsidR="00335731">
        <w:rPr>
          <w:rFonts w:ascii="Times" w:eastAsia="Times" w:hAnsi="Times" w:cs="Times"/>
          <w:bCs/>
          <w:sz w:val="24"/>
          <w:szCs w:val="24"/>
          <w:shd w:val="clear" w:color="auto" w:fill="FFFFFF"/>
        </w:rPr>
        <w:t>between</w:t>
      </w:r>
      <w:r w:rsidRPr="009778E2" w:rsidR="00CE3E24">
        <w:rPr>
          <w:rFonts w:ascii="Times" w:eastAsia="Times" w:hAnsi="Times" w:cs="Times"/>
          <w:bCs/>
          <w:sz w:val="24"/>
          <w:szCs w:val="24"/>
          <w:shd w:val="clear" w:color="auto" w:fill="FFFFFF"/>
        </w:rPr>
        <w:t xml:space="preserve"> CannCure</w:t>
      </w:r>
      <w:r w:rsidR="00717972">
        <w:rPr>
          <w:rFonts w:ascii="Times" w:eastAsia="Times" w:hAnsi="Times" w:cs="Times"/>
          <w:bCs/>
          <w:sz w:val="24"/>
          <w:szCs w:val="24"/>
          <w:shd w:val="clear" w:color="auto" w:fill="FFFFFF"/>
        </w:rPr>
        <w:t>,</w:t>
      </w:r>
      <w:r w:rsidRPr="009778E2" w:rsidR="00CE3E24">
        <w:rPr>
          <w:rFonts w:ascii="Times" w:eastAsia="Times" w:hAnsi="Times" w:cs="Times"/>
          <w:bCs/>
          <w:sz w:val="24"/>
          <w:szCs w:val="24"/>
          <w:shd w:val="clear" w:color="auto" w:fill="FFFFFF"/>
        </w:rPr>
        <w:t xml:space="preserve"> Goldstream Minerals Inc. (“</w:t>
      </w:r>
      <w:r w:rsidRPr="00C9735A" w:rsidR="00CE3E24">
        <w:rPr>
          <w:rFonts w:ascii="Times" w:eastAsia="Times" w:hAnsi="Times" w:cs="Times"/>
          <w:b/>
          <w:bCs/>
          <w:sz w:val="24"/>
          <w:szCs w:val="24"/>
          <w:shd w:val="clear" w:color="auto" w:fill="FFFFFF"/>
        </w:rPr>
        <w:t>Goldstream</w:t>
      </w:r>
      <w:r w:rsidRPr="009778E2" w:rsidR="00CE3E24">
        <w:rPr>
          <w:rFonts w:ascii="Times" w:eastAsia="Times" w:hAnsi="Times" w:cs="Times"/>
          <w:bCs/>
          <w:sz w:val="24"/>
          <w:szCs w:val="24"/>
          <w:shd w:val="clear" w:color="auto" w:fill="FFFFFF"/>
        </w:rPr>
        <w:t>”)</w:t>
      </w:r>
      <w:r w:rsidR="000B77CB">
        <w:rPr>
          <w:rFonts w:ascii="Times" w:eastAsia="Times" w:hAnsi="Times" w:cs="Times"/>
          <w:bCs/>
          <w:sz w:val="24"/>
          <w:szCs w:val="24"/>
          <w:shd w:val="clear" w:color="auto" w:fill="FFFFFF"/>
        </w:rPr>
        <w:t xml:space="preserve">, and </w:t>
      </w:r>
      <w:r w:rsidR="00335731">
        <w:rPr>
          <w:rFonts w:ascii="Times" w:eastAsia="Times" w:hAnsi="Times" w:cs="Times"/>
          <w:bCs/>
          <w:sz w:val="24"/>
          <w:szCs w:val="24"/>
          <w:shd w:val="clear" w:color="auto" w:fill="FFFFFF"/>
        </w:rPr>
        <w:t xml:space="preserve">a wholly-owned subsidiary of </w:t>
      </w:r>
      <w:r w:rsidR="000B77CB">
        <w:rPr>
          <w:rFonts w:ascii="Times" w:eastAsia="Times" w:hAnsi="Times" w:cs="Times"/>
          <w:bCs/>
          <w:sz w:val="24"/>
          <w:szCs w:val="24"/>
          <w:shd w:val="clear" w:color="auto" w:fill="FFFFFF"/>
        </w:rPr>
        <w:t>Goldstream</w:t>
      </w:r>
      <w:r w:rsidR="00D50CE7">
        <w:rPr>
          <w:rFonts w:ascii="Times" w:eastAsia="Times" w:hAnsi="Times" w:cs="Times"/>
          <w:bCs/>
          <w:sz w:val="24"/>
          <w:szCs w:val="24"/>
          <w:shd w:val="clear" w:color="auto" w:fill="FFFFFF"/>
        </w:rPr>
        <w:t>,</w:t>
      </w:r>
      <w:r w:rsidR="00335731">
        <w:rPr>
          <w:rFonts w:ascii="Times" w:eastAsia="Times" w:hAnsi="Times" w:cs="Times"/>
          <w:bCs/>
          <w:sz w:val="24"/>
          <w:szCs w:val="24"/>
          <w:shd w:val="clear" w:color="auto" w:fill="FFFFFF"/>
        </w:rPr>
        <w:t xml:space="preserve"> that will result in the reverse takeover of Goldstream by</w:t>
      </w:r>
      <w:r w:rsidR="00717972">
        <w:rPr>
          <w:rFonts w:ascii="Times" w:eastAsia="Times" w:hAnsi="Times" w:cs="Times"/>
          <w:bCs/>
          <w:sz w:val="24"/>
          <w:szCs w:val="24"/>
          <w:shd w:val="clear" w:color="auto" w:fill="FFFFFF"/>
        </w:rPr>
        <w:t xml:space="preserve"> the shareholders of</w:t>
      </w:r>
      <w:r w:rsidR="00335731">
        <w:rPr>
          <w:rFonts w:ascii="Times" w:eastAsia="Times" w:hAnsi="Times" w:cs="Times"/>
          <w:bCs/>
          <w:sz w:val="24"/>
          <w:szCs w:val="24"/>
          <w:shd w:val="clear" w:color="auto" w:fill="FFFFFF"/>
        </w:rPr>
        <w:t xml:space="preserve"> CannCure (the “</w:t>
      </w:r>
      <w:r w:rsidRPr="00335731" w:rsidR="00335731">
        <w:rPr>
          <w:rFonts w:ascii="Times" w:eastAsia="Times" w:hAnsi="Times" w:cs="Times"/>
          <w:b/>
          <w:bCs/>
          <w:sz w:val="24"/>
          <w:szCs w:val="24"/>
          <w:shd w:val="clear" w:color="auto" w:fill="FFFFFF"/>
        </w:rPr>
        <w:t>RTO</w:t>
      </w:r>
      <w:r w:rsidR="00335731">
        <w:rPr>
          <w:rFonts w:ascii="Times" w:eastAsia="Times" w:hAnsi="Times" w:cs="Times"/>
          <w:bCs/>
          <w:sz w:val="24"/>
          <w:szCs w:val="24"/>
          <w:shd w:val="clear" w:color="auto" w:fill="FFFFFF"/>
        </w:rPr>
        <w:t>”). If the RTO is completed, t</w:t>
      </w:r>
      <w:r w:rsidRPr="009778E2" w:rsidR="00CE3E24">
        <w:rPr>
          <w:rFonts w:ascii="Times" w:eastAsia="Times" w:hAnsi="Times" w:cs="Times"/>
          <w:bCs/>
          <w:sz w:val="24"/>
          <w:szCs w:val="24"/>
          <w:shd w:val="clear" w:color="auto" w:fill="FFFFFF"/>
        </w:rPr>
        <w:t>he</w:t>
      </w:r>
      <w:r w:rsidR="00335731">
        <w:rPr>
          <w:rFonts w:ascii="Times" w:eastAsia="Times" w:hAnsi="Times" w:cs="Times"/>
          <w:bCs/>
          <w:sz w:val="24"/>
          <w:szCs w:val="24"/>
          <w:shd w:val="clear" w:color="auto" w:fill="FFFFFF"/>
        </w:rPr>
        <w:t>n the</w:t>
      </w:r>
      <w:r w:rsidRPr="009778E2" w:rsidR="00CE3E24">
        <w:rPr>
          <w:rFonts w:ascii="Times" w:eastAsia="Times" w:hAnsi="Times" w:cs="Times"/>
          <w:bCs/>
          <w:sz w:val="24"/>
          <w:szCs w:val="24"/>
          <w:shd w:val="clear" w:color="auto" w:fill="FFFFFF"/>
        </w:rPr>
        <w:t xml:space="preserve"> issuer</w:t>
      </w:r>
      <w:r w:rsidR="00335731">
        <w:rPr>
          <w:rFonts w:ascii="Times" w:eastAsia="Times" w:hAnsi="Times" w:cs="Times"/>
          <w:bCs/>
          <w:sz w:val="24"/>
          <w:szCs w:val="24"/>
          <w:shd w:val="clear" w:color="auto" w:fill="FFFFFF"/>
        </w:rPr>
        <w:t xml:space="preserve"> resulting from the RTO (the “</w:t>
      </w:r>
      <w:r w:rsidRPr="00335731" w:rsidR="00335731">
        <w:rPr>
          <w:rFonts w:ascii="Times" w:eastAsia="Times" w:hAnsi="Times" w:cs="Times"/>
          <w:b/>
          <w:bCs/>
          <w:sz w:val="24"/>
          <w:szCs w:val="24"/>
          <w:shd w:val="clear" w:color="auto" w:fill="FFFFFF"/>
        </w:rPr>
        <w:t>Resulting Issuer</w:t>
      </w:r>
      <w:r w:rsidR="00335731">
        <w:rPr>
          <w:rFonts w:ascii="Times" w:eastAsia="Times" w:hAnsi="Times" w:cs="Times"/>
          <w:bCs/>
          <w:sz w:val="24"/>
          <w:szCs w:val="24"/>
          <w:shd w:val="clear" w:color="auto" w:fill="FFFFFF"/>
        </w:rPr>
        <w:t xml:space="preserve">”) </w:t>
      </w:r>
      <w:r w:rsidRPr="009778E2" w:rsidR="00CE3E24">
        <w:rPr>
          <w:rFonts w:ascii="Times" w:eastAsia="Times" w:hAnsi="Times" w:cs="Times"/>
          <w:bCs/>
          <w:sz w:val="24"/>
          <w:szCs w:val="24"/>
          <w:shd w:val="clear" w:color="auto" w:fill="FFFFFF"/>
        </w:rPr>
        <w:t>will carry on the business of CannCure as a U.S. multi-state cannabis company initially operating in the State of Florida via One Plant.</w:t>
      </w:r>
      <w:r w:rsidR="00CE3E24">
        <w:rPr>
          <w:rFonts w:ascii="Times" w:eastAsia="Times" w:hAnsi="Times" w:cs="Times"/>
          <w:bCs/>
          <w:sz w:val="24"/>
          <w:szCs w:val="24"/>
          <w:shd w:val="clear" w:color="auto" w:fill="FFFFFF"/>
        </w:rPr>
        <w:t xml:space="preserve"> </w:t>
      </w:r>
      <w:r w:rsidRPr="005341B0" w:rsidR="00CE3E24">
        <w:rPr>
          <w:rFonts w:ascii="Times" w:eastAsia="Times" w:hAnsi="Times" w:cs="Times"/>
          <w:bCs/>
          <w:sz w:val="24"/>
          <w:szCs w:val="24"/>
          <w:shd w:val="clear" w:color="auto" w:fill="FFFFFF"/>
        </w:rPr>
        <w:t xml:space="preserve">The completion of the RTO is subject to a number of </w:t>
      </w:r>
      <w:r>
        <w:rPr>
          <w:rFonts w:ascii="Times" w:eastAsia="Times" w:hAnsi="Times" w:cs="Times"/>
          <w:bCs/>
          <w:sz w:val="24"/>
          <w:szCs w:val="24"/>
          <w:shd w:val="clear" w:color="auto" w:fill="FFFFFF"/>
        </w:rPr>
        <w:t xml:space="preserve">other </w:t>
      </w:r>
      <w:r w:rsidRPr="005341B0" w:rsidR="00CE3E24">
        <w:rPr>
          <w:rFonts w:ascii="Times" w:eastAsia="Times" w:hAnsi="Times" w:cs="Times"/>
          <w:bCs/>
          <w:sz w:val="24"/>
          <w:szCs w:val="24"/>
          <w:shd w:val="clear" w:color="auto" w:fill="FFFFFF"/>
        </w:rPr>
        <w:t>conditions</w:t>
      </w:r>
      <w:r w:rsidR="00D50CE7">
        <w:rPr>
          <w:rFonts w:ascii="Times" w:eastAsia="Times" w:hAnsi="Times" w:cs="Times"/>
          <w:bCs/>
          <w:sz w:val="24"/>
          <w:szCs w:val="24"/>
          <w:shd w:val="clear" w:color="auto" w:fill="FFFFFF"/>
        </w:rPr>
        <w:t>,</w:t>
      </w:r>
      <w:r w:rsidRPr="005341B0" w:rsidR="00CE3E24">
        <w:rPr>
          <w:rFonts w:ascii="Times" w:eastAsia="Times" w:hAnsi="Times" w:cs="Times"/>
          <w:bCs/>
          <w:sz w:val="24"/>
          <w:szCs w:val="24"/>
          <w:shd w:val="clear" w:color="auto" w:fill="FFFFFF"/>
        </w:rPr>
        <w:t xml:space="preserve"> including </w:t>
      </w:r>
      <w:r w:rsidR="00CE3E24">
        <w:rPr>
          <w:rFonts w:ascii="Times" w:eastAsia="Times" w:hAnsi="Times" w:cs="Times"/>
          <w:bCs/>
          <w:sz w:val="24"/>
          <w:szCs w:val="24"/>
          <w:shd w:val="clear" w:color="auto" w:fill="FFFFFF"/>
        </w:rPr>
        <w:t xml:space="preserve">the receipt of </w:t>
      </w:r>
      <w:r w:rsidRPr="005341B0" w:rsidR="00CE3E24">
        <w:rPr>
          <w:rFonts w:ascii="Times" w:eastAsia="Times" w:hAnsi="Times" w:cs="Times"/>
          <w:bCs/>
          <w:sz w:val="24"/>
          <w:szCs w:val="24"/>
          <w:shd w:val="clear" w:color="auto" w:fill="FFFFFF"/>
        </w:rPr>
        <w:t xml:space="preserve">all </w:t>
      </w:r>
      <w:r w:rsidR="001F4C8E">
        <w:rPr>
          <w:rFonts w:ascii="Times" w:eastAsia="Times" w:hAnsi="Times" w:cs="Times"/>
          <w:bCs/>
          <w:sz w:val="24"/>
          <w:szCs w:val="24"/>
          <w:shd w:val="clear" w:color="auto" w:fill="FFFFFF"/>
        </w:rPr>
        <w:t>requisite</w:t>
      </w:r>
      <w:r w:rsidRPr="005341B0" w:rsidR="00CE3E24">
        <w:rPr>
          <w:rFonts w:ascii="Times" w:eastAsia="Times" w:hAnsi="Times" w:cs="Times"/>
          <w:bCs/>
          <w:sz w:val="24"/>
          <w:szCs w:val="24"/>
          <w:shd w:val="clear" w:color="auto" w:fill="FFFFFF"/>
        </w:rPr>
        <w:t xml:space="preserve"> </w:t>
      </w:r>
      <w:r w:rsidR="001F4C8E">
        <w:rPr>
          <w:rFonts w:ascii="Times" w:eastAsia="Times" w:hAnsi="Times" w:cs="Times"/>
          <w:bCs/>
          <w:sz w:val="24"/>
          <w:szCs w:val="24"/>
          <w:shd w:val="clear" w:color="auto" w:fill="FFFFFF"/>
        </w:rPr>
        <w:t xml:space="preserve">shareholder and regulatory approvals including, without limitation, </w:t>
      </w:r>
      <w:r w:rsidRPr="005341B0" w:rsidR="00CE3E24">
        <w:rPr>
          <w:rFonts w:ascii="Times" w:eastAsia="Times" w:hAnsi="Times" w:cs="Times"/>
          <w:bCs/>
          <w:sz w:val="24"/>
          <w:szCs w:val="24"/>
          <w:shd w:val="clear" w:color="auto" w:fill="FFFFFF"/>
        </w:rPr>
        <w:t xml:space="preserve">the de-listing of </w:t>
      </w:r>
      <w:r w:rsidR="00CE3E24">
        <w:rPr>
          <w:rFonts w:ascii="Times" w:eastAsia="Times" w:hAnsi="Times" w:cs="Times"/>
          <w:bCs/>
          <w:sz w:val="24"/>
          <w:szCs w:val="24"/>
          <w:shd w:val="clear" w:color="auto" w:fill="FFFFFF"/>
        </w:rPr>
        <w:t>Goldstream from the NEX board of the TSX Venture Exchange</w:t>
      </w:r>
      <w:r w:rsidR="001F4C8E">
        <w:rPr>
          <w:rFonts w:ascii="Times" w:eastAsia="Times" w:hAnsi="Times" w:cs="Times"/>
          <w:bCs/>
          <w:sz w:val="24"/>
          <w:szCs w:val="24"/>
          <w:shd w:val="clear" w:color="auto" w:fill="FFFFFF"/>
        </w:rPr>
        <w:t>,</w:t>
      </w:r>
      <w:r w:rsidR="00CE3E24">
        <w:rPr>
          <w:rFonts w:ascii="Times" w:eastAsia="Times" w:hAnsi="Times" w:cs="Times"/>
          <w:bCs/>
          <w:sz w:val="24"/>
          <w:szCs w:val="24"/>
          <w:shd w:val="clear" w:color="auto" w:fill="FFFFFF"/>
        </w:rPr>
        <w:t xml:space="preserve"> </w:t>
      </w:r>
      <w:r w:rsidR="001F4C8E">
        <w:rPr>
          <w:rFonts w:ascii="Times" w:eastAsia="Times" w:hAnsi="Times" w:cs="Times"/>
          <w:bCs/>
          <w:sz w:val="24"/>
          <w:szCs w:val="24"/>
          <w:shd w:val="clear" w:color="auto" w:fill="FFFFFF"/>
        </w:rPr>
        <w:t xml:space="preserve">the </w:t>
      </w:r>
      <w:r w:rsidR="00CE3E24">
        <w:rPr>
          <w:rFonts w:ascii="Times" w:eastAsia="Times" w:hAnsi="Times" w:cs="Times"/>
          <w:bCs/>
          <w:sz w:val="24"/>
          <w:szCs w:val="24"/>
          <w:shd w:val="clear" w:color="auto" w:fill="FFFFFF"/>
        </w:rPr>
        <w:t>list</w:t>
      </w:r>
      <w:r w:rsidR="001F4C8E">
        <w:rPr>
          <w:rFonts w:ascii="Times" w:eastAsia="Times" w:hAnsi="Times" w:cs="Times"/>
          <w:bCs/>
          <w:sz w:val="24"/>
          <w:szCs w:val="24"/>
          <w:shd w:val="clear" w:color="auto" w:fill="FFFFFF"/>
        </w:rPr>
        <w:t>ing</w:t>
      </w:r>
      <w:r w:rsidR="00CE3E24">
        <w:rPr>
          <w:rFonts w:ascii="Times" w:eastAsia="Times" w:hAnsi="Times" w:cs="Times"/>
          <w:bCs/>
          <w:sz w:val="24"/>
          <w:szCs w:val="24"/>
          <w:shd w:val="clear" w:color="auto" w:fill="FFFFFF"/>
        </w:rPr>
        <w:t xml:space="preserve"> </w:t>
      </w:r>
      <w:r w:rsidR="001F4C8E">
        <w:rPr>
          <w:rFonts w:ascii="Times" w:eastAsia="Times" w:hAnsi="Times" w:cs="Times"/>
          <w:bCs/>
          <w:sz w:val="24"/>
          <w:szCs w:val="24"/>
          <w:shd w:val="clear" w:color="auto" w:fill="FFFFFF"/>
        </w:rPr>
        <w:t>of the Resulting Issuer’s common shares for trading on</w:t>
      </w:r>
      <w:r w:rsidR="00CE3E24">
        <w:rPr>
          <w:rFonts w:ascii="Times" w:eastAsia="Times" w:hAnsi="Times" w:cs="Times"/>
          <w:bCs/>
          <w:sz w:val="24"/>
          <w:szCs w:val="24"/>
          <w:shd w:val="clear" w:color="auto" w:fill="FFFFFF"/>
        </w:rPr>
        <w:t xml:space="preserve"> the Canadian Securities Exchange,</w:t>
      </w:r>
      <w:r w:rsidR="001F4C8E">
        <w:rPr>
          <w:rFonts w:ascii="Times" w:eastAsia="Times" w:hAnsi="Times" w:cs="Times"/>
          <w:bCs/>
          <w:sz w:val="24"/>
          <w:szCs w:val="24"/>
          <w:shd w:val="clear" w:color="auto" w:fill="FFFFFF"/>
        </w:rPr>
        <w:t xml:space="preserve"> and all necessary approvals from the Florida Office of Medical Marijuana Use. </w:t>
      </w:r>
      <w:r w:rsidR="00CE3E24">
        <w:rPr>
          <w:rFonts w:ascii="Times" w:eastAsia="Times" w:hAnsi="Times" w:cs="Times"/>
          <w:bCs/>
          <w:sz w:val="24"/>
          <w:szCs w:val="24"/>
          <w:shd w:val="clear" w:color="auto" w:fill="FFFFFF"/>
        </w:rPr>
        <w:t xml:space="preserve"> </w:t>
      </w:r>
      <w:r w:rsidR="001F4C8E">
        <w:rPr>
          <w:rFonts w:ascii="Times" w:eastAsia="Times" w:hAnsi="Times" w:cs="Times"/>
          <w:bCs/>
          <w:sz w:val="24"/>
          <w:szCs w:val="24"/>
          <w:shd w:val="clear" w:color="auto" w:fill="FFFFFF"/>
        </w:rPr>
        <w:t xml:space="preserve">There can be no assurance that the RTO will be completed as proposed or at all. </w:t>
      </w:r>
    </w:p>
    <w:p w:rsidR="0009611D" w14:paraId="1E86F357" w14:textId="7674E7B3">
      <w:pPr>
        <w:pStyle w:val="Default"/>
        <w:spacing w:line="340" w:lineRule="atLeast"/>
        <w:rPr>
          <w:rFonts w:ascii="Times" w:eastAsia="Times" w:hAnsi="Times" w:cs="Times"/>
          <w:bCs/>
          <w:sz w:val="24"/>
          <w:szCs w:val="24"/>
          <w:shd w:val="clear" w:color="auto" w:fill="FFFFFF"/>
        </w:rPr>
      </w:pPr>
      <w:r>
        <w:rPr>
          <w:rFonts w:ascii="Times" w:eastAsia="Times" w:hAnsi="Times" w:cs="Times"/>
          <w:bCs/>
          <w:sz w:val="24"/>
          <w:szCs w:val="24"/>
          <w:shd w:val="clear" w:color="auto" w:fill="FFFFFF"/>
        </w:rPr>
        <w:t xml:space="preserve"> </w:t>
      </w:r>
      <w:r w:rsidRPr="009778E2" w:rsidR="00B81207">
        <w:rPr>
          <w:rFonts w:ascii="Times" w:eastAsia="Times" w:hAnsi="Times" w:cs="Times"/>
          <w:bCs/>
          <w:sz w:val="24"/>
          <w:szCs w:val="24"/>
          <w:shd w:val="clear" w:color="auto" w:fill="FFFFFF"/>
        </w:rPr>
        <w:t xml:space="preserve">  </w:t>
      </w:r>
    </w:p>
    <w:p w:rsidR="00B81D33" w14:paraId="15820E4B" w14:textId="77777777">
      <w:pPr>
        <w:pStyle w:val="Default"/>
        <w:spacing w:line="340" w:lineRule="atLeast"/>
        <w:rPr>
          <w:rFonts w:ascii="Times" w:eastAsia="Times" w:hAnsi="Times" w:cs="Times"/>
          <w:sz w:val="24"/>
          <w:szCs w:val="24"/>
          <w:shd w:val="clear" w:color="auto" w:fill="FFFFFF"/>
        </w:rPr>
      </w:pPr>
      <w:r>
        <w:rPr>
          <w:rFonts w:ascii="Times" w:hAnsi="Times"/>
          <w:b/>
          <w:bCs/>
          <w:sz w:val="24"/>
          <w:szCs w:val="24"/>
          <w:u w:val="single"/>
          <w:shd w:val="clear" w:color="auto" w:fill="FFFFFF"/>
        </w:rPr>
        <w:t>Construction Loan Terms:</w:t>
      </w:r>
    </w:p>
    <w:p w:rsidR="00B81D33" w14:paraId="15820E4C" w14:textId="234D03A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xml:space="preserve">The construction loan consists of a five-year </w:t>
      </w:r>
      <w:r w:rsidR="00E965D2">
        <w:rPr>
          <w:rFonts w:ascii="Times" w:hAnsi="Times"/>
          <w:sz w:val="24"/>
          <w:szCs w:val="24"/>
          <w:shd w:val="clear" w:color="auto" w:fill="FFFFFF"/>
        </w:rPr>
        <w:t>USD</w:t>
      </w:r>
      <w:r>
        <w:rPr>
          <w:rFonts w:ascii="Times" w:hAnsi="Times"/>
          <w:sz w:val="24"/>
          <w:szCs w:val="24"/>
          <w:shd w:val="clear" w:color="auto" w:fill="FFFFFF"/>
        </w:rPr>
        <w:t>$</w:t>
      </w:r>
      <w:r w:rsidR="007870B5">
        <w:rPr>
          <w:rFonts w:ascii="Times" w:hAnsi="Times"/>
          <w:sz w:val="24"/>
          <w:szCs w:val="24"/>
          <w:shd w:val="clear" w:color="auto" w:fill="FFFFFF"/>
        </w:rPr>
        <w:t>15,000,000 loan</w:t>
      </w:r>
      <w:r>
        <w:rPr>
          <w:rFonts w:ascii="Times" w:hAnsi="Times"/>
          <w:sz w:val="24"/>
          <w:szCs w:val="24"/>
          <w:shd w:val="clear" w:color="auto" w:fill="FFFFFF"/>
        </w:rPr>
        <w:t xml:space="preserve">, with year one interest only on the amount outstanding, future advances not to exceed </w:t>
      </w:r>
      <w:r w:rsidR="00E965D2">
        <w:rPr>
          <w:rFonts w:ascii="Times" w:hAnsi="Times"/>
          <w:sz w:val="24"/>
          <w:szCs w:val="24"/>
          <w:shd w:val="clear" w:color="auto" w:fill="FFFFFF"/>
        </w:rPr>
        <w:t>USD</w:t>
      </w:r>
      <w:r>
        <w:rPr>
          <w:rFonts w:ascii="Times" w:hAnsi="Times"/>
          <w:sz w:val="24"/>
          <w:szCs w:val="24"/>
          <w:shd w:val="clear" w:color="auto" w:fill="FFFFFF"/>
        </w:rPr>
        <w:t>$20</w:t>
      </w:r>
      <w:r w:rsidR="00E965D2">
        <w:rPr>
          <w:rFonts w:ascii="Times" w:hAnsi="Times"/>
          <w:sz w:val="24"/>
          <w:szCs w:val="24"/>
          <w:shd w:val="clear" w:color="auto" w:fill="FFFFFF"/>
        </w:rPr>
        <w:t>,000,000</w:t>
      </w:r>
      <w:r>
        <w:rPr>
          <w:rFonts w:ascii="Times" w:hAnsi="Times"/>
          <w:sz w:val="24"/>
          <w:szCs w:val="24"/>
          <w:shd w:val="clear" w:color="auto" w:fill="FFFFFF"/>
        </w:rPr>
        <w:t xml:space="preserve"> USD in total, and an interest rate of 13.5%. The construction loan is secured by a mortgage and other commercially</w:t>
      </w:r>
      <w:r w:rsidR="00E965D2">
        <w:rPr>
          <w:rFonts w:ascii="Times" w:hAnsi="Times"/>
          <w:sz w:val="24"/>
          <w:szCs w:val="24"/>
          <w:shd w:val="clear" w:color="auto" w:fill="FFFFFF"/>
        </w:rPr>
        <w:t>-</w:t>
      </w:r>
      <w:r>
        <w:rPr>
          <w:rFonts w:ascii="Times" w:hAnsi="Times"/>
          <w:sz w:val="24"/>
          <w:szCs w:val="24"/>
          <w:shd w:val="clear" w:color="auto" w:fill="FFFFFF"/>
        </w:rPr>
        <w:t>common security interests and instruments. </w:t>
      </w:r>
    </w:p>
    <w:p w:rsidR="00B81D33" w14:paraId="15820E4D" w14:textId="7777777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w:t>
      </w:r>
    </w:p>
    <w:p w:rsidR="00B81D33" w14:paraId="15820E4E" w14:textId="77777777">
      <w:pPr>
        <w:pStyle w:val="Default"/>
        <w:spacing w:line="340" w:lineRule="atLeast"/>
        <w:rPr>
          <w:rFonts w:ascii="Times" w:eastAsia="Times" w:hAnsi="Times" w:cs="Times"/>
          <w:sz w:val="24"/>
          <w:szCs w:val="24"/>
          <w:shd w:val="clear" w:color="auto" w:fill="FFFFFF"/>
        </w:rPr>
      </w:pPr>
      <w:r>
        <w:rPr>
          <w:rFonts w:ascii="Times" w:hAnsi="Times"/>
          <w:b/>
          <w:bCs/>
          <w:sz w:val="24"/>
          <w:szCs w:val="24"/>
          <w:u w:val="single"/>
          <w:shd w:val="clear" w:color="auto" w:fill="FFFFFF"/>
        </w:rPr>
        <w:t>Operational Update:</w:t>
      </w:r>
    </w:p>
    <w:p w:rsidR="00C737B7" w14:paraId="3DD763B3" w14:textId="78B8EBCD">
      <w:pPr>
        <w:pStyle w:val="Default"/>
        <w:spacing w:line="340" w:lineRule="atLeast"/>
        <w:rPr>
          <w:rFonts w:ascii="Times" w:hAnsi="Times"/>
          <w:sz w:val="24"/>
          <w:szCs w:val="24"/>
          <w:shd w:val="clear" w:color="auto" w:fill="FFFFFF"/>
        </w:rPr>
      </w:pPr>
      <w:r>
        <w:rPr>
          <w:rFonts w:ascii="Times" w:hAnsi="Times"/>
          <w:sz w:val="24"/>
          <w:szCs w:val="24"/>
          <w:shd w:val="clear" w:color="auto" w:fill="FFFFFF"/>
        </w:rPr>
        <w:t>One Plant Florida continues to establish itself as</w:t>
      </w:r>
      <w:r>
        <w:rPr>
          <w:rFonts w:ascii="Times" w:hAnsi="Times"/>
          <w:sz w:val="24"/>
          <w:szCs w:val="24"/>
          <w:shd w:val="clear" w:color="auto" w:fill="FFFFFF"/>
        </w:rPr>
        <w:t xml:space="preserve"> a</w:t>
      </w:r>
      <w:r>
        <w:rPr>
          <w:rFonts w:ascii="Times" w:hAnsi="Times"/>
          <w:sz w:val="24"/>
          <w:szCs w:val="24"/>
          <w:shd w:val="clear" w:color="auto" w:fill="FFFFFF"/>
        </w:rPr>
        <w:t xml:space="preserve"> producer of the highest-quality cannabis products in Florida</w:t>
      </w:r>
      <w:r w:rsidR="005F05C6">
        <w:rPr>
          <w:rFonts w:ascii="Times" w:hAnsi="Times"/>
          <w:sz w:val="24"/>
          <w:szCs w:val="24"/>
          <w:shd w:val="clear" w:color="auto" w:fill="FFFFFF"/>
        </w:rPr>
        <w:t>, and when it</w:t>
      </w:r>
      <w:r>
        <w:rPr>
          <w:rFonts w:ascii="Times" w:hAnsi="Times"/>
          <w:sz w:val="24"/>
          <w:szCs w:val="24"/>
          <w:shd w:val="clear" w:color="auto" w:fill="FFFFFF"/>
        </w:rPr>
        <w:t>s current operations are compared against more established M</w:t>
      </w:r>
      <w:r w:rsidR="005F05C6">
        <w:rPr>
          <w:rFonts w:ascii="Times" w:hAnsi="Times"/>
          <w:sz w:val="24"/>
          <w:szCs w:val="24"/>
          <w:shd w:val="clear" w:color="auto" w:fill="FFFFFF"/>
        </w:rPr>
        <w:t xml:space="preserve">edical </w:t>
      </w:r>
      <w:r>
        <w:rPr>
          <w:rFonts w:ascii="Times" w:hAnsi="Times"/>
          <w:sz w:val="24"/>
          <w:szCs w:val="24"/>
          <w:shd w:val="clear" w:color="auto" w:fill="FFFFFF"/>
        </w:rPr>
        <w:t>M</w:t>
      </w:r>
      <w:r w:rsidR="005F05C6">
        <w:rPr>
          <w:rFonts w:ascii="Times" w:hAnsi="Times"/>
          <w:sz w:val="24"/>
          <w:szCs w:val="24"/>
          <w:shd w:val="clear" w:color="auto" w:fill="FFFFFF"/>
        </w:rPr>
        <w:t xml:space="preserve">arijuana </w:t>
      </w:r>
      <w:r>
        <w:rPr>
          <w:rFonts w:ascii="Times" w:hAnsi="Times"/>
          <w:sz w:val="24"/>
          <w:szCs w:val="24"/>
          <w:shd w:val="clear" w:color="auto" w:fill="FFFFFF"/>
        </w:rPr>
        <w:t>T</w:t>
      </w:r>
      <w:r w:rsidR="005F05C6">
        <w:rPr>
          <w:rFonts w:ascii="Times" w:hAnsi="Times"/>
          <w:sz w:val="24"/>
          <w:szCs w:val="24"/>
          <w:shd w:val="clear" w:color="auto" w:fill="FFFFFF"/>
        </w:rPr>
        <w:t>reatment Center</w:t>
      </w:r>
      <w:r>
        <w:rPr>
          <w:rFonts w:ascii="Times" w:hAnsi="Times"/>
          <w:sz w:val="24"/>
          <w:szCs w:val="24"/>
          <w:shd w:val="clear" w:color="auto" w:fill="FFFFFF"/>
        </w:rPr>
        <w:t>s in Florida, the power of premium flower can be seen</w:t>
      </w:r>
      <w:r>
        <w:rPr>
          <w:rFonts w:ascii="Times" w:hAnsi="Times"/>
          <w:sz w:val="24"/>
          <w:szCs w:val="24"/>
          <w:shd w:val="clear" w:color="auto" w:fill="FFFFFF"/>
        </w:rPr>
        <w:t>. According to the weekly report dated February 1</w:t>
      </w:r>
      <w:r>
        <w:rPr>
          <w:rFonts w:ascii="Times" w:hAnsi="Times"/>
          <w:sz w:val="24"/>
          <w:szCs w:val="24"/>
          <w:shd w:val="clear" w:color="auto" w:fill="FFFFFF"/>
        </w:rPr>
        <w:t>4</w:t>
      </w:r>
      <w:r>
        <w:rPr>
          <w:rFonts w:ascii="Times" w:hAnsi="Times"/>
          <w:sz w:val="24"/>
          <w:szCs w:val="24"/>
          <w:shd w:val="clear" w:color="auto" w:fill="FFFFFF"/>
        </w:rPr>
        <w:t>, 2020 from Florida’s Office of Medical Marijuana Use</w:t>
      </w:r>
      <w:r>
        <w:rPr>
          <w:rFonts w:ascii="Times" w:hAnsi="Times"/>
          <w:sz w:val="24"/>
          <w:szCs w:val="24"/>
          <w:shd w:val="clear" w:color="auto" w:fill="FFFFFF"/>
        </w:rPr>
        <w:t xml:space="preserve">: </w:t>
      </w:r>
    </w:p>
    <w:p w:rsidR="00C737B7" w14:paraId="47EF3460" w14:textId="77777777">
      <w:pPr>
        <w:pStyle w:val="Default"/>
        <w:spacing w:line="340" w:lineRule="atLeast"/>
        <w:rPr>
          <w:rFonts w:ascii="Times" w:hAnsi="Times"/>
          <w:sz w:val="24"/>
          <w:szCs w:val="24"/>
          <w:shd w:val="clear" w:color="auto" w:fill="FFFFFF"/>
        </w:rPr>
      </w:pPr>
    </w:p>
    <w:p w:rsidR="00C737B7" w:rsidP="00FE49B9" w14:paraId="02625782" w14:textId="1251F26E">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w:t>
      </w:r>
      <w:r w:rsidR="00CE3E24">
        <w:rPr>
          <w:rFonts w:ascii="Times" w:hAnsi="Times"/>
          <w:sz w:val="24"/>
          <w:szCs w:val="24"/>
          <w:shd w:val="clear" w:color="auto" w:fill="FFFFFF"/>
        </w:rPr>
        <w:t>One Plant Florida’s cannabis flower products accounted for 1.</w:t>
      </w:r>
      <w:r>
        <w:rPr>
          <w:rFonts w:ascii="Times" w:hAnsi="Times"/>
          <w:sz w:val="24"/>
          <w:szCs w:val="24"/>
          <w:shd w:val="clear" w:color="auto" w:fill="FFFFFF"/>
        </w:rPr>
        <w:t>26</w:t>
      </w:r>
      <w:r w:rsidR="00CE3E24">
        <w:rPr>
          <w:rFonts w:ascii="Times" w:hAnsi="Times"/>
          <w:sz w:val="24"/>
          <w:szCs w:val="24"/>
          <w:shd w:val="clear" w:color="auto" w:fill="FFFFFF"/>
        </w:rPr>
        <w:t>% of all cannabis flower sold in the state in the last reporting period, during which time the company</w:t>
      </w:r>
      <w:r>
        <w:rPr>
          <w:rFonts w:ascii="Times" w:hAnsi="Times"/>
          <w:sz w:val="24"/>
          <w:szCs w:val="24"/>
          <w:shd w:val="clear" w:color="auto" w:fill="FFFFFF"/>
        </w:rPr>
        <w:t xml:space="preserve"> accounted for only .434% of the state’s dispensaries</w:t>
      </w:r>
      <w:r w:rsidR="00FE49B9">
        <w:rPr>
          <w:rFonts w:ascii="Times" w:hAnsi="Times"/>
          <w:sz w:val="24"/>
          <w:szCs w:val="24"/>
          <w:shd w:val="clear" w:color="auto" w:fill="FFFFFF"/>
        </w:rPr>
        <w:t xml:space="preserve">; </w:t>
      </w:r>
    </w:p>
    <w:p w:rsidR="00FE49B9" w:rsidP="005F05C6" w14:paraId="02243215" w14:textId="78CE4A4F">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 xml:space="preserve">-One Plant Florida sold 77.3% as much flower as Curaleaf, with only 3.57% as many dispensaries as Curaleaf; </w:t>
      </w:r>
    </w:p>
    <w:p w:rsidR="00B81D33" w:rsidP="00FE49B9" w14:paraId="15820E4F" w14:textId="6206D5D0">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w:t>
      </w:r>
      <w:r w:rsidR="00CE3E24">
        <w:rPr>
          <w:rFonts w:ascii="Times" w:hAnsi="Times"/>
          <w:sz w:val="24"/>
          <w:szCs w:val="24"/>
          <w:shd w:val="clear" w:color="auto" w:fill="FFFFFF"/>
        </w:rPr>
        <w:t>One Plant Florida</w:t>
      </w:r>
      <w:r>
        <w:rPr>
          <w:rFonts w:ascii="Times" w:hAnsi="Times"/>
          <w:sz w:val="24"/>
          <w:szCs w:val="24"/>
          <w:shd w:val="clear" w:color="auto" w:fill="FFFFFF"/>
        </w:rPr>
        <w:t xml:space="preserve"> sold 12.35</w:t>
      </w:r>
      <w:r w:rsidR="00CE3E24">
        <w:rPr>
          <w:rFonts w:ascii="Times" w:hAnsi="Times"/>
          <w:sz w:val="24"/>
          <w:szCs w:val="24"/>
          <w:shd w:val="clear" w:color="auto" w:fill="FFFFFF"/>
        </w:rPr>
        <w:t xml:space="preserve">% </w:t>
      </w:r>
      <w:r w:rsidR="00FE49B9">
        <w:rPr>
          <w:rFonts w:ascii="Times" w:hAnsi="Times"/>
          <w:sz w:val="24"/>
          <w:szCs w:val="24"/>
          <w:shd w:val="clear" w:color="auto" w:fill="FFFFFF"/>
        </w:rPr>
        <w:t>as much flower as Liberty Health Sciences</w:t>
      </w:r>
      <w:r w:rsidR="00E519CE">
        <w:rPr>
          <w:rFonts w:ascii="Times" w:hAnsi="Times"/>
          <w:sz w:val="24"/>
          <w:szCs w:val="24"/>
          <w:shd w:val="clear" w:color="auto" w:fill="FFFFFF"/>
        </w:rPr>
        <w:t xml:space="preserve">, </w:t>
      </w:r>
      <w:r w:rsidR="00FE49B9">
        <w:rPr>
          <w:rFonts w:ascii="Times" w:hAnsi="Times"/>
          <w:sz w:val="24"/>
          <w:szCs w:val="24"/>
          <w:shd w:val="clear" w:color="auto" w:fill="FFFFFF"/>
        </w:rPr>
        <w:t xml:space="preserve">with only 4.34% as many dispensaries as Liberty Health Sciences; </w:t>
      </w:r>
    </w:p>
    <w:p w:rsidR="00FE49B9" w:rsidP="00FE49B9" w14:paraId="5A147881" w14:textId="3B45747D">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-One Plant Florida sold 73.20% as much flower as Green Thumb Industries</w:t>
      </w:r>
      <w:r w:rsidR="00E519CE">
        <w:rPr>
          <w:rFonts w:ascii="Times" w:hAnsi="Times"/>
          <w:sz w:val="24"/>
          <w:szCs w:val="24"/>
          <w:shd w:val="clear" w:color="auto" w:fill="FFFFFF"/>
        </w:rPr>
        <w:t xml:space="preserve">, </w:t>
      </w:r>
      <w:r>
        <w:rPr>
          <w:rFonts w:ascii="Times" w:hAnsi="Times"/>
          <w:sz w:val="24"/>
          <w:szCs w:val="24"/>
          <w:shd w:val="clear" w:color="auto" w:fill="FFFFFF"/>
        </w:rPr>
        <w:t xml:space="preserve">with only 16% as many dispensaries as Green Thumb Industries; </w:t>
      </w:r>
    </w:p>
    <w:p w:rsidR="00FE49B9" w:rsidP="00FE49B9" w14:paraId="41B25C59" w14:textId="7292B6C6">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 xml:space="preserve">-One Plant Florida sold 134.7% as much flower as Harvest Health and Recreation, with only 16% as many dispensaries as Harvest Health and Recreation; </w:t>
      </w:r>
    </w:p>
    <w:p w:rsidR="00FE49B9" w:rsidP="00FE49B9" w14:paraId="34B4F1C0" w14:textId="5D7899CE">
      <w:pPr>
        <w:pStyle w:val="Default"/>
        <w:spacing w:line="340" w:lineRule="atLeast"/>
        <w:ind w:left="720"/>
        <w:rPr>
          <w:rFonts w:ascii="Times" w:hAnsi="Times"/>
          <w:sz w:val="24"/>
          <w:szCs w:val="24"/>
          <w:shd w:val="clear" w:color="auto" w:fill="FFFFFF"/>
        </w:rPr>
      </w:pPr>
      <w:r>
        <w:rPr>
          <w:rFonts w:ascii="Times" w:hAnsi="Times"/>
          <w:sz w:val="24"/>
          <w:szCs w:val="24"/>
          <w:shd w:val="clear" w:color="auto" w:fill="FFFFFF"/>
        </w:rPr>
        <w:t>-One Plant Florida sold 14.5% as much flower as</w:t>
      </w:r>
      <w:r w:rsidR="00E519CE">
        <w:rPr>
          <w:rFonts w:ascii="Times" w:hAnsi="Times"/>
          <w:sz w:val="24"/>
          <w:szCs w:val="24"/>
          <w:shd w:val="clear" w:color="auto" w:fill="FFFFFF"/>
        </w:rPr>
        <w:t xml:space="preserve"> Surterra</w:t>
      </w:r>
      <w:r>
        <w:rPr>
          <w:rFonts w:ascii="Times" w:hAnsi="Times"/>
          <w:sz w:val="24"/>
          <w:szCs w:val="24"/>
          <w:shd w:val="clear" w:color="auto" w:fill="FFFFFF"/>
        </w:rPr>
        <w:t xml:space="preserve">, with only 2.63% as many dispensaries as Surterra; and </w:t>
      </w:r>
    </w:p>
    <w:p w:rsidR="00FE49B9" w:rsidP="005F05C6" w14:paraId="1C8E98EC" w14:textId="76B16307">
      <w:pPr>
        <w:pStyle w:val="Default"/>
        <w:spacing w:line="340" w:lineRule="atLeast"/>
        <w:ind w:left="720"/>
        <w:rPr>
          <w:rFonts w:ascii="Times" w:eastAsia="Times" w:hAnsi="Times" w:cs="Times"/>
          <w:sz w:val="24"/>
          <w:szCs w:val="24"/>
          <w:shd w:val="clear" w:color="auto" w:fill="FFFFFF"/>
        </w:rPr>
      </w:pPr>
      <w:r>
        <w:rPr>
          <w:rFonts w:ascii="Times" w:hAnsi="Times"/>
          <w:sz w:val="24"/>
          <w:szCs w:val="24"/>
          <w:shd w:val="clear" w:color="auto" w:fill="FFFFFF"/>
        </w:rPr>
        <w:t xml:space="preserve">-One Plant Florida sold 12.7% as much flower as Altmed, with only 5.88% as many dispensaries as Altmed. </w:t>
      </w:r>
    </w:p>
    <w:p w:rsidR="00B81D33" w14:paraId="15820E50" w14:textId="7777777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w:t>
      </w:r>
    </w:p>
    <w:p w:rsidR="00B81D33" w14:paraId="15820E51" w14:textId="7777777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One Plant Florida has accomplished this growth and market penetration through the continued consistent production of its premium cannabis flower strains, including the popular Indica-dominant hybrid M.A.C. 1, the highly potent Indica-dominant hybrid Chem D, the citrusy Sativa-dominant hybrid Sherb D #1, the subtle and relaxing Indica-dominant hybrid Vanilla Berry Pie, the earthy and fruity Indica-dominant hybrid Darth Revan, and the euphoric Indica-dominant hybrid Mandarin Triangle Kush, among numerous others. </w:t>
      </w:r>
    </w:p>
    <w:p w:rsidR="00B81D33" w14:paraId="15820E52" w14:textId="77777777">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w:t>
      </w:r>
    </w:p>
    <w:p w:rsidR="00B81D33" w14:paraId="15820E53" w14:textId="73391A69">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One Plant’s</w:t>
      </w:r>
      <w:r w:rsidR="0091560E">
        <w:rPr>
          <w:rFonts w:ascii="Times" w:hAnsi="Times"/>
          <w:sz w:val="24"/>
          <w:szCs w:val="24"/>
          <w:shd w:val="clear" w:color="auto" w:fill="FFFFFF"/>
        </w:rPr>
        <w:t xml:space="preserve"> planned new product offerings include solventless bubble hash and other solventless cannabis concentrates, One Plant-branded tinctures and salve creams, and GPen GioPods. All planned product offerings remain subject to regulatory approval. One Plant Florida is also rolling out its dispensary footprint (and delivery model with each store acting as a delivery hub) and expects to open nine</w:t>
      </w:r>
      <w:r w:rsidR="00E965D2">
        <w:rPr>
          <w:rFonts w:ascii="Times" w:hAnsi="Times"/>
          <w:sz w:val="24"/>
          <w:szCs w:val="24"/>
          <w:shd w:val="clear" w:color="auto" w:fill="FFFFFF"/>
        </w:rPr>
        <w:t xml:space="preserve"> (9)</w:t>
      </w:r>
      <w:r w:rsidR="0091560E">
        <w:rPr>
          <w:rFonts w:ascii="Times" w:hAnsi="Times"/>
          <w:sz w:val="24"/>
          <w:szCs w:val="24"/>
          <w:shd w:val="clear" w:color="auto" w:fill="FFFFFF"/>
        </w:rPr>
        <w:t xml:space="preserve"> planned dispensary locations in 2020 throughout the state, including its Jacksonville Beach location (expected to open on or before March 1, 2020), its St. Petersburg location (expected to open on or before March 20, 2020), and its Bonita Springs location (expected to open on or before April 14, 2020). Other planned dispensary locations that are currently either in permitting or under construction in Florida include the Fort Lauderdale, North Miami, Oakland Park, Orlando, Ft. Myers, Port St. Lucie, Tallahassee, Avon Park, and Pensacola areas.</w:t>
      </w:r>
    </w:p>
    <w:p w:rsidR="00B81D33" w:rsidP="009778E2" w14:paraId="15820E55" w14:textId="36D0F76E">
      <w:pPr>
        <w:pStyle w:val="Default"/>
        <w:spacing w:line="220" w:lineRule="atLeast"/>
        <w:rPr>
          <w:rFonts w:ascii="Times" w:eastAsia="Times" w:hAnsi="Times" w:cs="Times"/>
          <w:sz w:val="24"/>
          <w:szCs w:val="24"/>
          <w:shd w:val="clear" w:color="auto" w:fill="FFFFFF"/>
        </w:rPr>
      </w:pPr>
    </w:p>
    <w:p w:rsidR="00717972" w:rsidP="009778E2" w14:paraId="5E508F42" w14:textId="652B27D8">
      <w:pPr>
        <w:pStyle w:val="Default"/>
        <w:spacing w:line="220" w:lineRule="atLeast"/>
        <w:rPr>
          <w:rFonts w:ascii="Times" w:eastAsia="Times" w:hAnsi="Times" w:cs="Times"/>
          <w:sz w:val="24"/>
          <w:szCs w:val="24"/>
          <w:shd w:val="clear" w:color="auto" w:fill="FFFFFF"/>
        </w:rPr>
      </w:pPr>
      <w:r>
        <w:rPr>
          <w:rFonts w:ascii="Times" w:eastAsia="Times" w:hAnsi="Times" w:cs="Times"/>
          <w:b/>
          <w:sz w:val="24"/>
          <w:szCs w:val="24"/>
          <w:u w:val="single"/>
          <w:shd w:val="clear" w:color="auto" w:fill="FFFFFF"/>
        </w:rPr>
        <w:t>One Plant California</w:t>
      </w:r>
      <w:r w:rsidRPr="00717972">
        <w:rPr>
          <w:rFonts w:ascii="Times" w:eastAsia="Times" w:hAnsi="Times" w:cs="Times"/>
          <w:b/>
          <w:sz w:val="24"/>
          <w:szCs w:val="24"/>
          <w:u w:val="single"/>
          <w:shd w:val="clear" w:color="auto" w:fill="FFFFFF"/>
        </w:rPr>
        <w:t xml:space="preserve"> </w:t>
      </w:r>
      <w:r w:rsidRPr="00717972" w:rsidR="00CF2858">
        <w:rPr>
          <w:rFonts w:ascii="Times" w:eastAsia="Times" w:hAnsi="Times" w:cs="Times"/>
          <w:b/>
          <w:sz w:val="24"/>
          <w:szCs w:val="24"/>
          <w:u w:val="single"/>
          <w:shd w:val="clear" w:color="auto" w:fill="FFFFFF"/>
        </w:rPr>
        <w:t>Update</w:t>
      </w:r>
      <w:r w:rsidR="00CF2858">
        <w:rPr>
          <w:rFonts w:ascii="Times" w:eastAsia="Times" w:hAnsi="Times" w:cs="Times"/>
          <w:b/>
          <w:sz w:val="24"/>
          <w:szCs w:val="24"/>
          <w:u w:val="single"/>
          <w:shd w:val="clear" w:color="auto" w:fill="FFFFFF"/>
        </w:rPr>
        <w:t>:</w:t>
      </w:r>
    </w:p>
    <w:p w:rsidR="00B81D33" w14:paraId="15820E56" w14:textId="5000FF36">
      <w:pPr>
        <w:pStyle w:val="Default"/>
        <w:spacing w:line="340" w:lineRule="atLeast"/>
        <w:rPr>
          <w:rFonts w:ascii="Times" w:eastAsia="Times" w:hAnsi="Times" w:cs="Times"/>
          <w:sz w:val="24"/>
          <w:szCs w:val="24"/>
          <w:shd w:val="clear" w:color="auto" w:fill="FFFFFF"/>
        </w:rPr>
      </w:pPr>
      <w:r>
        <w:rPr>
          <w:rFonts w:ascii="Times" w:hAnsi="Times"/>
          <w:sz w:val="24"/>
          <w:szCs w:val="24"/>
          <w:shd w:val="clear" w:color="auto" w:fill="FFFFFF"/>
        </w:rPr>
        <w:t xml:space="preserve">Finally, SOL Global announces that the previously announced binding letter of intent between </w:t>
      </w:r>
      <w:r w:rsidR="005F7AF0">
        <w:rPr>
          <w:rFonts w:ascii="Times" w:hAnsi="Times"/>
          <w:sz w:val="24"/>
          <w:szCs w:val="24"/>
          <w:shd w:val="clear" w:color="auto" w:fill="FFFFFF"/>
        </w:rPr>
        <w:t xml:space="preserve">Three Habitat Consulting HoldCo, Inc., a Delaware corporation d/b/a </w:t>
      </w:r>
      <w:r>
        <w:rPr>
          <w:rFonts w:ascii="Times" w:hAnsi="Times"/>
          <w:sz w:val="24"/>
          <w:szCs w:val="24"/>
          <w:shd w:val="clear" w:color="auto" w:fill="FFFFFF"/>
        </w:rPr>
        <w:t xml:space="preserve">One Plant California and </w:t>
      </w:r>
      <w:r w:rsidR="00F565E3">
        <w:rPr>
          <w:rFonts w:ascii="Times" w:hAnsi="Times"/>
          <w:sz w:val="24"/>
          <w:szCs w:val="24"/>
          <w:shd w:val="clear" w:color="auto" w:fill="FFFFFF"/>
        </w:rPr>
        <w:t>CannC</w:t>
      </w:r>
      <w:r w:rsidR="005F7AF0">
        <w:rPr>
          <w:rFonts w:ascii="Times" w:hAnsi="Times"/>
          <w:sz w:val="24"/>
          <w:szCs w:val="24"/>
          <w:shd w:val="clear" w:color="auto" w:fill="FFFFFF"/>
        </w:rPr>
        <w:t>ure</w:t>
      </w:r>
      <w:r>
        <w:rPr>
          <w:rFonts w:ascii="Times" w:hAnsi="Times"/>
          <w:sz w:val="24"/>
          <w:szCs w:val="24"/>
          <w:shd w:val="clear" w:color="auto" w:fill="FFFFFF"/>
        </w:rPr>
        <w:t xml:space="preserve"> has been terminated at the mutual wishes of the parties following a re-evaluation of the transaction in light of current market conditions. The parties have since entered into a long-term license agreement whereby One Plant Florida will retain exclusive use of all One Plant intellectual property within the </w:t>
      </w:r>
      <w:r w:rsidR="00531664">
        <w:rPr>
          <w:rFonts w:ascii="Times" w:hAnsi="Times"/>
          <w:sz w:val="24"/>
          <w:szCs w:val="24"/>
          <w:shd w:val="clear" w:color="auto" w:fill="FFFFFF"/>
        </w:rPr>
        <w:t>S</w:t>
      </w:r>
      <w:r>
        <w:rPr>
          <w:rFonts w:ascii="Times" w:hAnsi="Times"/>
          <w:sz w:val="24"/>
          <w:szCs w:val="24"/>
          <w:shd w:val="clear" w:color="auto" w:fill="FFFFFF"/>
        </w:rPr>
        <w:t>tate of Florida. The parties remain interested in future transactions and will evaluate them as market conditions continue to improve.</w:t>
      </w:r>
    </w:p>
    <w:p w:rsidR="00B81D33" w14:paraId="15820E57" w14:textId="77777777">
      <w:pPr>
        <w:pStyle w:val="Default"/>
        <w:spacing w:line="340" w:lineRule="atLeast"/>
        <w:rPr>
          <w:rFonts w:ascii="Times" w:eastAsia="Times" w:hAnsi="Times" w:cs="Times"/>
          <w:sz w:val="24"/>
          <w:szCs w:val="24"/>
          <w:shd w:val="clear" w:color="auto" w:fill="FFFFFF"/>
        </w:rPr>
      </w:pPr>
    </w:p>
    <w:p w:rsidR="00B81D33" w14:paraId="15820E58" w14:textId="77777777">
      <w:pPr>
        <w:pStyle w:val="Default"/>
        <w:rPr>
          <w:rFonts w:ascii="Times" w:eastAsia="Times" w:hAnsi="Times" w:cs="Times"/>
          <w:sz w:val="24"/>
          <w:szCs w:val="24"/>
        </w:rPr>
      </w:pPr>
      <w:r>
        <w:rPr>
          <w:rFonts w:ascii="Times" w:hAnsi="Times"/>
          <w:b/>
          <w:bCs/>
          <w:sz w:val="24"/>
          <w:szCs w:val="24"/>
          <w:shd w:val="clear" w:color="auto" w:fill="FFFFFF"/>
        </w:rPr>
        <w:t>CONTACT INFORMATION</w:t>
      </w:r>
    </w:p>
    <w:p w:rsidR="00B81D33" w14:paraId="15820E59" w14:textId="77777777">
      <w:pPr>
        <w:pStyle w:val="Default"/>
        <w:rPr>
          <w:rFonts w:ascii="Times" w:eastAsia="Times" w:hAnsi="Times" w:cs="Times"/>
          <w:sz w:val="24"/>
          <w:szCs w:val="24"/>
        </w:rPr>
      </w:pPr>
      <w:r>
        <w:rPr>
          <w:rFonts w:ascii="Times" w:hAnsi="Times"/>
          <w:sz w:val="24"/>
          <w:szCs w:val="24"/>
          <w:shd w:val="clear" w:color="auto" w:fill="FFFFFF"/>
        </w:rPr>
        <w:t>SOL Global Investments Corp.</w:t>
      </w:r>
    </w:p>
    <w:p w:rsidR="00B81D33" w14:paraId="15820E5A" w14:textId="77777777">
      <w:pPr>
        <w:pStyle w:val="Default"/>
        <w:rPr>
          <w:rFonts w:ascii="Times" w:eastAsia="Times" w:hAnsi="Times" w:cs="Times"/>
          <w:sz w:val="24"/>
          <w:szCs w:val="24"/>
        </w:rPr>
      </w:pPr>
      <w:r>
        <w:rPr>
          <w:rFonts w:ascii="Times" w:hAnsi="Times"/>
          <w:sz w:val="24"/>
          <w:szCs w:val="24"/>
          <w:shd w:val="clear" w:color="auto" w:fill="FFFFFF"/>
        </w:rPr>
        <w:t>Brady Cobb, CEO</w:t>
      </w:r>
    </w:p>
    <w:p w:rsidR="00B81D33" w14:paraId="15820E5B" w14:textId="77777777">
      <w:pPr>
        <w:pStyle w:val="Default"/>
        <w:rPr>
          <w:rFonts w:ascii="Times" w:eastAsia="Times" w:hAnsi="Times" w:cs="Times"/>
          <w:sz w:val="24"/>
          <w:szCs w:val="24"/>
        </w:rPr>
      </w:pPr>
      <w:r>
        <w:rPr>
          <w:rFonts w:ascii="Times" w:hAnsi="Times"/>
          <w:sz w:val="24"/>
          <w:szCs w:val="24"/>
          <w:shd w:val="clear" w:color="auto" w:fill="FFFFFF"/>
        </w:rPr>
        <w:t>Phone: (212) 729-9208</w:t>
      </w:r>
    </w:p>
    <w:p w:rsidR="00B81D33" w14:paraId="15820E5C" w14:textId="77777777">
      <w:pPr>
        <w:pStyle w:val="Default"/>
        <w:rPr>
          <w:rFonts w:ascii="Times" w:eastAsia="Times" w:hAnsi="Times" w:cs="Times"/>
          <w:sz w:val="24"/>
          <w:szCs w:val="24"/>
        </w:rPr>
      </w:pPr>
      <w:r>
        <w:rPr>
          <w:rFonts w:ascii="Times" w:hAnsi="Times"/>
          <w:sz w:val="24"/>
          <w:szCs w:val="24"/>
          <w:shd w:val="clear" w:color="auto" w:fill="FFFFFF"/>
        </w:rPr>
        <w:t>Email: info@solglobal.com</w:t>
      </w:r>
    </w:p>
    <w:p w:rsidR="00B81D33" w14:paraId="15820E5D" w14:textId="77777777">
      <w:pPr>
        <w:pStyle w:val="Default"/>
        <w:rPr>
          <w:rFonts w:ascii="Times" w:eastAsia="Times" w:hAnsi="Times" w:cs="Times"/>
          <w:sz w:val="24"/>
          <w:szCs w:val="24"/>
        </w:rPr>
      </w:pPr>
    </w:p>
    <w:p w:rsidR="00B81D33" w14:paraId="15820E5E" w14:textId="77777777">
      <w:pPr>
        <w:pStyle w:val="Default"/>
        <w:rPr>
          <w:rFonts w:ascii="Times" w:eastAsia="Times" w:hAnsi="Times" w:cs="Times"/>
          <w:sz w:val="24"/>
          <w:szCs w:val="24"/>
        </w:rPr>
      </w:pPr>
      <w:r>
        <w:rPr>
          <w:rFonts w:ascii="Times" w:hAnsi="Times"/>
          <w:sz w:val="24"/>
          <w:szCs w:val="24"/>
          <w:shd w:val="clear" w:color="auto" w:fill="FFFFFF"/>
        </w:rPr>
        <w:t>For media inquiries, please contact:</w:t>
      </w:r>
    </w:p>
    <w:p w:rsidR="00B81D33" w:rsidRPr="00C9735A" w14:paraId="15820E5F" w14:textId="77777777">
      <w:pPr>
        <w:pStyle w:val="Default"/>
        <w:rPr>
          <w:rFonts w:ascii="Times" w:eastAsia="Times" w:hAnsi="Times" w:cs="Times"/>
          <w:sz w:val="24"/>
          <w:szCs w:val="24"/>
          <w:lang w:val="fr-CA"/>
        </w:rPr>
      </w:pPr>
      <w:r w:rsidRPr="00C9735A">
        <w:rPr>
          <w:rFonts w:ascii="Times" w:hAnsi="Times"/>
          <w:sz w:val="24"/>
          <w:szCs w:val="24"/>
          <w:shd w:val="clear" w:color="auto" w:fill="FFFFFF"/>
          <w:lang w:val="fr-CA"/>
        </w:rPr>
        <w:t>Davis Richardson</w:t>
      </w:r>
    </w:p>
    <w:p w:rsidR="00B81D33" w:rsidRPr="00C9735A" w14:paraId="15820E60" w14:textId="77777777">
      <w:pPr>
        <w:pStyle w:val="Default"/>
        <w:rPr>
          <w:rFonts w:ascii="Times" w:eastAsia="Times" w:hAnsi="Times" w:cs="Times"/>
          <w:sz w:val="24"/>
          <w:szCs w:val="24"/>
          <w:lang w:val="fr-CA"/>
        </w:rPr>
      </w:pPr>
      <w:r w:rsidRPr="00C9735A">
        <w:rPr>
          <w:rFonts w:ascii="Times" w:hAnsi="Times"/>
          <w:sz w:val="24"/>
          <w:szCs w:val="24"/>
          <w:shd w:val="clear" w:color="auto" w:fill="FFFFFF"/>
          <w:lang w:val="fr-CA"/>
        </w:rPr>
        <w:t>AMW PR</w:t>
      </w:r>
    </w:p>
    <w:p w:rsidR="00B81D33" w:rsidRPr="00C9735A" w14:paraId="15820E61" w14:textId="77777777">
      <w:pPr>
        <w:pStyle w:val="Default"/>
        <w:rPr>
          <w:rFonts w:ascii="Times" w:eastAsia="Times" w:hAnsi="Times" w:cs="Times"/>
          <w:sz w:val="24"/>
          <w:szCs w:val="24"/>
          <w:lang w:val="fr-CA"/>
        </w:rPr>
      </w:pPr>
      <w:r w:rsidRPr="00C9735A">
        <w:rPr>
          <w:rFonts w:ascii="Times" w:hAnsi="Times"/>
          <w:sz w:val="24"/>
          <w:szCs w:val="24"/>
          <w:shd w:val="clear" w:color="auto" w:fill="FFFFFF"/>
          <w:lang w:val="fr-CA"/>
        </w:rPr>
        <w:t>P: 212.542.3146</w:t>
      </w:r>
    </w:p>
    <w:p w:rsidR="00B81D33" w14:paraId="15820E62" w14:textId="77777777">
      <w:pPr>
        <w:pStyle w:val="Default"/>
        <w:rPr>
          <w:rFonts w:ascii="Times" w:eastAsia="Times" w:hAnsi="Times" w:cs="Times"/>
          <w:sz w:val="24"/>
          <w:szCs w:val="24"/>
          <w:shd w:val="clear" w:color="auto" w:fill="FFFFFF"/>
        </w:rPr>
      </w:pPr>
      <w:r>
        <w:rPr>
          <w:rFonts w:ascii="Times" w:hAnsi="Times"/>
          <w:sz w:val="24"/>
          <w:szCs w:val="24"/>
          <w:shd w:val="clear" w:color="auto" w:fill="FFFFFF"/>
        </w:rPr>
        <w:t>E: Davis@amwpr.com</w:t>
      </w:r>
    </w:p>
    <w:p w:rsidR="00B81D33" w14:paraId="15820E63" w14:textId="77777777">
      <w:pPr>
        <w:pStyle w:val="Default"/>
        <w:rPr>
          <w:rFonts w:ascii="Times" w:eastAsia="Times" w:hAnsi="Times" w:cs="Times"/>
          <w:sz w:val="24"/>
          <w:szCs w:val="24"/>
          <w:shd w:val="clear" w:color="auto" w:fill="FFFFFF"/>
        </w:rPr>
      </w:pPr>
    </w:p>
    <w:p w:rsidR="00B81D33" w14:paraId="15820E64" w14:textId="77777777">
      <w:pPr>
        <w:pStyle w:val="Default"/>
        <w:rPr>
          <w:rFonts w:ascii="Times New Roman" w:eastAsia="Times New Roman" w:hAnsi="Times New Roman" w:cs="Times New Roman"/>
          <w:sz w:val="24"/>
          <w:szCs w:val="24"/>
        </w:rPr>
      </w:pPr>
      <w:r>
        <w:rPr>
          <w:rFonts w:ascii="Times" w:hAnsi="Times"/>
          <w:b/>
          <w:bCs/>
          <w:sz w:val="24"/>
          <w:szCs w:val="24"/>
          <w:shd w:val="clear" w:color="auto" w:fill="FFFFFF"/>
        </w:rPr>
        <w:t>About SOL Global Investments Corp.:</w:t>
      </w:r>
    </w:p>
    <w:p w:rsidR="00B81D33" w14:paraId="15820E65" w14:textId="77777777">
      <w:pPr>
        <w:pStyle w:val="Default"/>
        <w:rPr>
          <w:rFonts w:ascii="Times" w:eastAsia="Times" w:hAnsi="Times" w:cs="Times"/>
          <w:sz w:val="24"/>
          <w:szCs w:val="24"/>
          <w:shd w:val="clear" w:color="auto" w:fill="FFFFFF"/>
        </w:rPr>
      </w:pPr>
      <w:r>
        <w:rPr>
          <w:rFonts w:ascii="Times" w:hAnsi="Times"/>
          <w:sz w:val="24"/>
          <w:szCs w:val="24"/>
          <w:shd w:val="clear" w:color="auto" w:fill="FFFFFF"/>
        </w:rPr>
        <w:t>SOL Global is an international investment company with a focus on, but not limited to, cannabis and cannabis related companies in legal U.S. states, the hemp and CBD marketplaces and the emerging European cannabis and hemp marketplaces. Its strategic investments and partnerships across cultivation, distribution and retail complement the company’s R&amp;D program with the University of Miami. It is this comprehensive approach that is positioning SOL Global as a future frontrunner in the United States’ medical cannabis industry.</w:t>
      </w:r>
    </w:p>
    <w:p w:rsidR="00B81D33" w14:paraId="15820E66" w14:textId="77777777">
      <w:pPr>
        <w:pStyle w:val="Default"/>
        <w:rPr>
          <w:rFonts w:ascii="Times" w:eastAsia="Times" w:hAnsi="Times" w:cs="Times"/>
          <w:sz w:val="24"/>
          <w:szCs w:val="24"/>
          <w:shd w:val="clear" w:color="auto" w:fill="FFFFFF"/>
        </w:rPr>
      </w:pPr>
    </w:p>
    <w:p w:rsidR="00B81D33" w14:paraId="15820E67" w14:textId="77777777">
      <w:pPr>
        <w:pStyle w:val="Default"/>
        <w:rPr>
          <w:rFonts w:ascii="Times New Roman" w:eastAsia="Times New Roman" w:hAnsi="Times New Roman" w:cs="Times New Roman"/>
          <w:sz w:val="24"/>
          <w:szCs w:val="24"/>
        </w:rPr>
      </w:pPr>
      <w:r>
        <w:rPr>
          <w:rFonts w:ascii="Times" w:hAnsi="Times"/>
          <w:b/>
          <w:bCs/>
          <w:i/>
          <w:iCs/>
          <w:sz w:val="24"/>
          <w:szCs w:val="24"/>
        </w:rPr>
        <w:t>Cautionary Statements</w:t>
      </w:r>
    </w:p>
    <w:p w:rsidR="00B81D33" w14:paraId="15820E68" w14:textId="77777777">
      <w:pPr>
        <w:pStyle w:val="Default"/>
        <w:rPr>
          <w:rFonts w:ascii="Times New Roman" w:eastAsia="Times New Roman" w:hAnsi="Times New Roman" w:cs="Times New Roman"/>
          <w:sz w:val="24"/>
          <w:szCs w:val="24"/>
        </w:rPr>
      </w:pPr>
      <w:r>
        <w:rPr>
          <w:rFonts w:ascii="Times" w:hAnsi="Times"/>
          <w:i/>
          <w:iCs/>
          <w:sz w:val="24"/>
          <w:szCs w:val="24"/>
        </w:rPr>
        <w:t>This press release contains "forward-looking information" within the meaning of applicable securities laws.  All statements contained herein that are not clearly historical in nature may constitute forward-looking information. In some cases, forward-looking information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w:t>
      </w:r>
    </w:p>
    <w:p w:rsidR="00B81D33" w14:paraId="15820E69" w14:textId="77777777">
      <w:pPr>
        <w:pStyle w:val="Default"/>
        <w:rPr>
          <w:rFonts w:ascii="Times" w:eastAsia="Times" w:hAnsi="Times" w:cs="Times"/>
          <w:i/>
          <w:iCs/>
          <w:sz w:val="24"/>
          <w:szCs w:val="24"/>
        </w:rPr>
      </w:pPr>
    </w:p>
    <w:p w:rsidR="00B81D33" w14:paraId="15820E6A" w14:textId="417E8BA5">
      <w:pPr>
        <w:pStyle w:val="Default"/>
        <w:rPr>
          <w:rFonts w:ascii="Times" w:eastAsia="Times" w:hAnsi="Times" w:cs="Times"/>
          <w:i/>
          <w:iCs/>
          <w:sz w:val="24"/>
          <w:szCs w:val="24"/>
        </w:rPr>
      </w:pPr>
      <w:r>
        <w:rPr>
          <w:rFonts w:ascii="Times" w:hAnsi="Times"/>
          <w:i/>
          <w:iCs/>
          <w:sz w:val="24"/>
          <w:szCs w:val="24"/>
        </w:rPr>
        <w:t>By their nature, forward-looking information is subject to inherent risks and uncertainties that may be general or specific and which give rise to the possibility that expectations, forecasts, predictions, projections or conclusions will not prove to be accurate, that assumptions may not be correct and that objectives, strategic goals and priorities will not be achieved. A variety of factors, including known and unknown risks, many of which are beyond our control, could cause actual results to differ materially from the forward-looking in</w:t>
      </w:r>
      <w:r w:rsidR="008765BF">
        <w:rPr>
          <w:rFonts w:ascii="Times" w:hAnsi="Times"/>
          <w:i/>
          <w:iCs/>
          <w:sz w:val="24"/>
          <w:szCs w:val="24"/>
        </w:rPr>
        <w:t xml:space="preserve">formation in this press release, including </w:t>
      </w:r>
      <w:r w:rsidRPr="001C33F4" w:rsidR="001C33F4">
        <w:rPr>
          <w:rFonts w:ascii="Times" w:hAnsi="Times"/>
          <w:i/>
          <w:iCs/>
          <w:sz w:val="24"/>
          <w:szCs w:val="24"/>
        </w:rPr>
        <w:t>construction delays, a failure to obtain all necessary regulatory approvals to commence greenhouse operations, a failure or delay in satisfying all the conditions to the RTO including obtaining all necessary shareholder and regulatory approvals, and a failure to obtain the necessary regulatory approvals for our proposed new product offerings.</w:t>
      </w:r>
    </w:p>
    <w:p w:rsidR="00B81D33" w14:paraId="15820E6B" w14:textId="77777777">
      <w:pPr>
        <w:pStyle w:val="Default"/>
        <w:rPr>
          <w:rFonts w:ascii="Times" w:eastAsia="Times" w:hAnsi="Times" w:cs="Times"/>
          <w:i/>
          <w:iCs/>
          <w:sz w:val="24"/>
          <w:szCs w:val="24"/>
        </w:rPr>
      </w:pPr>
    </w:p>
    <w:p w:rsidR="00B81D33" w:rsidRPr="00F315BA" w14:paraId="15820E6D" w14:textId="11E9FA7D">
      <w:pPr>
        <w:pStyle w:val="Default"/>
        <w:rPr>
          <w:rStyle w:val="None"/>
          <w:rFonts w:ascii="Times New Roman" w:eastAsia="Times New Roman" w:hAnsi="Times New Roman" w:cs="Times New Roman"/>
          <w:sz w:val="24"/>
          <w:szCs w:val="24"/>
        </w:rPr>
      </w:pPr>
      <w:r>
        <w:rPr>
          <w:rFonts w:ascii="Times" w:hAnsi="Times"/>
          <w:i/>
          <w:iCs/>
          <w:sz w:val="24"/>
          <w:szCs w:val="24"/>
        </w:rPr>
        <w:t xml:space="preserve">Other risk factors include, but are not limited to: 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inconsistent public opinion and perception regarding the medical-use and adult-use marijuana industry; and regulatory or political change. Additional risk factors can also be found in the Company's current MD&amp;A which has been filed on SEDAR and can be accessed at </w:t>
      </w:r>
      <w:hyperlink r:id="rId7" w:history="1">
        <w:r>
          <w:rPr>
            <w:rStyle w:val="Hyperlink0"/>
          </w:rPr>
          <w:t>www.sedar.com</w:t>
        </w:r>
      </w:hyperlink>
      <w:r>
        <w:rPr>
          <w:rStyle w:val="None"/>
          <w:rFonts w:ascii="Times" w:hAnsi="Times"/>
          <w:i/>
          <w:iCs/>
          <w:sz w:val="24"/>
          <w:szCs w:val="24"/>
        </w:rPr>
        <w:t>.</w:t>
      </w:r>
    </w:p>
    <w:p w:rsidR="00B81D33" w14:paraId="15820E6E" w14:textId="77777777">
      <w:pPr>
        <w:pStyle w:val="Default"/>
      </w:pPr>
      <w:r>
        <w:rPr>
          <w:rStyle w:val="None"/>
          <w:rFonts w:ascii="Times" w:hAnsi="Times"/>
          <w:i/>
          <w:iCs/>
          <w:sz w:val="24"/>
          <w:szCs w:val="24"/>
        </w:rPr>
        <w:t>Readers are cautioned to consider these and other factors, uncertainties and potential events carefully and not to put undue reliance on forward-looking information. The forward-looking information contained herein is made as of the date of this press release and is based on the beliefs, estimates, expectations and opinions of management on the date such forward-looking information is made. The Company undertakes no obligation to update or revise any forward-looking information, whether as a result of new information, estimates or opinions, future events or results or otherwise or to explain any material difference between subsequent actual events and such forward-looking information, except as required by applicable law.</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AB4" w14:paraId="48CA93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4BB" w14:paraId="3C4B9A33" w14:textId="77777777">
    <w:pPr>
      <w:pStyle w:val="Footer"/>
    </w:pPr>
    <w:r>
      <w:rPr>
        <w:noProof/>
      </w:rPr>
      <w:pict>
        <v:shapetype id="_x0000_t202" coordsize="21600,21600" o:spt="202" path="m,l,21600r21600,l21600,xe">
          <v:stroke joinstyle="miter"/>
          <v:path gradientshapeok="t" o:connecttype="rect"/>
        </v:shapetype>
        <v:shape id="zzmpTrailer_1078_19" o:spid="_x0000_s2049"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6124BB" w14:paraId="015F86C1" w14:textId="059300BC">
                <w:pPr>
                  <w:pStyle w:val="MacPacTrailer"/>
                </w:pPr>
                <w:r>
                  <w:t>TOR_LAW\ 10219149\12</w:t>
                </w:r>
              </w:p>
              <w:p w:rsidR="006124BB" w14:paraId="48C157A1" w14:textId="4B92BCFD">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4BB" w14:paraId="336E0B6A" w14:textId="77777777">
    <w:pPr>
      <w:pStyle w:val="Footer"/>
    </w:pPr>
    <w:r>
      <w:rPr>
        <w:noProof/>
      </w:rPr>
      <w:pict>
        <v:shapetype id="_x0000_t202" coordsize="21600,21600" o:spt="202" path="m,l,21600r21600,l21600,xe">
          <v:stroke joinstyle="miter"/>
          <v:path gradientshapeok="t" o:connecttype="rect"/>
        </v:shapetype>
        <v:shape id="zzmpTrailer_1078_1B" o:spid="_x0000_s2050"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ed="f" stroked="f">
          <v:textbox inset="0,0,0,0">
            <w:txbxContent>
              <w:p w:rsidR="006124BB" w14:paraId="3E46CCC8" w14:textId="47472D28">
                <w:pPr>
                  <w:pStyle w:val="MacPacTrailer"/>
                </w:pPr>
                <w:r>
                  <w:t>TOR_LAW\ 10219149\12</w:t>
                </w:r>
              </w:p>
              <w:p w:rsidR="006124BB" w14:paraId="3D2AF10B" w14:textId="45E8C6AD">
                <w:pPr>
                  <w:pStyle w:val="MacPacTrailer"/>
                </w:pP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AB4" w14:paraId="0C804B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AB4" w14:paraId="3FA4E7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AB4" w14:paraId="0F195F5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33"/>
    <w:rsid w:val="00052EE0"/>
    <w:rsid w:val="00071F1B"/>
    <w:rsid w:val="00084BC0"/>
    <w:rsid w:val="00085F31"/>
    <w:rsid w:val="0009611D"/>
    <w:rsid w:val="000B77CB"/>
    <w:rsid w:val="000F6D90"/>
    <w:rsid w:val="001319F4"/>
    <w:rsid w:val="00157493"/>
    <w:rsid w:val="00184651"/>
    <w:rsid w:val="001C33F4"/>
    <w:rsid w:val="001F4C8E"/>
    <w:rsid w:val="00203CEA"/>
    <w:rsid w:val="00292AB4"/>
    <w:rsid w:val="00335731"/>
    <w:rsid w:val="003730E3"/>
    <w:rsid w:val="00391A37"/>
    <w:rsid w:val="003F6638"/>
    <w:rsid w:val="00432444"/>
    <w:rsid w:val="0045060D"/>
    <w:rsid w:val="004512B6"/>
    <w:rsid w:val="005245EB"/>
    <w:rsid w:val="00531664"/>
    <w:rsid w:val="005341B0"/>
    <w:rsid w:val="005B1992"/>
    <w:rsid w:val="005D45A9"/>
    <w:rsid w:val="005F05C6"/>
    <w:rsid w:val="005F7AF0"/>
    <w:rsid w:val="006124BB"/>
    <w:rsid w:val="006E4D73"/>
    <w:rsid w:val="00717972"/>
    <w:rsid w:val="00746D7A"/>
    <w:rsid w:val="00766530"/>
    <w:rsid w:val="007870B5"/>
    <w:rsid w:val="00793978"/>
    <w:rsid w:val="007E194D"/>
    <w:rsid w:val="00844AB6"/>
    <w:rsid w:val="0084643C"/>
    <w:rsid w:val="00873F66"/>
    <w:rsid w:val="008765BF"/>
    <w:rsid w:val="008A582F"/>
    <w:rsid w:val="008A7940"/>
    <w:rsid w:val="0091560E"/>
    <w:rsid w:val="009778E2"/>
    <w:rsid w:val="009A21AB"/>
    <w:rsid w:val="009C21BF"/>
    <w:rsid w:val="00A36EEC"/>
    <w:rsid w:val="00A732ED"/>
    <w:rsid w:val="00AA0F8E"/>
    <w:rsid w:val="00AB5201"/>
    <w:rsid w:val="00B510B0"/>
    <w:rsid w:val="00B7587C"/>
    <w:rsid w:val="00B81207"/>
    <w:rsid w:val="00B81D33"/>
    <w:rsid w:val="00B913F3"/>
    <w:rsid w:val="00BC2502"/>
    <w:rsid w:val="00BC53A2"/>
    <w:rsid w:val="00C737B7"/>
    <w:rsid w:val="00C74E9E"/>
    <w:rsid w:val="00C9735A"/>
    <w:rsid w:val="00CE3E24"/>
    <w:rsid w:val="00CF2858"/>
    <w:rsid w:val="00CF793A"/>
    <w:rsid w:val="00D0777C"/>
    <w:rsid w:val="00D50CE7"/>
    <w:rsid w:val="00E519CE"/>
    <w:rsid w:val="00E67C92"/>
    <w:rsid w:val="00E72E12"/>
    <w:rsid w:val="00E965D2"/>
    <w:rsid w:val="00EA6B1E"/>
    <w:rsid w:val="00ED5191"/>
    <w:rsid w:val="00F315BA"/>
    <w:rsid w:val="00F54625"/>
    <w:rsid w:val="00F5544E"/>
    <w:rsid w:val="00F565E3"/>
    <w:rsid w:val="00F82D36"/>
    <w:rsid w:val="00F90151"/>
    <w:rsid w:val="00FE49B9"/>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w:eastAsia="Times" w:hAnsi="Times" w:cs="Times"/>
      <w:i/>
      <w:iCs/>
      <w:sz w:val="24"/>
      <w:szCs w:val="24"/>
      <w:u w:val="single" w:color="954F72"/>
      <w:lang w:val="en-US"/>
    </w:rPr>
  </w:style>
  <w:style w:type="paragraph" w:styleId="Header">
    <w:name w:val="header"/>
    <w:basedOn w:val="Normal"/>
    <w:link w:val="HeaderChar"/>
    <w:uiPriority w:val="99"/>
    <w:unhideWhenUsed/>
    <w:rsid w:val="00BC2502"/>
    <w:pPr>
      <w:tabs>
        <w:tab w:val="center" w:pos="4680"/>
        <w:tab w:val="right" w:pos="9360"/>
      </w:tabs>
    </w:pPr>
  </w:style>
  <w:style w:type="character" w:customStyle="1" w:styleId="HeaderChar">
    <w:name w:val="Header Char"/>
    <w:basedOn w:val="DefaultParagraphFont"/>
    <w:link w:val="Header"/>
    <w:uiPriority w:val="99"/>
    <w:rsid w:val="00BC2502"/>
    <w:rPr>
      <w:sz w:val="24"/>
      <w:szCs w:val="24"/>
      <w:lang w:val="en-US" w:eastAsia="en-US"/>
    </w:rPr>
  </w:style>
  <w:style w:type="paragraph" w:styleId="Footer">
    <w:name w:val="footer"/>
    <w:basedOn w:val="Normal"/>
    <w:link w:val="FooterChar"/>
    <w:uiPriority w:val="99"/>
    <w:unhideWhenUsed/>
    <w:rsid w:val="00BC2502"/>
    <w:pPr>
      <w:tabs>
        <w:tab w:val="center" w:pos="4680"/>
        <w:tab w:val="right" w:pos="9360"/>
      </w:tabs>
    </w:pPr>
  </w:style>
  <w:style w:type="character" w:customStyle="1" w:styleId="FooterChar">
    <w:name w:val="Footer Char"/>
    <w:basedOn w:val="DefaultParagraphFont"/>
    <w:link w:val="Footer"/>
    <w:uiPriority w:val="99"/>
    <w:rsid w:val="00BC2502"/>
    <w:rPr>
      <w:sz w:val="24"/>
      <w:szCs w:val="24"/>
      <w:lang w:val="en-US" w:eastAsia="en-US"/>
    </w:rPr>
  </w:style>
  <w:style w:type="paragraph" w:styleId="BalloonText">
    <w:name w:val="Balloon Text"/>
    <w:basedOn w:val="Normal"/>
    <w:link w:val="BalloonTextChar"/>
    <w:uiPriority w:val="99"/>
    <w:semiHidden/>
    <w:unhideWhenUsed/>
    <w:rsid w:val="00BC2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0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965D2"/>
    <w:rPr>
      <w:sz w:val="16"/>
      <w:szCs w:val="16"/>
    </w:rPr>
  </w:style>
  <w:style w:type="paragraph" w:styleId="CommentText">
    <w:name w:val="annotation text"/>
    <w:basedOn w:val="Normal"/>
    <w:link w:val="CommentTextChar"/>
    <w:uiPriority w:val="99"/>
    <w:semiHidden/>
    <w:unhideWhenUsed/>
    <w:rsid w:val="00E965D2"/>
    <w:rPr>
      <w:sz w:val="20"/>
      <w:szCs w:val="20"/>
    </w:rPr>
  </w:style>
  <w:style w:type="character" w:customStyle="1" w:styleId="CommentTextChar">
    <w:name w:val="Comment Text Char"/>
    <w:basedOn w:val="DefaultParagraphFont"/>
    <w:link w:val="CommentText"/>
    <w:uiPriority w:val="99"/>
    <w:semiHidden/>
    <w:rsid w:val="00E965D2"/>
    <w:rPr>
      <w:lang w:val="en-US" w:eastAsia="en-US"/>
    </w:rPr>
  </w:style>
  <w:style w:type="paragraph" w:styleId="CommentSubject">
    <w:name w:val="annotation subject"/>
    <w:basedOn w:val="CommentText"/>
    <w:next w:val="CommentText"/>
    <w:link w:val="CommentSubjectChar"/>
    <w:uiPriority w:val="99"/>
    <w:semiHidden/>
    <w:unhideWhenUsed/>
    <w:rsid w:val="00E965D2"/>
    <w:rPr>
      <w:b/>
      <w:bCs/>
    </w:rPr>
  </w:style>
  <w:style w:type="character" w:customStyle="1" w:styleId="CommentSubjectChar">
    <w:name w:val="Comment Subject Char"/>
    <w:basedOn w:val="CommentTextChar"/>
    <w:link w:val="CommentSubject"/>
    <w:uiPriority w:val="99"/>
    <w:semiHidden/>
    <w:rsid w:val="00E965D2"/>
    <w:rPr>
      <w:b/>
      <w:bCs/>
      <w:lang w:val="en-US" w:eastAsia="en-US"/>
    </w:rPr>
  </w:style>
  <w:style w:type="paragraph" w:customStyle="1" w:styleId="MacPacTrailer">
    <w:name w:val="MacPac Trailer"/>
    <w:rsid w:val="006124BB"/>
    <w:pPr>
      <w:widowControl w:val="0"/>
      <w:pBdr>
        <w:top w:val="none" w:sz="0" w:space="0" w:color="auto"/>
        <w:left w:val="none" w:sz="0" w:space="0" w:color="auto"/>
        <w:bottom w:val="none" w:sz="0" w:space="0" w:color="auto"/>
        <w:right w:val="none" w:sz="0" w:space="0" w:color="auto"/>
        <w:between w:val="none" w:sz="0" w:space="0" w:color="auto"/>
        <w:bar w:val="none" w:sz="0" w:space="0" w:color="auto"/>
      </w:pBdr>
      <w:spacing w:line="200" w:lineRule="exact"/>
    </w:pPr>
    <w:rPr>
      <w:rFonts w:ascii="Arial" w:eastAsia="Times New Roman" w:hAnsi="Arial"/>
      <w:sz w:val="16"/>
      <w:szCs w:val="22"/>
      <w:bdr w:val="none" w:sz="0" w:space="0" w:color="auto"/>
      <w:lang w:val="en-US" w:eastAsia="en-US"/>
    </w:rPr>
  </w:style>
  <w:style w:type="character" w:styleId="PlaceholderText">
    <w:name w:val="Placeholder Text"/>
    <w:basedOn w:val="DefaultParagraphFont"/>
    <w:uiPriority w:val="99"/>
    <w:semiHidden/>
    <w:rsid w:val="00F82D36"/>
    <w:rPr>
      <w:color w:val="808080"/>
    </w:rPr>
  </w:style>
  <w:style w:type="paragraph" w:customStyle="1" w:styleId="s5">
    <w:name w:val="s5"/>
    <w:basedOn w:val="Normal"/>
    <w:rsid w:val="005F7AF0"/>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pPr>
    <w:rPr>
      <w:rFonts w:eastAsia="Times New Roman"/>
      <w:bdr w:val="none" w:sz="0" w:space="0" w:color="auto"/>
    </w:rPr>
  </w:style>
  <w:style w:type="character" w:customStyle="1" w:styleId="bumpedfont15">
    <w:name w:val="bumpedfont15"/>
    <w:basedOn w:val="DefaultParagraphFont"/>
    <w:rsid w:val="005F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sedar.co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F72B846E2F544A9236C3829E80A27" ma:contentTypeVersion="4" ma:contentTypeDescription="Create a new document." ma:contentTypeScope="" ma:versionID="80dec1cd251d6f6679e011585beb46b6">
  <xsd:schema xmlns:xsd="http://www.w3.org/2001/XMLSchema" xmlns:xs="http://www.w3.org/2001/XMLSchema" xmlns:p="http://schemas.microsoft.com/office/2006/metadata/properties" xmlns:ns3="dadd99b8-87d1-4755-b400-3f18a48f7329" targetNamespace="http://schemas.microsoft.com/office/2006/metadata/properties" ma:root="true" ma:fieldsID="215b66c5da8f13452f91f97c7939c694" ns3:_="">
    <xsd:import namespace="dadd99b8-87d1-4755-b400-3f18a48f7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99b8-87d1-4755-b400-3f18a48f7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711FD-BCCA-4E64-999E-609718191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F4BB7-5596-4B9F-987D-BA87D80E494E}">
  <ds:schemaRefs>
    <ds:schemaRef ds:uri="http://schemas.microsoft.com/sharepoint/v3/contenttype/forms"/>
  </ds:schemaRefs>
</ds:datastoreItem>
</file>

<file path=customXml/itemProps3.xml><?xml version="1.0" encoding="utf-8"?>
<ds:datastoreItem xmlns:ds="http://schemas.openxmlformats.org/officeDocument/2006/customXml" ds:itemID="{41DBCD1C-F36D-4B41-A0E8-0AB7D901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99b8-87d1-4755-b400-3f18a48f7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2020-02-21T14:28:28Z</dcterms:created>
  <dcterms:modified xsi:type="dcterms:W3CDTF">2020-02-21T14:28:28Z</dcterms:modified>
</cp:coreProperties>
</file>