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5E33F" w14:textId="77777777" w:rsidR="000271AB" w:rsidRDefault="000271AB">
      <w:pPr>
        <w:jc w:val="center"/>
        <w:rPr>
          <w:sz w:val="28"/>
          <w:szCs w:val="28"/>
        </w:rPr>
      </w:pPr>
    </w:p>
    <w:p w14:paraId="491BD282" w14:textId="77777777" w:rsidR="000271AB" w:rsidRDefault="000271AB">
      <w:pPr>
        <w:jc w:val="center"/>
        <w:rPr>
          <w:sz w:val="28"/>
          <w:szCs w:val="28"/>
        </w:rPr>
      </w:pPr>
    </w:p>
    <w:p w14:paraId="4B67B146" w14:textId="77777777" w:rsidR="000271AB" w:rsidRDefault="000271AB">
      <w:pPr>
        <w:jc w:val="center"/>
        <w:rPr>
          <w:sz w:val="28"/>
          <w:szCs w:val="28"/>
        </w:rPr>
      </w:pPr>
    </w:p>
    <w:p w14:paraId="6408A16B" w14:textId="77777777" w:rsidR="000271AB" w:rsidRDefault="000271AB">
      <w:pPr>
        <w:jc w:val="center"/>
        <w:rPr>
          <w:sz w:val="28"/>
          <w:szCs w:val="28"/>
        </w:rPr>
      </w:pPr>
    </w:p>
    <w:p w14:paraId="3A2581A7" w14:textId="77777777" w:rsidR="000271AB" w:rsidRDefault="000271AB">
      <w:pPr>
        <w:jc w:val="center"/>
        <w:rPr>
          <w:sz w:val="28"/>
          <w:szCs w:val="28"/>
        </w:rPr>
      </w:pPr>
    </w:p>
    <w:p w14:paraId="4BEBC034" w14:textId="77777777" w:rsidR="000271AB" w:rsidRDefault="000271AB">
      <w:pPr>
        <w:jc w:val="center"/>
        <w:rPr>
          <w:sz w:val="28"/>
          <w:szCs w:val="28"/>
        </w:rPr>
      </w:pPr>
    </w:p>
    <w:p w14:paraId="2E39713E" w14:textId="77777777" w:rsidR="000271AB" w:rsidRDefault="00EA131E" w:rsidP="00237D84">
      <w:pPr>
        <w:jc w:val="right"/>
        <w:rPr>
          <w:sz w:val="28"/>
          <w:szCs w:val="28"/>
        </w:rPr>
      </w:pPr>
      <w:r>
        <w:rPr>
          <w:sz w:val="28"/>
          <w:szCs w:val="28"/>
        </w:rPr>
        <w:t xml:space="preserve"> </w:t>
      </w:r>
    </w:p>
    <w:p w14:paraId="6CBA3601" w14:textId="77777777" w:rsidR="000271AB" w:rsidRPr="00971A45" w:rsidRDefault="00A00792" w:rsidP="00971A45">
      <w:pPr>
        <w:jc w:val="right"/>
        <w:rPr>
          <w:b/>
          <w:i/>
          <w:szCs w:val="22"/>
          <w:u w:val="single"/>
        </w:rPr>
      </w:pPr>
      <w:r>
        <w:rPr>
          <w:b/>
          <w:i/>
          <w:szCs w:val="22"/>
          <w:u w:val="single"/>
        </w:rPr>
        <w:t xml:space="preserve"> </w:t>
      </w:r>
      <w:r w:rsidR="00A83B48">
        <w:rPr>
          <w:b/>
          <w:i/>
          <w:szCs w:val="22"/>
          <w:u w:val="single"/>
        </w:rPr>
        <w:t xml:space="preserve"> </w:t>
      </w:r>
    </w:p>
    <w:p w14:paraId="3EB6C670" w14:textId="77777777" w:rsidR="000271AB" w:rsidRPr="008E45CD" w:rsidRDefault="00637E6B" w:rsidP="008E45CD">
      <w:pPr>
        <w:jc w:val="right"/>
        <w:rPr>
          <w:b/>
          <w:sz w:val="28"/>
          <w:szCs w:val="28"/>
          <w:u w:val="single"/>
        </w:rPr>
      </w:pPr>
      <w:r>
        <w:rPr>
          <w:b/>
          <w:sz w:val="28"/>
          <w:szCs w:val="28"/>
          <w:u w:val="single"/>
        </w:rPr>
        <w:t xml:space="preserve"> </w:t>
      </w:r>
    </w:p>
    <w:p w14:paraId="04E79D1E" w14:textId="77777777" w:rsidR="000271AB" w:rsidRPr="004D37FD" w:rsidRDefault="00032D4E" w:rsidP="004337A6">
      <w:pPr>
        <w:jc w:val="right"/>
        <w:rPr>
          <w:b/>
          <w:i/>
          <w:szCs w:val="22"/>
          <w:u w:val="single"/>
        </w:rPr>
      </w:pPr>
      <w:r>
        <w:rPr>
          <w:b/>
          <w:i/>
          <w:szCs w:val="22"/>
          <w:u w:val="single"/>
        </w:rPr>
        <w:t xml:space="preserve"> </w:t>
      </w:r>
    </w:p>
    <w:p w14:paraId="448346FD" w14:textId="77777777" w:rsidR="000271AB" w:rsidRDefault="000271AB">
      <w:pPr>
        <w:jc w:val="center"/>
        <w:rPr>
          <w:sz w:val="28"/>
          <w:szCs w:val="28"/>
        </w:rPr>
      </w:pPr>
    </w:p>
    <w:p w14:paraId="7B472F7F" w14:textId="77777777" w:rsidR="00BB52E5" w:rsidRDefault="00BB52E5" w:rsidP="005942D3">
      <w:pPr>
        <w:jc w:val="center"/>
        <w:rPr>
          <w:sz w:val="32"/>
          <w:szCs w:val="32"/>
        </w:rPr>
      </w:pPr>
      <w:bookmarkStart w:id="0" w:name="_Toc379536665"/>
      <w:r w:rsidRPr="005942D3">
        <w:rPr>
          <w:sz w:val="32"/>
          <w:szCs w:val="32"/>
        </w:rPr>
        <w:t>GRE</w:t>
      </w:r>
      <w:bookmarkEnd w:id="0"/>
      <w:r w:rsidR="002552FA">
        <w:rPr>
          <w:sz w:val="32"/>
          <w:szCs w:val="32"/>
        </w:rPr>
        <w:t>EN RIVER GOLD CORP.</w:t>
      </w:r>
    </w:p>
    <w:p w14:paraId="74F6284C" w14:textId="77777777" w:rsidR="000E2F08" w:rsidRDefault="000E2F08">
      <w:pPr>
        <w:jc w:val="center"/>
        <w:rPr>
          <w:sz w:val="28"/>
          <w:szCs w:val="28"/>
        </w:rPr>
      </w:pPr>
    </w:p>
    <w:p w14:paraId="2274F3E8" w14:textId="77777777" w:rsidR="000E2F08" w:rsidRDefault="000E2F08">
      <w:pPr>
        <w:jc w:val="center"/>
        <w:rPr>
          <w:szCs w:val="22"/>
        </w:rPr>
      </w:pPr>
      <w:r>
        <w:rPr>
          <w:szCs w:val="22"/>
        </w:rPr>
        <w:t>MANAGEMENT’S DISCUSSION AND ANALYSIS OF FINANCIAL CONDITION AND RESULTS OF OPERATIONS</w:t>
      </w:r>
    </w:p>
    <w:p w14:paraId="7BBDCE57" w14:textId="77777777" w:rsidR="000E2F08" w:rsidRDefault="000E2F08">
      <w:pPr>
        <w:jc w:val="center"/>
        <w:rPr>
          <w:szCs w:val="22"/>
        </w:rPr>
      </w:pPr>
    </w:p>
    <w:p w14:paraId="3BA1CF40" w14:textId="27C3E2FF" w:rsidR="009F7D6F" w:rsidRDefault="009F7D6F" w:rsidP="009F7D6F">
      <w:pPr>
        <w:jc w:val="center"/>
        <w:rPr>
          <w:szCs w:val="22"/>
        </w:rPr>
      </w:pPr>
      <w:r>
        <w:rPr>
          <w:szCs w:val="22"/>
        </w:rPr>
        <w:t>For the</w:t>
      </w:r>
      <w:r w:rsidR="004B42A0">
        <w:rPr>
          <w:szCs w:val="22"/>
        </w:rPr>
        <w:t xml:space="preserve"> </w:t>
      </w:r>
      <w:r w:rsidR="0062189F">
        <w:rPr>
          <w:szCs w:val="22"/>
        </w:rPr>
        <w:t>three</w:t>
      </w:r>
      <w:r w:rsidR="00236144">
        <w:rPr>
          <w:szCs w:val="22"/>
        </w:rPr>
        <w:t xml:space="preserve"> and </w:t>
      </w:r>
      <w:r w:rsidR="008F654C">
        <w:rPr>
          <w:szCs w:val="22"/>
        </w:rPr>
        <w:t>nine</w:t>
      </w:r>
      <w:r w:rsidR="0062189F">
        <w:rPr>
          <w:szCs w:val="22"/>
        </w:rPr>
        <w:t xml:space="preserve"> months</w:t>
      </w:r>
      <w:r w:rsidR="004B42A0">
        <w:rPr>
          <w:szCs w:val="22"/>
        </w:rPr>
        <w:t xml:space="preserve"> ended </w:t>
      </w:r>
      <w:r w:rsidR="008F654C">
        <w:rPr>
          <w:szCs w:val="22"/>
        </w:rPr>
        <w:t>June 30</w:t>
      </w:r>
      <w:r w:rsidR="00236144">
        <w:rPr>
          <w:szCs w:val="22"/>
        </w:rPr>
        <w:t>, 2020</w:t>
      </w:r>
      <w:r w:rsidR="004B42A0">
        <w:rPr>
          <w:szCs w:val="22"/>
        </w:rPr>
        <w:t xml:space="preserve"> and 201</w:t>
      </w:r>
      <w:r w:rsidR="00236144">
        <w:rPr>
          <w:szCs w:val="22"/>
        </w:rPr>
        <w:t>9</w:t>
      </w:r>
    </w:p>
    <w:p w14:paraId="4998969A" w14:textId="77777777" w:rsidR="000E2F08" w:rsidRDefault="000E2F08">
      <w:pPr>
        <w:rPr>
          <w:szCs w:val="22"/>
        </w:rPr>
      </w:pPr>
    </w:p>
    <w:p w14:paraId="7DD66F4D" w14:textId="77777777" w:rsidR="000271AB" w:rsidRDefault="000271AB">
      <w:pPr>
        <w:rPr>
          <w:b/>
          <w:szCs w:val="22"/>
        </w:rPr>
      </w:pPr>
    </w:p>
    <w:p w14:paraId="2678E99D" w14:textId="77777777" w:rsidR="000271AB" w:rsidRDefault="000271AB">
      <w:pPr>
        <w:rPr>
          <w:b/>
          <w:szCs w:val="22"/>
        </w:rPr>
      </w:pPr>
    </w:p>
    <w:p w14:paraId="07A703A1" w14:textId="77777777" w:rsidR="000271AB" w:rsidRDefault="000271AB">
      <w:pPr>
        <w:rPr>
          <w:b/>
          <w:szCs w:val="22"/>
        </w:rPr>
      </w:pPr>
    </w:p>
    <w:p w14:paraId="2D42F7EE" w14:textId="77777777" w:rsidR="00586985" w:rsidRDefault="00586985">
      <w:pPr>
        <w:rPr>
          <w:b/>
          <w:szCs w:val="22"/>
        </w:rPr>
      </w:pPr>
    </w:p>
    <w:p w14:paraId="7D2E2107" w14:textId="77777777" w:rsidR="000271AB" w:rsidRDefault="000271AB">
      <w:pPr>
        <w:rPr>
          <w:b/>
          <w:szCs w:val="22"/>
        </w:rPr>
      </w:pPr>
    </w:p>
    <w:p w14:paraId="6DB5F2E4" w14:textId="77777777" w:rsidR="000271AB" w:rsidRDefault="000271AB">
      <w:pPr>
        <w:rPr>
          <w:b/>
          <w:szCs w:val="22"/>
        </w:rPr>
      </w:pPr>
    </w:p>
    <w:p w14:paraId="7833FDA6" w14:textId="77777777" w:rsidR="000271AB" w:rsidRDefault="000271AB">
      <w:pPr>
        <w:rPr>
          <w:b/>
          <w:szCs w:val="22"/>
        </w:rPr>
      </w:pPr>
    </w:p>
    <w:p w14:paraId="7D96CE00" w14:textId="77777777" w:rsidR="000271AB" w:rsidRDefault="000271AB">
      <w:pPr>
        <w:rPr>
          <w:b/>
          <w:szCs w:val="22"/>
        </w:rPr>
      </w:pPr>
    </w:p>
    <w:p w14:paraId="1D69CA37" w14:textId="77777777" w:rsidR="000271AB" w:rsidRDefault="000271AB">
      <w:pPr>
        <w:rPr>
          <w:b/>
          <w:szCs w:val="22"/>
        </w:rPr>
      </w:pPr>
    </w:p>
    <w:p w14:paraId="7E7F6F53" w14:textId="77777777" w:rsidR="000271AB" w:rsidRDefault="000271AB">
      <w:pPr>
        <w:rPr>
          <w:b/>
          <w:szCs w:val="22"/>
        </w:rPr>
      </w:pPr>
    </w:p>
    <w:p w14:paraId="79DED110" w14:textId="77777777" w:rsidR="000271AB" w:rsidRDefault="000271AB">
      <w:pPr>
        <w:rPr>
          <w:b/>
          <w:szCs w:val="22"/>
        </w:rPr>
      </w:pPr>
    </w:p>
    <w:p w14:paraId="74075436" w14:textId="77777777" w:rsidR="000271AB" w:rsidRDefault="000271AB">
      <w:pPr>
        <w:rPr>
          <w:b/>
          <w:szCs w:val="22"/>
        </w:rPr>
      </w:pPr>
    </w:p>
    <w:p w14:paraId="58369021" w14:textId="77777777" w:rsidR="000271AB" w:rsidRDefault="000271AB">
      <w:pPr>
        <w:rPr>
          <w:b/>
          <w:szCs w:val="22"/>
        </w:rPr>
      </w:pPr>
    </w:p>
    <w:p w14:paraId="40442D36" w14:textId="77777777" w:rsidR="000271AB" w:rsidRDefault="000271AB">
      <w:pPr>
        <w:rPr>
          <w:b/>
          <w:szCs w:val="22"/>
        </w:rPr>
      </w:pPr>
    </w:p>
    <w:p w14:paraId="128747B0" w14:textId="77777777" w:rsidR="000271AB" w:rsidRDefault="000271AB">
      <w:pPr>
        <w:rPr>
          <w:b/>
          <w:szCs w:val="22"/>
        </w:rPr>
      </w:pPr>
    </w:p>
    <w:p w14:paraId="6AD5E0F5" w14:textId="77777777" w:rsidR="000271AB" w:rsidRDefault="000271AB">
      <w:pPr>
        <w:rPr>
          <w:b/>
          <w:szCs w:val="22"/>
        </w:rPr>
      </w:pPr>
    </w:p>
    <w:p w14:paraId="2A2415C9" w14:textId="77777777" w:rsidR="000271AB" w:rsidRDefault="000271AB">
      <w:pPr>
        <w:rPr>
          <w:b/>
          <w:szCs w:val="22"/>
        </w:rPr>
      </w:pPr>
    </w:p>
    <w:p w14:paraId="45648062" w14:textId="77777777" w:rsidR="000271AB" w:rsidRDefault="000271AB">
      <w:pPr>
        <w:rPr>
          <w:b/>
          <w:szCs w:val="22"/>
        </w:rPr>
      </w:pPr>
    </w:p>
    <w:p w14:paraId="3B9E0A91" w14:textId="77777777" w:rsidR="000271AB" w:rsidRDefault="000271AB">
      <w:pPr>
        <w:rPr>
          <w:b/>
          <w:szCs w:val="22"/>
        </w:rPr>
      </w:pPr>
    </w:p>
    <w:p w14:paraId="390823C9" w14:textId="77777777" w:rsidR="000271AB" w:rsidRDefault="000271AB">
      <w:pPr>
        <w:rPr>
          <w:b/>
          <w:szCs w:val="22"/>
        </w:rPr>
      </w:pPr>
    </w:p>
    <w:p w14:paraId="085197F6" w14:textId="77777777" w:rsidR="000271AB" w:rsidRDefault="000271AB">
      <w:pPr>
        <w:rPr>
          <w:b/>
          <w:szCs w:val="22"/>
        </w:rPr>
      </w:pPr>
    </w:p>
    <w:p w14:paraId="3D3F65D9" w14:textId="77777777" w:rsidR="000271AB" w:rsidRDefault="000271AB">
      <w:pPr>
        <w:rPr>
          <w:b/>
          <w:szCs w:val="22"/>
        </w:rPr>
      </w:pPr>
    </w:p>
    <w:p w14:paraId="4433197D" w14:textId="77777777" w:rsidR="000271AB" w:rsidRDefault="000271AB">
      <w:pPr>
        <w:rPr>
          <w:b/>
          <w:szCs w:val="22"/>
        </w:rPr>
      </w:pPr>
    </w:p>
    <w:p w14:paraId="77659A36" w14:textId="77777777" w:rsidR="000271AB" w:rsidRDefault="000271AB">
      <w:pPr>
        <w:rPr>
          <w:b/>
          <w:szCs w:val="22"/>
        </w:rPr>
      </w:pPr>
    </w:p>
    <w:p w14:paraId="0FDA069A" w14:textId="77777777" w:rsidR="000271AB" w:rsidRDefault="000271AB">
      <w:pPr>
        <w:rPr>
          <w:b/>
          <w:szCs w:val="22"/>
        </w:rPr>
      </w:pPr>
    </w:p>
    <w:p w14:paraId="3A3BF486" w14:textId="77777777" w:rsidR="000271AB" w:rsidRDefault="000271AB">
      <w:pPr>
        <w:rPr>
          <w:b/>
          <w:szCs w:val="22"/>
        </w:rPr>
      </w:pPr>
    </w:p>
    <w:p w14:paraId="29208376" w14:textId="77777777" w:rsidR="009B0059" w:rsidRDefault="009B0059">
      <w:pPr>
        <w:rPr>
          <w:b/>
          <w:szCs w:val="22"/>
        </w:rPr>
      </w:pPr>
    </w:p>
    <w:p w14:paraId="5F6003FB" w14:textId="77777777" w:rsidR="000271AB" w:rsidRDefault="000271AB">
      <w:pPr>
        <w:rPr>
          <w:b/>
          <w:szCs w:val="22"/>
        </w:rPr>
      </w:pPr>
    </w:p>
    <w:p w14:paraId="0185A448" w14:textId="77777777" w:rsidR="000271AB" w:rsidRDefault="000271AB">
      <w:pPr>
        <w:rPr>
          <w:b/>
          <w:szCs w:val="22"/>
        </w:rPr>
      </w:pPr>
    </w:p>
    <w:p w14:paraId="7EFC0770" w14:textId="77777777" w:rsidR="004966C3" w:rsidRDefault="004966C3">
      <w:pPr>
        <w:rPr>
          <w:b/>
          <w:szCs w:val="22"/>
        </w:rPr>
      </w:pPr>
    </w:p>
    <w:p w14:paraId="25B6571D" w14:textId="77777777" w:rsidR="004966C3" w:rsidRDefault="004966C3">
      <w:pPr>
        <w:rPr>
          <w:b/>
          <w:szCs w:val="22"/>
        </w:rPr>
      </w:pPr>
    </w:p>
    <w:p w14:paraId="5F38C97A" w14:textId="77777777" w:rsidR="004966C3" w:rsidRDefault="004966C3">
      <w:pPr>
        <w:rPr>
          <w:b/>
          <w:szCs w:val="22"/>
        </w:rPr>
      </w:pPr>
    </w:p>
    <w:p w14:paraId="20963446" w14:textId="77777777" w:rsidR="000271AB" w:rsidRDefault="000271AB">
      <w:pPr>
        <w:rPr>
          <w:b/>
          <w:szCs w:val="22"/>
        </w:rPr>
      </w:pPr>
    </w:p>
    <w:p w14:paraId="3D602AEF" w14:textId="77777777" w:rsidR="000271AB" w:rsidRDefault="00463B7B" w:rsidP="00463B7B">
      <w:pPr>
        <w:pBdr>
          <w:top w:val="single" w:sz="4" w:space="1" w:color="auto"/>
          <w:bottom w:val="single" w:sz="4" w:space="1" w:color="auto"/>
        </w:pBdr>
        <w:rPr>
          <w:b/>
          <w:szCs w:val="22"/>
        </w:rPr>
      </w:pPr>
      <w:r>
        <w:rPr>
          <w:b/>
          <w:szCs w:val="22"/>
        </w:rPr>
        <w:t>INDEX</w:t>
      </w:r>
    </w:p>
    <w:p w14:paraId="2D5BF3EF" w14:textId="77777777" w:rsidR="00463B7B" w:rsidRPr="004D37FD" w:rsidRDefault="00463B7B" w:rsidP="000271AB">
      <w:pPr>
        <w:rPr>
          <w:b/>
          <w:szCs w:val="22"/>
        </w:rPr>
      </w:pPr>
    </w:p>
    <w:p w14:paraId="6F38917B" w14:textId="16A2DF70" w:rsidR="00AA3CC0" w:rsidRDefault="005942D3">
      <w:pPr>
        <w:pStyle w:val="TOC3"/>
        <w:tabs>
          <w:tab w:val="right" w:leader="dot" w:pos="10070"/>
        </w:tabs>
        <w:rPr>
          <w:rFonts w:asciiTheme="minorHAnsi" w:eastAsiaTheme="minorEastAsia" w:hAnsiTheme="minorHAnsi" w:cstheme="minorBidi"/>
          <w:noProof/>
          <w:szCs w:val="22"/>
        </w:rPr>
      </w:pPr>
      <w:r w:rsidRPr="00677803">
        <w:rPr>
          <w:szCs w:val="22"/>
        </w:rPr>
        <w:fldChar w:fldCharType="begin"/>
      </w:r>
      <w:r w:rsidRPr="00677803">
        <w:rPr>
          <w:szCs w:val="22"/>
        </w:rPr>
        <w:instrText xml:space="preserve"> TOC \o "1-3" \h \z \u </w:instrText>
      </w:r>
      <w:r w:rsidRPr="00677803">
        <w:rPr>
          <w:szCs w:val="22"/>
        </w:rPr>
        <w:fldChar w:fldCharType="separate"/>
      </w:r>
      <w:hyperlink w:anchor="_Toc34057618" w:history="1">
        <w:r w:rsidR="00AA3CC0" w:rsidRPr="00514AC2">
          <w:rPr>
            <w:rStyle w:val="Hyperlink"/>
            <w:b/>
            <w:noProof/>
          </w:rPr>
          <w:t>INTRODUCTION</w:t>
        </w:r>
        <w:r w:rsidR="00AA3CC0">
          <w:rPr>
            <w:noProof/>
            <w:webHidden/>
          </w:rPr>
          <w:tab/>
        </w:r>
        <w:r w:rsidR="00AA3CC0">
          <w:rPr>
            <w:noProof/>
            <w:webHidden/>
          </w:rPr>
          <w:fldChar w:fldCharType="begin"/>
        </w:r>
        <w:r w:rsidR="00AA3CC0">
          <w:rPr>
            <w:noProof/>
            <w:webHidden/>
          </w:rPr>
          <w:instrText xml:space="preserve"> PAGEREF _Toc34057618 \h </w:instrText>
        </w:r>
        <w:r w:rsidR="00AA3CC0">
          <w:rPr>
            <w:noProof/>
            <w:webHidden/>
          </w:rPr>
        </w:r>
        <w:r w:rsidR="00AA3CC0">
          <w:rPr>
            <w:noProof/>
            <w:webHidden/>
          </w:rPr>
          <w:fldChar w:fldCharType="separate"/>
        </w:r>
        <w:r w:rsidR="00B549E0">
          <w:rPr>
            <w:noProof/>
            <w:webHidden/>
          </w:rPr>
          <w:t>3</w:t>
        </w:r>
        <w:r w:rsidR="00AA3CC0">
          <w:rPr>
            <w:noProof/>
            <w:webHidden/>
          </w:rPr>
          <w:fldChar w:fldCharType="end"/>
        </w:r>
      </w:hyperlink>
    </w:p>
    <w:p w14:paraId="68320E06" w14:textId="61DB4DC9" w:rsidR="00AA3CC0" w:rsidRDefault="00610C4F">
      <w:pPr>
        <w:pStyle w:val="TOC3"/>
        <w:tabs>
          <w:tab w:val="right" w:leader="dot" w:pos="10070"/>
        </w:tabs>
        <w:rPr>
          <w:rFonts w:asciiTheme="minorHAnsi" w:eastAsiaTheme="minorEastAsia" w:hAnsiTheme="minorHAnsi" w:cstheme="minorBidi"/>
          <w:noProof/>
          <w:szCs w:val="22"/>
        </w:rPr>
      </w:pPr>
      <w:hyperlink w:anchor="_Toc34057619" w:history="1">
        <w:r w:rsidR="00AA3CC0" w:rsidRPr="00514AC2">
          <w:rPr>
            <w:rStyle w:val="Hyperlink"/>
            <w:b/>
            <w:noProof/>
          </w:rPr>
          <w:t>DATE OF REPORT</w:t>
        </w:r>
        <w:r w:rsidR="00AA3CC0">
          <w:rPr>
            <w:noProof/>
            <w:webHidden/>
          </w:rPr>
          <w:tab/>
        </w:r>
        <w:r w:rsidR="00AA3CC0">
          <w:rPr>
            <w:noProof/>
            <w:webHidden/>
          </w:rPr>
          <w:fldChar w:fldCharType="begin"/>
        </w:r>
        <w:r w:rsidR="00AA3CC0">
          <w:rPr>
            <w:noProof/>
            <w:webHidden/>
          </w:rPr>
          <w:instrText xml:space="preserve"> PAGEREF _Toc34057619 \h </w:instrText>
        </w:r>
        <w:r w:rsidR="00AA3CC0">
          <w:rPr>
            <w:noProof/>
            <w:webHidden/>
          </w:rPr>
        </w:r>
        <w:r w:rsidR="00AA3CC0">
          <w:rPr>
            <w:noProof/>
            <w:webHidden/>
          </w:rPr>
          <w:fldChar w:fldCharType="separate"/>
        </w:r>
        <w:r w:rsidR="00B549E0">
          <w:rPr>
            <w:noProof/>
            <w:webHidden/>
          </w:rPr>
          <w:t>3</w:t>
        </w:r>
        <w:r w:rsidR="00AA3CC0">
          <w:rPr>
            <w:noProof/>
            <w:webHidden/>
          </w:rPr>
          <w:fldChar w:fldCharType="end"/>
        </w:r>
      </w:hyperlink>
    </w:p>
    <w:p w14:paraId="6350DD36" w14:textId="17FFFA70" w:rsidR="00AA3CC0" w:rsidRDefault="00610C4F">
      <w:pPr>
        <w:pStyle w:val="TOC3"/>
        <w:tabs>
          <w:tab w:val="right" w:leader="dot" w:pos="10070"/>
        </w:tabs>
        <w:rPr>
          <w:rFonts w:asciiTheme="minorHAnsi" w:eastAsiaTheme="minorEastAsia" w:hAnsiTheme="minorHAnsi" w:cstheme="minorBidi"/>
          <w:noProof/>
          <w:szCs w:val="22"/>
        </w:rPr>
      </w:pPr>
      <w:hyperlink w:anchor="_Toc34057620" w:history="1">
        <w:r w:rsidR="00AA3CC0" w:rsidRPr="00514AC2">
          <w:rPr>
            <w:rStyle w:val="Hyperlink"/>
            <w:b/>
            <w:noProof/>
          </w:rPr>
          <w:t>OVERVIEW</w:t>
        </w:r>
        <w:r w:rsidR="00AA3CC0">
          <w:rPr>
            <w:noProof/>
            <w:webHidden/>
          </w:rPr>
          <w:tab/>
        </w:r>
        <w:r w:rsidR="00AA3CC0">
          <w:rPr>
            <w:noProof/>
            <w:webHidden/>
          </w:rPr>
          <w:fldChar w:fldCharType="begin"/>
        </w:r>
        <w:r w:rsidR="00AA3CC0">
          <w:rPr>
            <w:noProof/>
            <w:webHidden/>
          </w:rPr>
          <w:instrText xml:space="preserve"> PAGEREF _Toc34057620 \h </w:instrText>
        </w:r>
        <w:r w:rsidR="00AA3CC0">
          <w:rPr>
            <w:noProof/>
            <w:webHidden/>
          </w:rPr>
        </w:r>
        <w:r w:rsidR="00AA3CC0">
          <w:rPr>
            <w:noProof/>
            <w:webHidden/>
          </w:rPr>
          <w:fldChar w:fldCharType="separate"/>
        </w:r>
        <w:r w:rsidR="00B549E0">
          <w:rPr>
            <w:noProof/>
            <w:webHidden/>
          </w:rPr>
          <w:t>3</w:t>
        </w:r>
        <w:r w:rsidR="00AA3CC0">
          <w:rPr>
            <w:noProof/>
            <w:webHidden/>
          </w:rPr>
          <w:fldChar w:fldCharType="end"/>
        </w:r>
      </w:hyperlink>
    </w:p>
    <w:p w14:paraId="30434313" w14:textId="13CA03E2" w:rsidR="00AA3CC0" w:rsidRDefault="00610C4F">
      <w:pPr>
        <w:pStyle w:val="TOC3"/>
        <w:tabs>
          <w:tab w:val="right" w:leader="dot" w:pos="10070"/>
        </w:tabs>
        <w:rPr>
          <w:rFonts w:asciiTheme="minorHAnsi" w:eastAsiaTheme="minorEastAsia" w:hAnsiTheme="minorHAnsi" w:cstheme="minorBidi"/>
          <w:noProof/>
          <w:szCs w:val="22"/>
        </w:rPr>
      </w:pPr>
      <w:hyperlink w:anchor="_Toc34057621" w:history="1">
        <w:r w:rsidR="00AA3CC0" w:rsidRPr="00514AC2">
          <w:rPr>
            <w:rStyle w:val="Hyperlink"/>
            <w:b/>
            <w:noProof/>
          </w:rPr>
          <w:t>SELECTED FINANCIAL INFORMATION</w:t>
        </w:r>
        <w:r w:rsidR="00AA3CC0">
          <w:rPr>
            <w:noProof/>
            <w:webHidden/>
          </w:rPr>
          <w:tab/>
        </w:r>
        <w:r w:rsidR="00AA3CC0">
          <w:rPr>
            <w:noProof/>
            <w:webHidden/>
          </w:rPr>
          <w:fldChar w:fldCharType="begin"/>
        </w:r>
        <w:r w:rsidR="00AA3CC0">
          <w:rPr>
            <w:noProof/>
            <w:webHidden/>
          </w:rPr>
          <w:instrText xml:space="preserve"> PAGEREF _Toc34057621 \h </w:instrText>
        </w:r>
        <w:r w:rsidR="00AA3CC0">
          <w:rPr>
            <w:noProof/>
            <w:webHidden/>
          </w:rPr>
        </w:r>
        <w:r w:rsidR="00AA3CC0">
          <w:rPr>
            <w:noProof/>
            <w:webHidden/>
          </w:rPr>
          <w:fldChar w:fldCharType="separate"/>
        </w:r>
        <w:r w:rsidR="00B549E0">
          <w:rPr>
            <w:noProof/>
            <w:webHidden/>
          </w:rPr>
          <w:t>5</w:t>
        </w:r>
        <w:r w:rsidR="00AA3CC0">
          <w:rPr>
            <w:noProof/>
            <w:webHidden/>
          </w:rPr>
          <w:fldChar w:fldCharType="end"/>
        </w:r>
      </w:hyperlink>
    </w:p>
    <w:p w14:paraId="1F70FD4E" w14:textId="6DEE261B" w:rsidR="00AA3CC0" w:rsidRDefault="00610C4F">
      <w:pPr>
        <w:pStyle w:val="TOC3"/>
        <w:tabs>
          <w:tab w:val="right" w:leader="dot" w:pos="10070"/>
        </w:tabs>
        <w:rPr>
          <w:rFonts w:asciiTheme="minorHAnsi" w:eastAsiaTheme="minorEastAsia" w:hAnsiTheme="minorHAnsi" w:cstheme="minorBidi"/>
          <w:noProof/>
          <w:szCs w:val="22"/>
        </w:rPr>
      </w:pPr>
      <w:hyperlink w:anchor="_Toc34057622" w:history="1">
        <w:r w:rsidR="00AA3CC0" w:rsidRPr="00514AC2">
          <w:rPr>
            <w:rStyle w:val="Hyperlink"/>
            <w:b/>
            <w:noProof/>
          </w:rPr>
          <w:t>SUMMARY OF QUARTERLY RESULTS</w:t>
        </w:r>
        <w:r w:rsidR="00AA3CC0">
          <w:rPr>
            <w:noProof/>
            <w:webHidden/>
          </w:rPr>
          <w:tab/>
        </w:r>
        <w:r w:rsidR="00AA3CC0">
          <w:rPr>
            <w:noProof/>
            <w:webHidden/>
          </w:rPr>
          <w:fldChar w:fldCharType="begin"/>
        </w:r>
        <w:r w:rsidR="00AA3CC0">
          <w:rPr>
            <w:noProof/>
            <w:webHidden/>
          </w:rPr>
          <w:instrText xml:space="preserve"> PAGEREF _Toc34057622 \h </w:instrText>
        </w:r>
        <w:r w:rsidR="00AA3CC0">
          <w:rPr>
            <w:noProof/>
            <w:webHidden/>
          </w:rPr>
        </w:r>
        <w:r w:rsidR="00AA3CC0">
          <w:rPr>
            <w:noProof/>
            <w:webHidden/>
          </w:rPr>
          <w:fldChar w:fldCharType="separate"/>
        </w:r>
        <w:r w:rsidR="00B549E0">
          <w:rPr>
            <w:noProof/>
            <w:webHidden/>
          </w:rPr>
          <w:t>6</w:t>
        </w:r>
        <w:r w:rsidR="00AA3CC0">
          <w:rPr>
            <w:noProof/>
            <w:webHidden/>
          </w:rPr>
          <w:fldChar w:fldCharType="end"/>
        </w:r>
      </w:hyperlink>
    </w:p>
    <w:p w14:paraId="4CB2652A" w14:textId="5EC97010" w:rsidR="00AA3CC0" w:rsidRDefault="00610C4F">
      <w:pPr>
        <w:pStyle w:val="TOC3"/>
        <w:tabs>
          <w:tab w:val="right" w:leader="dot" w:pos="10070"/>
        </w:tabs>
        <w:rPr>
          <w:rFonts w:asciiTheme="minorHAnsi" w:eastAsiaTheme="minorEastAsia" w:hAnsiTheme="minorHAnsi" w:cstheme="minorBidi"/>
          <w:noProof/>
          <w:szCs w:val="22"/>
        </w:rPr>
      </w:pPr>
      <w:hyperlink w:anchor="_Toc34057623" w:history="1">
        <w:r w:rsidR="00AA3CC0" w:rsidRPr="00514AC2">
          <w:rPr>
            <w:rStyle w:val="Hyperlink"/>
            <w:b/>
            <w:noProof/>
          </w:rPr>
          <w:t>RESULTS OF OPERATIONS</w:t>
        </w:r>
        <w:r w:rsidR="00AA3CC0">
          <w:rPr>
            <w:noProof/>
            <w:webHidden/>
          </w:rPr>
          <w:tab/>
        </w:r>
        <w:r w:rsidR="00AA3CC0">
          <w:rPr>
            <w:noProof/>
            <w:webHidden/>
          </w:rPr>
          <w:fldChar w:fldCharType="begin"/>
        </w:r>
        <w:r w:rsidR="00AA3CC0">
          <w:rPr>
            <w:noProof/>
            <w:webHidden/>
          </w:rPr>
          <w:instrText xml:space="preserve"> PAGEREF _Toc34057623 \h </w:instrText>
        </w:r>
        <w:r w:rsidR="00AA3CC0">
          <w:rPr>
            <w:noProof/>
            <w:webHidden/>
          </w:rPr>
        </w:r>
        <w:r w:rsidR="00AA3CC0">
          <w:rPr>
            <w:noProof/>
            <w:webHidden/>
          </w:rPr>
          <w:fldChar w:fldCharType="separate"/>
        </w:r>
        <w:r w:rsidR="00B549E0">
          <w:rPr>
            <w:noProof/>
            <w:webHidden/>
          </w:rPr>
          <w:t>6</w:t>
        </w:r>
        <w:r w:rsidR="00AA3CC0">
          <w:rPr>
            <w:noProof/>
            <w:webHidden/>
          </w:rPr>
          <w:fldChar w:fldCharType="end"/>
        </w:r>
      </w:hyperlink>
    </w:p>
    <w:p w14:paraId="72DFCF33" w14:textId="5F25E178" w:rsidR="00AA3CC0" w:rsidRDefault="00610C4F">
      <w:pPr>
        <w:pStyle w:val="TOC3"/>
        <w:tabs>
          <w:tab w:val="right" w:leader="dot" w:pos="10070"/>
        </w:tabs>
        <w:rPr>
          <w:rFonts w:asciiTheme="minorHAnsi" w:eastAsiaTheme="minorEastAsia" w:hAnsiTheme="minorHAnsi" w:cstheme="minorBidi"/>
          <w:noProof/>
          <w:szCs w:val="22"/>
        </w:rPr>
      </w:pPr>
      <w:hyperlink w:anchor="_Toc34057624" w:history="1">
        <w:r w:rsidR="00AA3CC0" w:rsidRPr="00514AC2">
          <w:rPr>
            <w:rStyle w:val="Hyperlink"/>
            <w:b/>
            <w:noProof/>
          </w:rPr>
          <w:t>LIQUIDITY AND CAPITAL RESOURCES</w:t>
        </w:r>
        <w:r w:rsidR="00AA3CC0">
          <w:rPr>
            <w:noProof/>
            <w:webHidden/>
          </w:rPr>
          <w:tab/>
        </w:r>
        <w:r w:rsidR="00AA3CC0">
          <w:rPr>
            <w:noProof/>
            <w:webHidden/>
          </w:rPr>
          <w:fldChar w:fldCharType="begin"/>
        </w:r>
        <w:r w:rsidR="00AA3CC0">
          <w:rPr>
            <w:noProof/>
            <w:webHidden/>
          </w:rPr>
          <w:instrText xml:space="preserve"> PAGEREF _Toc34057624 \h </w:instrText>
        </w:r>
        <w:r w:rsidR="00AA3CC0">
          <w:rPr>
            <w:noProof/>
            <w:webHidden/>
          </w:rPr>
        </w:r>
        <w:r w:rsidR="00AA3CC0">
          <w:rPr>
            <w:noProof/>
            <w:webHidden/>
          </w:rPr>
          <w:fldChar w:fldCharType="separate"/>
        </w:r>
        <w:r w:rsidR="00B549E0">
          <w:rPr>
            <w:noProof/>
            <w:webHidden/>
          </w:rPr>
          <w:t>7</w:t>
        </w:r>
        <w:r w:rsidR="00AA3CC0">
          <w:rPr>
            <w:noProof/>
            <w:webHidden/>
          </w:rPr>
          <w:fldChar w:fldCharType="end"/>
        </w:r>
      </w:hyperlink>
    </w:p>
    <w:p w14:paraId="0F1CDAA8" w14:textId="0DDEBA1B" w:rsidR="00AA3CC0" w:rsidRDefault="00610C4F">
      <w:pPr>
        <w:pStyle w:val="TOC3"/>
        <w:tabs>
          <w:tab w:val="right" w:leader="dot" w:pos="10070"/>
        </w:tabs>
        <w:rPr>
          <w:rFonts w:asciiTheme="minorHAnsi" w:eastAsiaTheme="minorEastAsia" w:hAnsiTheme="minorHAnsi" w:cstheme="minorBidi"/>
          <w:noProof/>
          <w:szCs w:val="22"/>
        </w:rPr>
      </w:pPr>
      <w:hyperlink w:anchor="_Toc34057625" w:history="1">
        <w:r w:rsidR="00AA3CC0" w:rsidRPr="00514AC2">
          <w:rPr>
            <w:rStyle w:val="Hyperlink"/>
            <w:b/>
            <w:noProof/>
          </w:rPr>
          <w:t>SHARE CAPITAL</w:t>
        </w:r>
        <w:r w:rsidR="00AA3CC0">
          <w:rPr>
            <w:noProof/>
            <w:webHidden/>
          </w:rPr>
          <w:tab/>
        </w:r>
        <w:r w:rsidR="00AA3CC0">
          <w:rPr>
            <w:noProof/>
            <w:webHidden/>
          </w:rPr>
          <w:fldChar w:fldCharType="begin"/>
        </w:r>
        <w:r w:rsidR="00AA3CC0">
          <w:rPr>
            <w:noProof/>
            <w:webHidden/>
          </w:rPr>
          <w:instrText xml:space="preserve"> PAGEREF _Toc34057625 \h </w:instrText>
        </w:r>
        <w:r w:rsidR="00AA3CC0">
          <w:rPr>
            <w:noProof/>
            <w:webHidden/>
          </w:rPr>
        </w:r>
        <w:r w:rsidR="00AA3CC0">
          <w:rPr>
            <w:noProof/>
            <w:webHidden/>
          </w:rPr>
          <w:fldChar w:fldCharType="separate"/>
        </w:r>
        <w:r w:rsidR="00B549E0">
          <w:rPr>
            <w:noProof/>
            <w:webHidden/>
          </w:rPr>
          <w:t>8</w:t>
        </w:r>
        <w:r w:rsidR="00AA3CC0">
          <w:rPr>
            <w:noProof/>
            <w:webHidden/>
          </w:rPr>
          <w:fldChar w:fldCharType="end"/>
        </w:r>
      </w:hyperlink>
    </w:p>
    <w:p w14:paraId="60FD0DB6" w14:textId="02CF1477" w:rsidR="00AA3CC0" w:rsidRDefault="00610C4F">
      <w:pPr>
        <w:pStyle w:val="TOC3"/>
        <w:tabs>
          <w:tab w:val="right" w:leader="dot" w:pos="10070"/>
        </w:tabs>
        <w:rPr>
          <w:rFonts w:asciiTheme="minorHAnsi" w:eastAsiaTheme="minorEastAsia" w:hAnsiTheme="minorHAnsi" w:cstheme="minorBidi"/>
          <w:noProof/>
          <w:szCs w:val="22"/>
        </w:rPr>
      </w:pPr>
      <w:hyperlink w:anchor="_Toc34057626" w:history="1">
        <w:r w:rsidR="00AA3CC0" w:rsidRPr="00514AC2">
          <w:rPr>
            <w:rStyle w:val="Hyperlink"/>
            <w:b/>
            <w:noProof/>
          </w:rPr>
          <w:t>OUTLOOK</w:t>
        </w:r>
        <w:r w:rsidR="00AA3CC0">
          <w:rPr>
            <w:noProof/>
            <w:webHidden/>
          </w:rPr>
          <w:tab/>
        </w:r>
        <w:r w:rsidR="00AA3CC0">
          <w:rPr>
            <w:noProof/>
            <w:webHidden/>
          </w:rPr>
          <w:fldChar w:fldCharType="begin"/>
        </w:r>
        <w:r w:rsidR="00AA3CC0">
          <w:rPr>
            <w:noProof/>
            <w:webHidden/>
          </w:rPr>
          <w:instrText xml:space="preserve"> PAGEREF _Toc34057626 \h </w:instrText>
        </w:r>
        <w:r w:rsidR="00AA3CC0">
          <w:rPr>
            <w:noProof/>
            <w:webHidden/>
          </w:rPr>
        </w:r>
        <w:r w:rsidR="00AA3CC0">
          <w:rPr>
            <w:noProof/>
            <w:webHidden/>
          </w:rPr>
          <w:fldChar w:fldCharType="separate"/>
        </w:r>
        <w:r w:rsidR="00B549E0">
          <w:rPr>
            <w:noProof/>
            <w:webHidden/>
          </w:rPr>
          <w:t>9</w:t>
        </w:r>
        <w:r w:rsidR="00AA3CC0">
          <w:rPr>
            <w:noProof/>
            <w:webHidden/>
          </w:rPr>
          <w:fldChar w:fldCharType="end"/>
        </w:r>
      </w:hyperlink>
    </w:p>
    <w:p w14:paraId="6703DF2C" w14:textId="64622B43" w:rsidR="00AA3CC0" w:rsidRDefault="00610C4F">
      <w:pPr>
        <w:pStyle w:val="TOC3"/>
        <w:tabs>
          <w:tab w:val="right" w:leader="dot" w:pos="10070"/>
        </w:tabs>
        <w:rPr>
          <w:rFonts w:asciiTheme="minorHAnsi" w:eastAsiaTheme="minorEastAsia" w:hAnsiTheme="minorHAnsi" w:cstheme="minorBidi"/>
          <w:noProof/>
          <w:szCs w:val="22"/>
        </w:rPr>
      </w:pPr>
      <w:hyperlink w:anchor="_Toc34057627" w:history="1">
        <w:r w:rsidR="00AA3CC0" w:rsidRPr="00514AC2">
          <w:rPr>
            <w:rStyle w:val="Hyperlink"/>
            <w:b/>
            <w:noProof/>
          </w:rPr>
          <w:t>OFF-BALANCE SHEET ARRANGEMENTS</w:t>
        </w:r>
        <w:r w:rsidR="00AA3CC0">
          <w:rPr>
            <w:noProof/>
            <w:webHidden/>
          </w:rPr>
          <w:tab/>
        </w:r>
        <w:r w:rsidR="00AA3CC0">
          <w:rPr>
            <w:noProof/>
            <w:webHidden/>
          </w:rPr>
          <w:fldChar w:fldCharType="begin"/>
        </w:r>
        <w:r w:rsidR="00AA3CC0">
          <w:rPr>
            <w:noProof/>
            <w:webHidden/>
          </w:rPr>
          <w:instrText xml:space="preserve"> PAGEREF _Toc34057627 \h </w:instrText>
        </w:r>
        <w:r w:rsidR="00AA3CC0">
          <w:rPr>
            <w:noProof/>
            <w:webHidden/>
          </w:rPr>
        </w:r>
        <w:r w:rsidR="00AA3CC0">
          <w:rPr>
            <w:noProof/>
            <w:webHidden/>
          </w:rPr>
          <w:fldChar w:fldCharType="separate"/>
        </w:r>
        <w:r w:rsidR="00B549E0">
          <w:rPr>
            <w:noProof/>
            <w:webHidden/>
          </w:rPr>
          <w:t>11</w:t>
        </w:r>
        <w:r w:rsidR="00AA3CC0">
          <w:rPr>
            <w:noProof/>
            <w:webHidden/>
          </w:rPr>
          <w:fldChar w:fldCharType="end"/>
        </w:r>
      </w:hyperlink>
    </w:p>
    <w:p w14:paraId="1A9595F2" w14:textId="37E7615F" w:rsidR="00AA3CC0" w:rsidRDefault="00610C4F">
      <w:pPr>
        <w:pStyle w:val="TOC3"/>
        <w:tabs>
          <w:tab w:val="right" w:leader="dot" w:pos="10070"/>
        </w:tabs>
        <w:rPr>
          <w:rFonts w:asciiTheme="minorHAnsi" w:eastAsiaTheme="minorEastAsia" w:hAnsiTheme="minorHAnsi" w:cstheme="minorBidi"/>
          <w:noProof/>
          <w:szCs w:val="22"/>
        </w:rPr>
      </w:pPr>
      <w:hyperlink w:anchor="_Toc34057628" w:history="1">
        <w:r w:rsidR="00AA3CC0" w:rsidRPr="00514AC2">
          <w:rPr>
            <w:rStyle w:val="Hyperlink"/>
            <w:b/>
            <w:noProof/>
          </w:rPr>
          <w:t>CONTRACTUAL OBLIGATIONS</w:t>
        </w:r>
        <w:r w:rsidR="00AA3CC0">
          <w:rPr>
            <w:noProof/>
            <w:webHidden/>
          </w:rPr>
          <w:tab/>
        </w:r>
        <w:r w:rsidR="00AA3CC0">
          <w:rPr>
            <w:noProof/>
            <w:webHidden/>
          </w:rPr>
          <w:fldChar w:fldCharType="begin"/>
        </w:r>
        <w:r w:rsidR="00AA3CC0">
          <w:rPr>
            <w:noProof/>
            <w:webHidden/>
          </w:rPr>
          <w:instrText xml:space="preserve"> PAGEREF _Toc34057628 \h </w:instrText>
        </w:r>
        <w:r w:rsidR="00AA3CC0">
          <w:rPr>
            <w:noProof/>
            <w:webHidden/>
          </w:rPr>
        </w:r>
        <w:r w:rsidR="00AA3CC0">
          <w:rPr>
            <w:noProof/>
            <w:webHidden/>
          </w:rPr>
          <w:fldChar w:fldCharType="separate"/>
        </w:r>
        <w:r w:rsidR="00B549E0">
          <w:rPr>
            <w:noProof/>
            <w:webHidden/>
          </w:rPr>
          <w:t>11</w:t>
        </w:r>
        <w:r w:rsidR="00AA3CC0">
          <w:rPr>
            <w:noProof/>
            <w:webHidden/>
          </w:rPr>
          <w:fldChar w:fldCharType="end"/>
        </w:r>
      </w:hyperlink>
    </w:p>
    <w:p w14:paraId="77A61B29" w14:textId="6AA0E85E" w:rsidR="00AA3CC0" w:rsidRDefault="00610C4F">
      <w:pPr>
        <w:pStyle w:val="TOC3"/>
        <w:tabs>
          <w:tab w:val="right" w:leader="dot" w:pos="10070"/>
        </w:tabs>
        <w:rPr>
          <w:rFonts w:asciiTheme="minorHAnsi" w:eastAsiaTheme="minorEastAsia" w:hAnsiTheme="minorHAnsi" w:cstheme="minorBidi"/>
          <w:noProof/>
          <w:szCs w:val="22"/>
        </w:rPr>
      </w:pPr>
      <w:hyperlink w:anchor="_Toc34057629" w:history="1">
        <w:r w:rsidR="00AA3CC0" w:rsidRPr="00514AC2">
          <w:rPr>
            <w:rStyle w:val="Hyperlink"/>
            <w:b/>
            <w:noProof/>
          </w:rPr>
          <w:t>EVENTS AFTER THE REPORTING PERIOD</w:t>
        </w:r>
        <w:r w:rsidR="00AA3CC0">
          <w:rPr>
            <w:noProof/>
            <w:webHidden/>
          </w:rPr>
          <w:tab/>
        </w:r>
        <w:r w:rsidR="00AA3CC0">
          <w:rPr>
            <w:noProof/>
            <w:webHidden/>
          </w:rPr>
          <w:fldChar w:fldCharType="begin"/>
        </w:r>
        <w:r w:rsidR="00AA3CC0">
          <w:rPr>
            <w:noProof/>
            <w:webHidden/>
          </w:rPr>
          <w:instrText xml:space="preserve"> PAGEREF _Toc34057629 \h </w:instrText>
        </w:r>
        <w:r w:rsidR="00AA3CC0">
          <w:rPr>
            <w:noProof/>
            <w:webHidden/>
          </w:rPr>
        </w:r>
        <w:r w:rsidR="00AA3CC0">
          <w:rPr>
            <w:noProof/>
            <w:webHidden/>
          </w:rPr>
          <w:fldChar w:fldCharType="separate"/>
        </w:r>
        <w:r w:rsidR="00B549E0">
          <w:rPr>
            <w:noProof/>
            <w:webHidden/>
          </w:rPr>
          <w:t>12</w:t>
        </w:r>
        <w:r w:rsidR="00AA3CC0">
          <w:rPr>
            <w:noProof/>
            <w:webHidden/>
          </w:rPr>
          <w:fldChar w:fldCharType="end"/>
        </w:r>
      </w:hyperlink>
    </w:p>
    <w:p w14:paraId="3A6CE137" w14:textId="0B9485A1" w:rsidR="00AA3CC0" w:rsidRDefault="00610C4F">
      <w:pPr>
        <w:pStyle w:val="TOC3"/>
        <w:tabs>
          <w:tab w:val="right" w:leader="dot" w:pos="10070"/>
        </w:tabs>
        <w:rPr>
          <w:rFonts w:asciiTheme="minorHAnsi" w:eastAsiaTheme="minorEastAsia" w:hAnsiTheme="minorHAnsi" w:cstheme="minorBidi"/>
          <w:noProof/>
          <w:szCs w:val="22"/>
        </w:rPr>
      </w:pPr>
      <w:hyperlink w:anchor="_Toc34057630" w:history="1">
        <w:r w:rsidR="00AA3CC0" w:rsidRPr="00514AC2">
          <w:rPr>
            <w:rStyle w:val="Hyperlink"/>
            <w:b/>
            <w:noProof/>
          </w:rPr>
          <w:t>CHANGES IN ACCOUNTING STANDARDS</w:t>
        </w:r>
        <w:r w:rsidR="00AA3CC0">
          <w:rPr>
            <w:noProof/>
            <w:webHidden/>
          </w:rPr>
          <w:tab/>
        </w:r>
        <w:r w:rsidR="00AA3CC0">
          <w:rPr>
            <w:noProof/>
            <w:webHidden/>
          </w:rPr>
          <w:fldChar w:fldCharType="begin"/>
        </w:r>
        <w:r w:rsidR="00AA3CC0">
          <w:rPr>
            <w:noProof/>
            <w:webHidden/>
          </w:rPr>
          <w:instrText xml:space="preserve"> PAGEREF _Toc34057630 \h </w:instrText>
        </w:r>
        <w:r w:rsidR="00AA3CC0">
          <w:rPr>
            <w:noProof/>
            <w:webHidden/>
          </w:rPr>
        </w:r>
        <w:r w:rsidR="00AA3CC0">
          <w:rPr>
            <w:noProof/>
            <w:webHidden/>
          </w:rPr>
          <w:fldChar w:fldCharType="separate"/>
        </w:r>
        <w:r w:rsidR="00B549E0">
          <w:rPr>
            <w:noProof/>
            <w:webHidden/>
          </w:rPr>
          <w:t>13</w:t>
        </w:r>
        <w:r w:rsidR="00AA3CC0">
          <w:rPr>
            <w:noProof/>
            <w:webHidden/>
          </w:rPr>
          <w:fldChar w:fldCharType="end"/>
        </w:r>
      </w:hyperlink>
    </w:p>
    <w:p w14:paraId="7E08D56A" w14:textId="728B9B39" w:rsidR="00AA3CC0" w:rsidRDefault="00610C4F">
      <w:pPr>
        <w:pStyle w:val="TOC3"/>
        <w:tabs>
          <w:tab w:val="right" w:leader="dot" w:pos="10070"/>
        </w:tabs>
        <w:rPr>
          <w:rFonts w:asciiTheme="minorHAnsi" w:eastAsiaTheme="minorEastAsia" w:hAnsiTheme="minorHAnsi" w:cstheme="minorBidi"/>
          <w:noProof/>
          <w:szCs w:val="22"/>
        </w:rPr>
      </w:pPr>
      <w:hyperlink w:anchor="_Toc34057631" w:history="1">
        <w:r w:rsidR="00AA3CC0" w:rsidRPr="00514AC2">
          <w:rPr>
            <w:rStyle w:val="Hyperlink"/>
            <w:b/>
            <w:noProof/>
          </w:rPr>
          <w:t>CRITICAL ACCOUNTING ESTIMATES</w:t>
        </w:r>
        <w:r w:rsidR="00AA3CC0" w:rsidRPr="00514AC2">
          <w:rPr>
            <w:rStyle w:val="Hyperlink"/>
            <w:noProof/>
          </w:rPr>
          <w:t>.</w:t>
        </w:r>
        <w:r w:rsidR="00AA3CC0">
          <w:rPr>
            <w:noProof/>
            <w:webHidden/>
          </w:rPr>
          <w:tab/>
        </w:r>
        <w:r w:rsidR="00AA3CC0">
          <w:rPr>
            <w:noProof/>
            <w:webHidden/>
          </w:rPr>
          <w:fldChar w:fldCharType="begin"/>
        </w:r>
        <w:r w:rsidR="00AA3CC0">
          <w:rPr>
            <w:noProof/>
            <w:webHidden/>
          </w:rPr>
          <w:instrText xml:space="preserve"> PAGEREF _Toc34057631 \h </w:instrText>
        </w:r>
        <w:r w:rsidR="00AA3CC0">
          <w:rPr>
            <w:noProof/>
            <w:webHidden/>
          </w:rPr>
        </w:r>
        <w:r w:rsidR="00AA3CC0">
          <w:rPr>
            <w:noProof/>
            <w:webHidden/>
          </w:rPr>
          <w:fldChar w:fldCharType="separate"/>
        </w:r>
        <w:r w:rsidR="00B549E0">
          <w:rPr>
            <w:noProof/>
            <w:webHidden/>
          </w:rPr>
          <w:t>13</w:t>
        </w:r>
        <w:r w:rsidR="00AA3CC0">
          <w:rPr>
            <w:noProof/>
            <w:webHidden/>
          </w:rPr>
          <w:fldChar w:fldCharType="end"/>
        </w:r>
      </w:hyperlink>
    </w:p>
    <w:p w14:paraId="33F04CED" w14:textId="594097CF" w:rsidR="00AA3CC0" w:rsidRDefault="00610C4F">
      <w:pPr>
        <w:pStyle w:val="TOC3"/>
        <w:tabs>
          <w:tab w:val="right" w:leader="dot" w:pos="10070"/>
        </w:tabs>
        <w:rPr>
          <w:rFonts w:asciiTheme="minorHAnsi" w:eastAsiaTheme="minorEastAsia" w:hAnsiTheme="minorHAnsi" w:cstheme="minorBidi"/>
          <w:noProof/>
          <w:szCs w:val="22"/>
        </w:rPr>
      </w:pPr>
      <w:hyperlink w:anchor="_Toc34057632" w:history="1">
        <w:r w:rsidR="00AA3CC0" w:rsidRPr="00514AC2">
          <w:rPr>
            <w:rStyle w:val="Hyperlink"/>
            <w:b/>
            <w:noProof/>
          </w:rPr>
          <w:t>RISKS AND UNCERTAINTIES</w:t>
        </w:r>
        <w:r w:rsidR="00AA3CC0">
          <w:rPr>
            <w:noProof/>
            <w:webHidden/>
          </w:rPr>
          <w:tab/>
        </w:r>
        <w:r w:rsidR="00AA3CC0">
          <w:rPr>
            <w:noProof/>
            <w:webHidden/>
          </w:rPr>
          <w:fldChar w:fldCharType="begin"/>
        </w:r>
        <w:r w:rsidR="00AA3CC0">
          <w:rPr>
            <w:noProof/>
            <w:webHidden/>
          </w:rPr>
          <w:instrText xml:space="preserve"> PAGEREF _Toc34057632 \h </w:instrText>
        </w:r>
        <w:r w:rsidR="00AA3CC0">
          <w:rPr>
            <w:noProof/>
            <w:webHidden/>
          </w:rPr>
        </w:r>
        <w:r w:rsidR="00AA3CC0">
          <w:rPr>
            <w:noProof/>
            <w:webHidden/>
          </w:rPr>
          <w:fldChar w:fldCharType="separate"/>
        </w:r>
        <w:r w:rsidR="00B549E0">
          <w:rPr>
            <w:noProof/>
            <w:webHidden/>
          </w:rPr>
          <w:t>15</w:t>
        </w:r>
        <w:r w:rsidR="00AA3CC0">
          <w:rPr>
            <w:noProof/>
            <w:webHidden/>
          </w:rPr>
          <w:fldChar w:fldCharType="end"/>
        </w:r>
      </w:hyperlink>
    </w:p>
    <w:p w14:paraId="24C3FF09" w14:textId="192B01D8" w:rsidR="00AA3CC0" w:rsidRDefault="00610C4F">
      <w:pPr>
        <w:pStyle w:val="TOC3"/>
        <w:tabs>
          <w:tab w:val="right" w:leader="dot" w:pos="10070"/>
        </w:tabs>
        <w:rPr>
          <w:rFonts w:asciiTheme="minorHAnsi" w:eastAsiaTheme="minorEastAsia" w:hAnsiTheme="minorHAnsi" w:cstheme="minorBidi"/>
          <w:noProof/>
          <w:szCs w:val="22"/>
        </w:rPr>
      </w:pPr>
      <w:hyperlink w:anchor="_Toc34057633" w:history="1">
        <w:r w:rsidR="00AA3CC0" w:rsidRPr="00514AC2">
          <w:rPr>
            <w:rStyle w:val="Hyperlink"/>
            <w:b/>
            <w:noProof/>
          </w:rPr>
          <w:t>RELATED-PARTY TRANSACTIONS</w:t>
        </w:r>
        <w:r w:rsidR="00AA3CC0">
          <w:rPr>
            <w:noProof/>
            <w:webHidden/>
          </w:rPr>
          <w:tab/>
        </w:r>
        <w:r w:rsidR="00AA3CC0">
          <w:rPr>
            <w:noProof/>
            <w:webHidden/>
          </w:rPr>
          <w:fldChar w:fldCharType="begin"/>
        </w:r>
        <w:r w:rsidR="00AA3CC0">
          <w:rPr>
            <w:noProof/>
            <w:webHidden/>
          </w:rPr>
          <w:instrText xml:space="preserve"> PAGEREF _Toc34057633 \h </w:instrText>
        </w:r>
        <w:r w:rsidR="00AA3CC0">
          <w:rPr>
            <w:noProof/>
            <w:webHidden/>
          </w:rPr>
        </w:r>
        <w:r w:rsidR="00AA3CC0">
          <w:rPr>
            <w:noProof/>
            <w:webHidden/>
          </w:rPr>
          <w:fldChar w:fldCharType="separate"/>
        </w:r>
        <w:r w:rsidR="00B549E0">
          <w:rPr>
            <w:noProof/>
            <w:webHidden/>
          </w:rPr>
          <w:t>18</w:t>
        </w:r>
        <w:r w:rsidR="00AA3CC0">
          <w:rPr>
            <w:noProof/>
            <w:webHidden/>
          </w:rPr>
          <w:fldChar w:fldCharType="end"/>
        </w:r>
      </w:hyperlink>
    </w:p>
    <w:p w14:paraId="0E1BB512" w14:textId="08DB7365" w:rsidR="00AA3CC0" w:rsidRDefault="00610C4F">
      <w:pPr>
        <w:pStyle w:val="TOC3"/>
        <w:tabs>
          <w:tab w:val="right" w:leader="dot" w:pos="10070"/>
        </w:tabs>
        <w:rPr>
          <w:rFonts w:asciiTheme="minorHAnsi" w:eastAsiaTheme="minorEastAsia" w:hAnsiTheme="minorHAnsi" w:cstheme="minorBidi"/>
          <w:noProof/>
          <w:szCs w:val="22"/>
        </w:rPr>
      </w:pPr>
      <w:hyperlink w:anchor="_Toc34057634" w:history="1">
        <w:r w:rsidR="00AA3CC0" w:rsidRPr="00514AC2">
          <w:rPr>
            <w:rStyle w:val="Hyperlink"/>
            <w:b/>
            <w:noProof/>
          </w:rPr>
          <w:t>FORWARD-LOOKING STATEMENTS</w:t>
        </w:r>
        <w:r w:rsidR="00AA3CC0">
          <w:rPr>
            <w:noProof/>
            <w:webHidden/>
          </w:rPr>
          <w:tab/>
        </w:r>
        <w:r w:rsidR="00AA3CC0">
          <w:rPr>
            <w:noProof/>
            <w:webHidden/>
          </w:rPr>
          <w:fldChar w:fldCharType="begin"/>
        </w:r>
        <w:r w:rsidR="00AA3CC0">
          <w:rPr>
            <w:noProof/>
            <w:webHidden/>
          </w:rPr>
          <w:instrText xml:space="preserve"> PAGEREF _Toc34057634 \h </w:instrText>
        </w:r>
        <w:r w:rsidR="00AA3CC0">
          <w:rPr>
            <w:noProof/>
            <w:webHidden/>
          </w:rPr>
        </w:r>
        <w:r w:rsidR="00AA3CC0">
          <w:rPr>
            <w:noProof/>
            <w:webHidden/>
          </w:rPr>
          <w:fldChar w:fldCharType="separate"/>
        </w:r>
        <w:r w:rsidR="00B549E0">
          <w:rPr>
            <w:noProof/>
            <w:webHidden/>
          </w:rPr>
          <w:t>20</w:t>
        </w:r>
        <w:r w:rsidR="00AA3CC0">
          <w:rPr>
            <w:noProof/>
            <w:webHidden/>
          </w:rPr>
          <w:fldChar w:fldCharType="end"/>
        </w:r>
      </w:hyperlink>
    </w:p>
    <w:p w14:paraId="57FE1AE0" w14:textId="101411FE" w:rsidR="00AA3CC0" w:rsidRDefault="00610C4F">
      <w:pPr>
        <w:pStyle w:val="TOC3"/>
        <w:tabs>
          <w:tab w:val="right" w:leader="dot" w:pos="10070"/>
        </w:tabs>
        <w:rPr>
          <w:rFonts w:asciiTheme="minorHAnsi" w:eastAsiaTheme="minorEastAsia" w:hAnsiTheme="minorHAnsi" w:cstheme="minorBidi"/>
          <w:noProof/>
          <w:szCs w:val="22"/>
        </w:rPr>
      </w:pPr>
      <w:hyperlink w:anchor="_Toc34057635" w:history="1">
        <w:r w:rsidR="00AA3CC0" w:rsidRPr="00514AC2">
          <w:rPr>
            <w:rStyle w:val="Hyperlink"/>
            <w:b/>
            <w:noProof/>
          </w:rPr>
          <w:t>APPROVAL</w:t>
        </w:r>
        <w:r w:rsidR="00AA3CC0">
          <w:rPr>
            <w:noProof/>
            <w:webHidden/>
          </w:rPr>
          <w:tab/>
        </w:r>
        <w:r w:rsidR="00AA3CC0">
          <w:rPr>
            <w:noProof/>
            <w:webHidden/>
          </w:rPr>
          <w:fldChar w:fldCharType="begin"/>
        </w:r>
        <w:r w:rsidR="00AA3CC0">
          <w:rPr>
            <w:noProof/>
            <w:webHidden/>
          </w:rPr>
          <w:instrText xml:space="preserve"> PAGEREF _Toc34057635 \h </w:instrText>
        </w:r>
        <w:r w:rsidR="00AA3CC0">
          <w:rPr>
            <w:noProof/>
            <w:webHidden/>
          </w:rPr>
        </w:r>
        <w:r w:rsidR="00AA3CC0">
          <w:rPr>
            <w:noProof/>
            <w:webHidden/>
          </w:rPr>
          <w:fldChar w:fldCharType="separate"/>
        </w:r>
        <w:r w:rsidR="00B549E0">
          <w:rPr>
            <w:noProof/>
            <w:webHidden/>
          </w:rPr>
          <w:t>20</w:t>
        </w:r>
        <w:r w:rsidR="00AA3CC0">
          <w:rPr>
            <w:noProof/>
            <w:webHidden/>
          </w:rPr>
          <w:fldChar w:fldCharType="end"/>
        </w:r>
      </w:hyperlink>
    </w:p>
    <w:p w14:paraId="755CFA48" w14:textId="4A59EB13" w:rsidR="005942D3" w:rsidRDefault="005942D3" w:rsidP="005942D3">
      <w:r w:rsidRPr="00677803">
        <w:rPr>
          <w:szCs w:val="22"/>
        </w:rPr>
        <w:fldChar w:fldCharType="end"/>
      </w:r>
    </w:p>
    <w:p w14:paraId="0AFAA235" w14:textId="77777777" w:rsidR="000271AB" w:rsidRPr="001E2DE0" w:rsidRDefault="000271AB">
      <w:pPr>
        <w:rPr>
          <w:b/>
        </w:rPr>
      </w:pPr>
    </w:p>
    <w:p w14:paraId="4C2D7D15" w14:textId="77777777" w:rsidR="004F36A0" w:rsidRPr="001E2DE0" w:rsidRDefault="004F36A0">
      <w:pPr>
        <w:rPr>
          <w:b/>
        </w:rPr>
      </w:pPr>
    </w:p>
    <w:p w14:paraId="08246074" w14:textId="77777777" w:rsidR="004F36A0" w:rsidRPr="001E2DE0" w:rsidRDefault="004F36A0">
      <w:pPr>
        <w:rPr>
          <w:b/>
        </w:rPr>
      </w:pPr>
    </w:p>
    <w:p w14:paraId="7695031A" w14:textId="77777777" w:rsidR="004F36A0" w:rsidRPr="001E2DE0" w:rsidRDefault="004F36A0">
      <w:pPr>
        <w:rPr>
          <w:b/>
        </w:rPr>
      </w:pPr>
    </w:p>
    <w:p w14:paraId="4DA4E8CB" w14:textId="77777777" w:rsidR="004F36A0" w:rsidRPr="001E2DE0" w:rsidRDefault="004F36A0">
      <w:pPr>
        <w:rPr>
          <w:b/>
        </w:rPr>
      </w:pPr>
    </w:p>
    <w:p w14:paraId="4A838066" w14:textId="77777777" w:rsidR="004F36A0" w:rsidRPr="001E2DE0" w:rsidRDefault="004F36A0">
      <w:pPr>
        <w:rPr>
          <w:b/>
        </w:rPr>
      </w:pPr>
    </w:p>
    <w:p w14:paraId="31E19BED" w14:textId="77777777" w:rsidR="004F36A0" w:rsidRPr="001E2DE0" w:rsidRDefault="004F36A0">
      <w:pPr>
        <w:rPr>
          <w:b/>
        </w:rPr>
      </w:pPr>
    </w:p>
    <w:p w14:paraId="3727A8E4" w14:textId="77777777" w:rsidR="004F36A0" w:rsidRPr="001E2DE0" w:rsidRDefault="004F36A0">
      <w:pPr>
        <w:rPr>
          <w:b/>
        </w:rPr>
      </w:pPr>
    </w:p>
    <w:p w14:paraId="07870BD9" w14:textId="77777777" w:rsidR="004F36A0" w:rsidRDefault="004F36A0">
      <w:pPr>
        <w:rPr>
          <w:b/>
        </w:rPr>
      </w:pPr>
    </w:p>
    <w:p w14:paraId="62DE2F37" w14:textId="77777777" w:rsidR="004966C3" w:rsidRDefault="004966C3">
      <w:pPr>
        <w:rPr>
          <w:b/>
        </w:rPr>
      </w:pPr>
    </w:p>
    <w:p w14:paraId="00C63158" w14:textId="77777777" w:rsidR="004966C3" w:rsidRDefault="004966C3">
      <w:pPr>
        <w:rPr>
          <w:b/>
        </w:rPr>
      </w:pPr>
    </w:p>
    <w:p w14:paraId="4E5FA0B6" w14:textId="77777777" w:rsidR="004966C3" w:rsidRDefault="004966C3">
      <w:pPr>
        <w:rPr>
          <w:b/>
        </w:rPr>
      </w:pPr>
    </w:p>
    <w:p w14:paraId="45A5323F" w14:textId="77777777" w:rsidR="004966C3" w:rsidRPr="001E2DE0" w:rsidRDefault="004966C3">
      <w:pPr>
        <w:rPr>
          <w:b/>
        </w:rPr>
      </w:pPr>
    </w:p>
    <w:p w14:paraId="6D856ECE" w14:textId="77777777" w:rsidR="004F36A0" w:rsidRPr="001E2DE0" w:rsidRDefault="004F36A0">
      <w:pPr>
        <w:rPr>
          <w:b/>
        </w:rPr>
      </w:pPr>
    </w:p>
    <w:p w14:paraId="32F8BF76" w14:textId="77777777" w:rsidR="004F36A0" w:rsidRPr="001E2DE0" w:rsidRDefault="004F36A0">
      <w:pPr>
        <w:rPr>
          <w:b/>
        </w:rPr>
      </w:pPr>
    </w:p>
    <w:p w14:paraId="0BD5D7A1" w14:textId="77777777" w:rsidR="004F36A0" w:rsidRDefault="004F36A0">
      <w:pPr>
        <w:rPr>
          <w:b/>
        </w:rPr>
      </w:pPr>
    </w:p>
    <w:p w14:paraId="25BDF316" w14:textId="77777777" w:rsidR="00BC3D56" w:rsidRPr="001E2DE0" w:rsidRDefault="00BC3D56">
      <w:pPr>
        <w:rPr>
          <w:b/>
        </w:rPr>
      </w:pPr>
    </w:p>
    <w:p w14:paraId="0323644B" w14:textId="2A8C6092" w:rsidR="000271AB" w:rsidRDefault="000271AB">
      <w:pPr>
        <w:rPr>
          <w:b/>
        </w:rPr>
      </w:pPr>
    </w:p>
    <w:p w14:paraId="666178B5" w14:textId="4460B662" w:rsidR="00F47E78" w:rsidRDefault="00F47E78">
      <w:pPr>
        <w:rPr>
          <w:b/>
        </w:rPr>
      </w:pPr>
    </w:p>
    <w:p w14:paraId="4D41A664" w14:textId="6A992D88" w:rsidR="00F47E78" w:rsidRDefault="00F47E78">
      <w:pPr>
        <w:rPr>
          <w:b/>
        </w:rPr>
      </w:pPr>
    </w:p>
    <w:p w14:paraId="1174A721" w14:textId="77777777" w:rsidR="00F47E78" w:rsidRDefault="00F47E78">
      <w:pPr>
        <w:rPr>
          <w:b/>
        </w:rPr>
      </w:pPr>
    </w:p>
    <w:p w14:paraId="7FCB47CA" w14:textId="77777777" w:rsidR="00786A9F" w:rsidRDefault="00786A9F">
      <w:pPr>
        <w:rPr>
          <w:b/>
        </w:rPr>
      </w:pPr>
    </w:p>
    <w:p w14:paraId="348E1994" w14:textId="77777777" w:rsidR="00786A9F" w:rsidRDefault="00786A9F">
      <w:pPr>
        <w:rPr>
          <w:b/>
        </w:rPr>
      </w:pPr>
    </w:p>
    <w:p w14:paraId="4A7823A6" w14:textId="77777777" w:rsidR="00463B7B" w:rsidRDefault="00463B7B">
      <w:pPr>
        <w:rPr>
          <w:b/>
        </w:rPr>
      </w:pPr>
    </w:p>
    <w:p w14:paraId="7DFC6BD2" w14:textId="1163D70A" w:rsidR="000E2F08" w:rsidRPr="005942D3" w:rsidRDefault="009610F3" w:rsidP="005942D3">
      <w:pPr>
        <w:pStyle w:val="Heading3"/>
        <w:pBdr>
          <w:top w:val="single" w:sz="4" w:space="1" w:color="auto"/>
          <w:bottom w:val="single" w:sz="4" w:space="1" w:color="auto"/>
        </w:pBdr>
        <w:rPr>
          <w:b/>
          <w:u w:val="none"/>
        </w:rPr>
      </w:pPr>
      <w:r>
        <w:br w:type="page"/>
      </w:r>
      <w:bookmarkStart w:id="1" w:name="_Toc379536666"/>
      <w:bookmarkStart w:id="2" w:name="_Toc34057618"/>
      <w:r w:rsidR="000E2F08" w:rsidRPr="005942D3">
        <w:rPr>
          <w:b/>
          <w:u w:val="none"/>
        </w:rPr>
        <w:lastRenderedPageBreak/>
        <w:t>INTRODUCTION</w:t>
      </w:r>
      <w:bookmarkEnd w:id="1"/>
      <w:bookmarkEnd w:id="2"/>
    </w:p>
    <w:p w14:paraId="57C1534B" w14:textId="77777777" w:rsidR="000E2F08" w:rsidRPr="004D37FD" w:rsidRDefault="000E2F08" w:rsidP="004A3A9A">
      <w:pPr>
        <w:autoSpaceDE w:val="0"/>
        <w:autoSpaceDN w:val="0"/>
        <w:adjustRightInd w:val="0"/>
        <w:jc w:val="both"/>
        <w:rPr>
          <w:color w:val="000000"/>
          <w:szCs w:val="22"/>
        </w:rPr>
      </w:pPr>
    </w:p>
    <w:p w14:paraId="2EA555C4" w14:textId="7BD70AE1" w:rsidR="008E29B1" w:rsidRDefault="008E29B1" w:rsidP="008E29B1">
      <w:pPr>
        <w:autoSpaceDE w:val="0"/>
        <w:autoSpaceDN w:val="0"/>
        <w:adjustRightInd w:val="0"/>
        <w:jc w:val="both"/>
        <w:rPr>
          <w:color w:val="000000"/>
          <w:szCs w:val="22"/>
        </w:rPr>
      </w:pPr>
      <w:r w:rsidRPr="004D37FD">
        <w:rPr>
          <w:color w:val="000000"/>
          <w:szCs w:val="22"/>
        </w:rPr>
        <w:t xml:space="preserve">This Management’s </w:t>
      </w:r>
      <w:r>
        <w:rPr>
          <w:color w:val="000000"/>
          <w:szCs w:val="22"/>
        </w:rPr>
        <w:t>D</w:t>
      </w:r>
      <w:r w:rsidRPr="004D37FD">
        <w:rPr>
          <w:color w:val="000000"/>
          <w:szCs w:val="22"/>
        </w:rPr>
        <w:t xml:space="preserve">iscussion and </w:t>
      </w:r>
      <w:r>
        <w:rPr>
          <w:color w:val="000000"/>
          <w:szCs w:val="22"/>
        </w:rPr>
        <w:t>A</w:t>
      </w:r>
      <w:r w:rsidRPr="004D37FD">
        <w:rPr>
          <w:color w:val="000000"/>
          <w:szCs w:val="22"/>
        </w:rPr>
        <w:t xml:space="preserve">nalysis of </w:t>
      </w:r>
      <w:r>
        <w:rPr>
          <w:color w:val="000000"/>
          <w:szCs w:val="22"/>
        </w:rPr>
        <w:t>F</w:t>
      </w:r>
      <w:r w:rsidRPr="004D37FD">
        <w:rPr>
          <w:color w:val="000000"/>
          <w:szCs w:val="22"/>
        </w:rPr>
        <w:t xml:space="preserve">inancial </w:t>
      </w:r>
      <w:r>
        <w:rPr>
          <w:color w:val="000000"/>
          <w:szCs w:val="22"/>
        </w:rPr>
        <w:t>C</w:t>
      </w:r>
      <w:r w:rsidRPr="004D37FD">
        <w:rPr>
          <w:color w:val="000000"/>
          <w:szCs w:val="22"/>
        </w:rPr>
        <w:t xml:space="preserve">ondition and </w:t>
      </w:r>
      <w:r>
        <w:rPr>
          <w:color w:val="000000"/>
          <w:szCs w:val="22"/>
        </w:rPr>
        <w:t>R</w:t>
      </w:r>
      <w:r w:rsidRPr="004D37FD">
        <w:rPr>
          <w:color w:val="000000"/>
          <w:szCs w:val="22"/>
        </w:rPr>
        <w:t xml:space="preserve">esults of </w:t>
      </w:r>
      <w:r>
        <w:rPr>
          <w:color w:val="000000"/>
          <w:szCs w:val="22"/>
        </w:rPr>
        <w:t>O</w:t>
      </w:r>
      <w:r w:rsidRPr="004D37FD">
        <w:rPr>
          <w:color w:val="000000"/>
          <w:szCs w:val="22"/>
        </w:rPr>
        <w:t xml:space="preserve">perations </w:t>
      </w:r>
      <w:r>
        <w:rPr>
          <w:color w:val="000000"/>
          <w:szCs w:val="22"/>
        </w:rPr>
        <w:t xml:space="preserve">(“MD&amp;A”) </w:t>
      </w:r>
      <w:r w:rsidRPr="004D37FD">
        <w:rPr>
          <w:color w:val="000000"/>
          <w:szCs w:val="22"/>
        </w:rPr>
        <w:t xml:space="preserve">of </w:t>
      </w:r>
      <w:r>
        <w:rPr>
          <w:color w:val="000000"/>
          <w:szCs w:val="22"/>
        </w:rPr>
        <w:t>Gre</w:t>
      </w:r>
      <w:r w:rsidR="00022A2A">
        <w:rPr>
          <w:color w:val="000000"/>
          <w:szCs w:val="22"/>
        </w:rPr>
        <w:t>en River Gold Corp</w:t>
      </w:r>
      <w:r>
        <w:rPr>
          <w:color w:val="000000"/>
          <w:szCs w:val="22"/>
        </w:rPr>
        <w:t xml:space="preserve">. </w:t>
      </w:r>
      <w:r w:rsidRPr="004D37FD">
        <w:rPr>
          <w:color w:val="000000"/>
          <w:szCs w:val="22"/>
        </w:rPr>
        <w:t>(“</w:t>
      </w:r>
      <w:r>
        <w:rPr>
          <w:color w:val="000000"/>
          <w:szCs w:val="22"/>
        </w:rPr>
        <w:t>Gre</w:t>
      </w:r>
      <w:r w:rsidR="00022A2A">
        <w:rPr>
          <w:color w:val="000000"/>
          <w:szCs w:val="22"/>
        </w:rPr>
        <w:t>en River</w:t>
      </w:r>
      <w:r w:rsidRPr="004D37FD">
        <w:rPr>
          <w:color w:val="000000"/>
          <w:szCs w:val="22"/>
        </w:rPr>
        <w:t>,” the “Company”) should be read in conjunction with</w:t>
      </w:r>
      <w:r w:rsidRPr="00D45794">
        <w:rPr>
          <w:szCs w:val="22"/>
        </w:rPr>
        <w:t xml:space="preserve"> </w:t>
      </w:r>
      <w:r>
        <w:rPr>
          <w:szCs w:val="22"/>
        </w:rPr>
        <w:t>the</w:t>
      </w:r>
      <w:r w:rsidRPr="004822EB">
        <w:rPr>
          <w:szCs w:val="22"/>
        </w:rPr>
        <w:t xml:space="preserve"> </w:t>
      </w:r>
      <w:r>
        <w:rPr>
          <w:szCs w:val="22"/>
        </w:rPr>
        <w:t>f</w:t>
      </w:r>
      <w:r w:rsidRPr="004822EB">
        <w:rPr>
          <w:szCs w:val="22"/>
        </w:rPr>
        <w:t xml:space="preserve">inancial statements </w:t>
      </w:r>
      <w:r w:rsidRPr="004D37FD">
        <w:rPr>
          <w:color w:val="000000"/>
          <w:szCs w:val="22"/>
        </w:rPr>
        <w:t>for the</w:t>
      </w:r>
      <w:r>
        <w:rPr>
          <w:color w:val="000000"/>
          <w:szCs w:val="22"/>
        </w:rPr>
        <w:t xml:space="preserve"> </w:t>
      </w:r>
      <w:r w:rsidR="006F7085">
        <w:rPr>
          <w:color w:val="000000"/>
          <w:szCs w:val="22"/>
        </w:rPr>
        <w:t>three</w:t>
      </w:r>
      <w:r w:rsidR="0075314C">
        <w:rPr>
          <w:color w:val="000000"/>
          <w:szCs w:val="22"/>
        </w:rPr>
        <w:t xml:space="preserve"> and six</w:t>
      </w:r>
      <w:r w:rsidR="006F7085">
        <w:rPr>
          <w:color w:val="000000"/>
          <w:szCs w:val="22"/>
        </w:rPr>
        <w:t xml:space="preserve"> months</w:t>
      </w:r>
      <w:r w:rsidR="004B42A0">
        <w:rPr>
          <w:color w:val="000000"/>
          <w:szCs w:val="22"/>
        </w:rPr>
        <w:t xml:space="preserve"> ended </w:t>
      </w:r>
      <w:r w:rsidR="0075314C">
        <w:rPr>
          <w:color w:val="000000"/>
          <w:szCs w:val="22"/>
        </w:rPr>
        <w:t>March</w:t>
      </w:r>
      <w:r w:rsidR="006F7085">
        <w:rPr>
          <w:color w:val="000000"/>
          <w:szCs w:val="22"/>
        </w:rPr>
        <w:t xml:space="preserve"> 31</w:t>
      </w:r>
      <w:r w:rsidR="00593EBC">
        <w:rPr>
          <w:color w:val="000000"/>
          <w:szCs w:val="22"/>
        </w:rPr>
        <w:t>, 20</w:t>
      </w:r>
      <w:r w:rsidR="0075314C">
        <w:rPr>
          <w:color w:val="000000"/>
          <w:szCs w:val="22"/>
        </w:rPr>
        <w:t>20</w:t>
      </w:r>
      <w:r>
        <w:rPr>
          <w:color w:val="000000"/>
          <w:szCs w:val="22"/>
        </w:rPr>
        <w:t xml:space="preserve"> and 201</w:t>
      </w:r>
      <w:r w:rsidR="0075314C">
        <w:rPr>
          <w:color w:val="000000"/>
          <w:szCs w:val="22"/>
        </w:rPr>
        <w:t>9</w:t>
      </w:r>
      <w:r>
        <w:rPr>
          <w:color w:val="000000"/>
          <w:szCs w:val="22"/>
        </w:rPr>
        <w:t xml:space="preserve"> </w:t>
      </w:r>
      <w:r w:rsidRPr="004822EB">
        <w:rPr>
          <w:szCs w:val="22"/>
        </w:rPr>
        <w:t xml:space="preserve">(the “Financial Statements”) and </w:t>
      </w:r>
      <w:r>
        <w:rPr>
          <w:szCs w:val="22"/>
        </w:rPr>
        <w:t>the related notes</w:t>
      </w:r>
      <w:r>
        <w:rPr>
          <w:color w:val="000000"/>
          <w:szCs w:val="22"/>
        </w:rPr>
        <w:t>.</w:t>
      </w:r>
      <w:r w:rsidRPr="004D37FD">
        <w:rPr>
          <w:color w:val="000000"/>
          <w:szCs w:val="22"/>
        </w:rPr>
        <w:t xml:space="preserve"> </w:t>
      </w:r>
      <w:r w:rsidRPr="004822EB">
        <w:rPr>
          <w:color w:val="000000"/>
          <w:szCs w:val="22"/>
        </w:rPr>
        <w:t>The accompanying</w:t>
      </w:r>
      <w:r w:rsidR="004B42A0">
        <w:rPr>
          <w:szCs w:val="22"/>
        </w:rPr>
        <w:t xml:space="preserve"> </w:t>
      </w:r>
      <w:r w:rsidRPr="004822EB">
        <w:rPr>
          <w:color w:val="000000"/>
          <w:szCs w:val="22"/>
        </w:rPr>
        <w:t xml:space="preserve">financial statements have been prepared by management and are in accordance with International Financial Reporting Standards (“IFRS”) and all amounts are expressed in Canadian dollars unless otherwise noted. Other information contained in this document has also been prepared by management and is consistent with the data contained in the Financial Statements.  </w:t>
      </w:r>
      <w:r w:rsidRPr="004D37FD">
        <w:rPr>
          <w:color w:val="000000"/>
          <w:szCs w:val="22"/>
        </w:rPr>
        <w:t xml:space="preserve">In this </w:t>
      </w:r>
      <w:r>
        <w:rPr>
          <w:color w:val="000000"/>
          <w:szCs w:val="22"/>
        </w:rPr>
        <w:t>discussion and analysis</w:t>
      </w:r>
      <w:r w:rsidRPr="004D37FD">
        <w:rPr>
          <w:color w:val="000000"/>
          <w:szCs w:val="22"/>
        </w:rPr>
        <w:t xml:space="preserve">, unless the context otherwise dictates, a reference to the Company refers to </w:t>
      </w:r>
      <w:r>
        <w:rPr>
          <w:color w:val="000000"/>
          <w:szCs w:val="22"/>
        </w:rPr>
        <w:t>Gre</w:t>
      </w:r>
      <w:r w:rsidR="00022A2A">
        <w:rPr>
          <w:color w:val="000000"/>
          <w:szCs w:val="22"/>
        </w:rPr>
        <w:t>en River Gold Corp.</w:t>
      </w:r>
      <w:r w:rsidRPr="004D37FD">
        <w:rPr>
          <w:color w:val="000000"/>
          <w:szCs w:val="22"/>
        </w:rPr>
        <w:t xml:space="preserve"> Additional information </w:t>
      </w:r>
      <w:r>
        <w:rPr>
          <w:color w:val="000000"/>
          <w:szCs w:val="22"/>
        </w:rPr>
        <w:t xml:space="preserve">relating to the Company is available for viewing under the Company’s profile on the SEDAR website at </w:t>
      </w:r>
      <w:hyperlink r:id="rId8" w:history="1">
        <w:r w:rsidRPr="004D37FD">
          <w:rPr>
            <w:rStyle w:val="Hyperlink"/>
            <w:szCs w:val="22"/>
          </w:rPr>
          <w:t>www.sedar.com</w:t>
        </w:r>
      </w:hyperlink>
      <w:r w:rsidRPr="004D37FD">
        <w:rPr>
          <w:color w:val="000000"/>
          <w:szCs w:val="22"/>
        </w:rPr>
        <w:t>.</w:t>
      </w:r>
    </w:p>
    <w:p w14:paraId="17D7FACD" w14:textId="77777777" w:rsidR="00A006C1" w:rsidRPr="004D37FD" w:rsidRDefault="00A006C1" w:rsidP="004A3A9A">
      <w:pPr>
        <w:autoSpaceDE w:val="0"/>
        <w:autoSpaceDN w:val="0"/>
        <w:adjustRightInd w:val="0"/>
        <w:jc w:val="both"/>
        <w:rPr>
          <w:color w:val="000000"/>
          <w:szCs w:val="22"/>
        </w:rPr>
      </w:pPr>
    </w:p>
    <w:p w14:paraId="53BD3F99" w14:textId="77777777" w:rsidR="00A006C1" w:rsidRPr="004D37FD" w:rsidRDefault="00A006C1" w:rsidP="004A3A9A">
      <w:pPr>
        <w:autoSpaceDE w:val="0"/>
        <w:autoSpaceDN w:val="0"/>
        <w:adjustRightInd w:val="0"/>
        <w:jc w:val="both"/>
        <w:rPr>
          <w:color w:val="000000"/>
          <w:szCs w:val="22"/>
        </w:rPr>
      </w:pPr>
      <w:r w:rsidRPr="00DF1E14">
        <w:rPr>
          <w:color w:val="000000"/>
          <w:szCs w:val="22"/>
        </w:rPr>
        <w:t xml:space="preserve">This discussion and analysis </w:t>
      </w:r>
      <w:proofErr w:type="gramStart"/>
      <w:r w:rsidRPr="00DF1E14">
        <w:rPr>
          <w:color w:val="000000"/>
          <w:szCs w:val="22"/>
        </w:rPr>
        <w:t>contains</w:t>
      </w:r>
      <w:proofErr w:type="gramEnd"/>
      <w:r w:rsidRPr="00DF1E14">
        <w:rPr>
          <w:color w:val="000000"/>
          <w:szCs w:val="22"/>
        </w:rPr>
        <w:t xml:space="preserve"> forward-looking statements. Please refer to the cautionary language </w:t>
      </w:r>
      <w:r w:rsidRPr="00534B11">
        <w:rPr>
          <w:color w:val="000000"/>
          <w:szCs w:val="22"/>
        </w:rPr>
        <w:t xml:space="preserve">on page </w:t>
      </w:r>
      <w:r w:rsidR="002D2CDB" w:rsidRPr="00534B11">
        <w:rPr>
          <w:color w:val="000000"/>
          <w:szCs w:val="22"/>
        </w:rPr>
        <w:t>1</w:t>
      </w:r>
      <w:r w:rsidR="00593EBC">
        <w:rPr>
          <w:color w:val="000000"/>
          <w:szCs w:val="22"/>
        </w:rPr>
        <w:t>5</w:t>
      </w:r>
      <w:r w:rsidR="00836DD4" w:rsidRPr="00534B11">
        <w:rPr>
          <w:color w:val="000000"/>
          <w:szCs w:val="22"/>
        </w:rPr>
        <w:t>.</w:t>
      </w:r>
    </w:p>
    <w:p w14:paraId="1E3DA21B" w14:textId="77777777" w:rsidR="000E2F08" w:rsidRPr="004D37FD" w:rsidRDefault="000E2F08" w:rsidP="004A3A9A">
      <w:pPr>
        <w:autoSpaceDE w:val="0"/>
        <w:autoSpaceDN w:val="0"/>
        <w:adjustRightInd w:val="0"/>
        <w:jc w:val="both"/>
        <w:rPr>
          <w:color w:val="000000"/>
          <w:szCs w:val="22"/>
        </w:rPr>
      </w:pPr>
    </w:p>
    <w:p w14:paraId="3D80B143" w14:textId="77777777" w:rsidR="00A006C1" w:rsidRPr="005942D3" w:rsidRDefault="004F36A0" w:rsidP="005942D3">
      <w:pPr>
        <w:pStyle w:val="Heading3"/>
        <w:pBdr>
          <w:top w:val="single" w:sz="4" w:space="1" w:color="auto"/>
          <w:bottom w:val="single" w:sz="4" w:space="1" w:color="auto"/>
        </w:pBdr>
        <w:rPr>
          <w:b/>
          <w:u w:val="none"/>
        </w:rPr>
      </w:pPr>
      <w:bookmarkStart w:id="3" w:name="_Toc379536667"/>
      <w:bookmarkStart w:id="4" w:name="_Toc34057619"/>
      <w:r w:rsidRPr="005942D3">
        <w:rPr>
          <w:b/>
          <w:u w:val="none"/>
        </w:rPr>
        <w:t>DATE OF REPORT</w:t>
      </w:r>
      <w:bookmarkEnd w:id="3"/>
      <w:bookmarkEnd w:id="4"/>
    </w:p>
    <w:p w14:paraId="0D1D2DCF" w14:textId="364AA8EF" w:rsidR="00A006C1" w:rsidRDefault="00A006C1" w:rsidP="004A3A9A">
      <w:pPr>
        <w:autoSpaceDE w:val="0"/>
        <w:autoSpaceDN w:val="0"/>
        <w:adjustRightInd w:val="0"/>
        <w:jc w:val="both"/>
        <w:rPr>
          <w:b/>
          <w:color w:val="000000"/>
          <w:szCs w:val="22"/>
        </w:rPr>
      </w:pPr>
    </w:p>
    <w:p w14:paraId="693FB0F0" w14:textId="77777777" w:rsidR="0075314C" w:rsidRPr="00D7372E" w:rsidRDefault="0075314C" w:rsidP="004A3A9A">
      <w:pPr>
        <w:autoSpaceDE w:val="0"/>
        <w:autoSpaceDN w:val="0"/>
        <w:adjustRightInd w:val="0"/>
        <w:jc w:val="both"/>
        <w:rPr>
          <w:b/>
          <w:color w:val="000000"/>
          <w:szCs w:val="22"/>
        </w:rPr>
      </w:pPr>
    </w:p>
    <w:p w14:paraId="640082E9" w14:textId="2432D5F2" w:rsidR="000E2F08" w:rsidRDefault="00881B82" w:rsidP="0075314C">
      <w:pPr>
        <w:jc w:val="both"/>
        <w:rPr>
          <w:color w:val="000000"/>
          <w:szCs w:val="22"/>
        </w:rPr>
      </w:pPr>
      <w:r w:rsidRPr="00471178">
        <w:rPr>
          <w:color w:val="000000"/>
          <w:szCs w:val="22"/>
        </w:rPr>
        <w:t xml:space="preserve">This </w:t>
      </w:r>
      <w:r w:rsidR="00724E77" w:rsidRPr="00471178">
        <w:rPr>
          <w:color w:val="000000"/>
          <w:szCs w:val="22"/>
        </w:rPr>
        <w:t xml:space="preserve">MD&amp;A </w:t>
      </w:r>
      <w:r w:rsidRPr="00471178">
        <w:rPr>
          <w:color w:val="000000"/>
          <w:szCs w:val="22"/>
        </w:rPr>
        <w:t xml:space="preserve">is prepared as of </w:t>
      </w:r>
      <w:r w:rsidR="00904C0C">
        <w:rPr>
          <w:color w:val="000000"/>
          <w:szCs w:val="22"/>
        </w:rPr>
        <w:t>August 31</w:t>
      </w:r>
      <w:r w:rsidR="00160E52">
        <w:rPr>
          <w:szCs w:val="22"/>
        </w:rPr>
        <w:t>, 2020</w:t>
      </w:r>
      <w:r w:rsidR="00724E77" w:rsidRPr="00471178">
        <w:rPr>
          <w:szCs w:val="22"/>
        </w:rPr>
        <w:t xml:space="preserve"> </w:t>
      </w:r>
      <w:r w:rsidRPr="00471178">
        <w:rPr>
          <w:color w:val="000000"/>
          <w:szCs w:val="22"/>
        </w:rPr>
        <w:t xml:space="preserve">All amounts in the financial statements and this </w:t>
      </w:r>
      <w:r w:rsidR="00724E77" w:rsidRPr="00471178">
        <w:rPr>
          <w:color w:val="000000"/>
          <w:szCs w:val="22"/>
        </w:rPr>
        <w:t>MD&amp;A</w:t>
      </w:r>
      <w:r w:rsidR="00724E77" w:rsidRPr="0099077C">
        <w:rPr>
          <w:color w:val="000000"/>
          <w:szCs w:val="22"/>
        </w:rPr>
        <w:t xml:space="preserve"> </w:t>
      </w:r>
      <w:r w:rsidRPr="0099077C">
        <w:rPr>
          <w:color w:val="000000"/>
          <w:szCs w:val="22"/>
        </w:rPr>
        <w:t>are</w:t>
      </w:r>
      <w:r w:rsidRPr="004D37FD">
        <w:rPr>
          <w:color w:val="000000"/>
          <w:szCs w:val="22"/>
        </w:rPr>
        <w:t xml:space="preserve"> expressed in Canadian dollars unless otherwise indicate</w:t>
      </w:r>
      <w:r w:rsidR="0075314C">
        <w:rPr>
          <w:color w:val="000000"/>
          <w:szCs w:val="22"/>
        </w:rPr>
        <w:t>d.</w:t>
      </w:r>
    </w:p>
    <w:p w14:paraId="30043800" w14:textId="77777777" w:rsidR="0075314C" w:rsidRPr="004D37FD" w:rsidRDefault="0075314C" w:rsidP="0075314C">
      <w:pPr>
        <w:jc w:val="both"/>
        <w:rPr>
          <w:color w:val="000000"/>
          <w:szCs w:val="22"/>
        </w:rPr>
      </w:pPr>
    </w:p>
    <w:p w14:paraId="02AB0861" w14:textId="77777777" w:rsidR="000E2F08" w:rsidRPr="005942D3" w:rsidRDefault="004F36A0" w:rsidP="005942D3">
      <w:pPr>
        <w:pStyle w:val="Heading3"/>
        <w:pBdr>
          <w:top w:val="single" w:sz="4" w:space="1" w:color="auto"/>
          <w:bottom w:val="single" w:sz="4" w:space="1" w:color="auto"/>
        </w:pBdr>
        <w:rPr>
          <w:b/>
          <w:u w:val="none"/>
        </w:rPr>
      </w:pPr>
      <w:bookmarkStart w:id="5" w:name="_Toc379536668"/>
      <w:bookmarkStart w:id="6" w:name="_Toc34057620"/>
      <w:r w:rsidRPr="005942D3">
        <w:rPr>
          <w:b/>
          <w:u w:val="none"/>
        </w:rPr>
        <w:t>OVERVIEW</w:t>
      </w:r>
      <w:bookmarkEnd w:id="5"/>
      <w:bookmarkEnd w:id="6"/>
    </w:p>
    <w:p w14:paraId="766D1BA5" w14:textId="77777777" w:rsidR="000E2F08" w:rsidRPr="004D37FD" w:rsidRDefault="000E2F08" w:rsidP="004A3A9A">
      <w:pPr>
        <w:autoSpaceDE w:val="0"/>
        <w:autoSpaceDN w:val="0"/>
        <w:adjustRightInd w:val="0"/>
        <w:jc w:val="both"/>
        <w:rPr>
          <w:color w:val="000000"/>
          <w:szCs w:val="22"/>
        </w:rPr>
      </w:pPr>
    </w:p>
    <w:p w14:paraId="52CA81CD" w14:textId="77777777" w:rsidR="00D34C2B" w:rsidRDefault="009F7D6F" w:rsidP="009F7D6F">
      <w:pPr>
        <w:pStyle w:val="Paragraph"/>
        <w:tabs>
          <w:tab w:val="clear" w:pos="-2250"/>
        </w:tabs>
        <w:ind w:left="0"/>
        <w:rPr>
          <w:rFonts w:ascii="Times New Roman" w:hAnsi="Times New Roman"/>
          <w:sz w:val="22"/>
          <w:szCs w:val="22"/>
        </w:rPr>
      </w:pPr>
      <w:r>
        <w:rPr>
          <w:rFonts w:ascii="Times New Roman" w:hAnsi="Times New Roman"/>
          <w:color w:val="000000"/>
          <w:sz w:val="22"/>
          <w:szCs w:val="22"/>
        </w:rPr>
        <w:t>Gre</w:t>
      </w:r>
      <w:r w:rsidR="00022A2A">
        <w:rPr>
          <w:rFonts w:ascii="Times New Roman" w:hAnsi="Times New Roman"/>
          <w:color w:val="000000"/>
          <w:sz w:val="22"/>
          <w:szCs w:val="22"/>
        </w:rPr>
        <w:t>en River Gold Co</w:t>
      </w:r>
      <w:r w:rsidR="00D34C2B">
        <w:rPr>
          <w:rFonts w:ascii="Times New Roman" w:hAnsi="Times New Roman"/>
          <w:color w:val="000000"/>
          <w:sz w:val="22"/>
          <w:szCs w:val="22"/>
        </w:rPr>
        <w:t>rp.</w:t>
      </w:r>
      <w:r w:rsidRPr="004D37FD">
        <w:rPr>
          <w:rFonts w:ascii="Times New Roman" w:hAnsi="Times New Roman"/>
          <w:color w:val="000000"/>
          <w:sz w:val="22"/>
          <w:szCs w:val="22"/>
        </w:rPr>
        <w:t xml:space="preserve"> was incorporated </w:t>
      </w:r>
      <w:r w:rsidRPr="004D37FD">
        <w:rPr>
          <w:rFonts w:ascii="Times New Roman" w:hAnsi="Times New Roman"/>
          <w:sz w:val="22"/>
          <w:szCs w:val="22"/>
        </w:rPr>
        <w:t>on June 5, 2006 under the Canada Business Co</w:t>
      </w:r>
      <w:r w:rsidR="00022A2A">
        <w:rPr>
          <w:rFonts w:ascii="Times New Roman" w:hAnsi="Times New Roman"/>
          <w:sz w:val="22"/>
          <w:szCs w:val="22"/>
        </w:rPr>
        <w:t>rporation</w:t>
      </w:r>
      <w:r w:rsidR="00D34C2B">
        <w:rPr>
          <w:rFonts w:ascii="Times New Roman" w:hAnsi="Times New Roman"/>
          <w:sz w:val="22"/>
          <w:szCs w:val="22"/>
        </w:rPr>
        <w:t>s</w:t>
      </w:r>
      <w:r w:rsidRPr="004D37FD">
        <w:rPr>
          <w:rFonts w:ascii="Times New Roman" w:hAnsi="Times New Roman"/>
          <w:sz w:val="22"/>
          <w:szCs w:val="22"/>
        </w:rPr>
        <w:t xml:space="preserve"> Act</w:t>
      </w:r>
      <w:r w:rsidR="00D34C2B">
        <w:rPr>
          <w:rFonts w:ascii="Times New Roman" w:hAnsi="Times New Roman"/>
          <w:sz w:val="22"/>
          <w:szCs w:val="22"/>
        </w:rPr>
        <w:t xml:space="preserve"> as Minerva Minerals Limited and commenced trading on August 13, 2007. On </w:t>
      </w:r>
      <w:proofErr w:type="gramStart"/>
      <w:r w:rsidR="00D34C2B">
        <w:rPr>
          <w:rFonts w:ascii="Times New Roman" w:hAnsi="Times New Roman"/>
          <w:sz w:val="22"/>
          <w:szCs w:val="22"/>
        </w:rPr>
        <w:t>June 25, 2013</w:t>
      </w:r>
      <w:proofErr w:type="gramEnd"/>
      <w:r w:rsidR="00D34C2B">
        <w:rPr>
          <w:rFonts w:ascii="Times New Roman" w:hAnsi="Times New Roman"/>
          <w:sz w:val="22"/>
          <w:szCs w:val="22"/>
        </w:rPr>
        <w:t xml:space="preserve"> the Company received approval to change its name from Minerva Minerals Limited to Greywacke Exploration Ltd.  On August 25, 2017, the Company’s shareholders approved a name change to Green River Gold Corp.  The Company began trading under the new name and ticker symbol CCR on September 8, 2017. </w:t>
      </w:r>
      <w:r w:rsidRPr="004D37FD">
        <w:rPr>
          <w:rFonts w:ascii="Times New Roman" w:hAnsi="Times New Roman"/>
          <w:sz w:val="22"/>
          <w:szCs w:val="22"/>
        </w:rPr>
        <w:t xml:space="preserve">The shares of the Company </w:t>
      </w:r>
      <w:r>
        <w:rPr>
          <w:rFonts w:ascii="Times New Roman" w:hAnsi="Times New Roman"/>
          <w:sz w:val="22"/>
          <w:szCs w:val="22"/>
        </w:rPr>
        <w:t>a</w:t>
      </w:r>
      <w:r w:rsidRPr="004D37FD">
        <w:rPr>
          <w:rFonts w:ascii="Times New Roman" w:hAnsi="Times New Roman"/>
          <w:sz w:val="22"/>
          <w:szCs w:val="22"/>
        </w:rPr>
        <w:t xml:space="preserve">re listed on the Canadian </w:t>
      </w:r>
      <w:r w:rsidR="00C516D0">
        <w:rPr>
          <w:rFonts w:ascii="Times New Roman" w:hAnsi="Times New Roman"/>
          <w:sz w:val="22"/>
          <w:szCs w:val="22"/>
        </w:rPr>
        <w:t>Stock Exchange (“the C</w:t>
      </w:r>
      <w:r w:rsidRPr="004D37FD">
        <w:rPr>
          <w:rFonts w:ascii="Times New Roman" w:hAnsi="Times New Roman"/>
          <w:sz w:val="22"/>
          <w:szCs w:val="22"/>
        </w:rPr>
        <w:t>S</w:t>
      </w:r>
      <w:r w:rsidR="00C516D0">
        <w:rPr>
          <w:rFonts w:ascii="Times New Roman" w:hAnsi="Times New Roman"/>
          <w:sz w:val="22"/>
          <w:szCs w:val="22"/>
        </w:rPr>
        <w:t>E</w:t>
      </w:r>
      <w:r w:rsidRPr="004D37FD">
        <w:rPr>
          <w:rFonts w:ascii="Times New Roman" w:hAnsi="Times New Roman"/>
          <w:sz w:val="22"/>
          <w:szCs w:val="22"/>
        </w:rPr>
        <w:t>”)</w:t>
      </w:r>
      <w:r w:rsidR="00D34C2B">
        <w:rPr>
          <w:rFonts w:ascii="Times New Roman" w:hAnsi="Times New Roman"/>
          <w:sz w:val="22"/>
          <w:szCs w:val="22"/>
        </w:rPr>
        <w:t xml:space="preserve">. </w:t>
      </w:r>
    </w:p>
    <w:p w14:paraId="3DE285CA" w14:textId="48657B38" w:rsidR="00690FC2" w:rsidRDefault="00690FC2" w:rsidP="009F7D6F">
      <w:pPr>
        <w:pStyle w:val="Paragraph"/>
        <w:tabs>
          <w:tab w:val="clear" w:pos="-2250"/>
        </w:tabs>
        <w:ind w:left="0"/>
        <w:rPr>
          <w:rFonts w:ascii="Times New Roman" w:hAnsi="Times New Roman"/>
          <w:sz w:val="22"/>
          <w:szCs w:val="22"/>
        </w:rPr>
      </w:pPr>
      <w:r>
        <w:rPr>
          <w:rFonts w:ascii="Times New Roman" w:hAnsi="Times New Roman"/>
          <w:sz w:val="22"/>
          <w:szCs w:val="22"/>
        </w:rPr>
        <w:t xml:space="preserve"> </w:t>
      </w:r>
      <w:r w:rsidR="00093815">
        <w:rPr>
          <w:rFonts w:ascii="Times New Roman" w:hAnsi="Times New Roman"/>
          <w:sz w:val="22"/>
          <w:szCs w:val="22"/>
        </w:rPr>
        <w:t>On May 17,</w:t>
      </w:r>
      <w:r>
        <w:rPr>
          <w:rFonts w:ascii="Times New Roman" w:hAnsi="Times New Roman"/>
          <w:sz w:val="22"/>
          <w:szCs w:val="22"/>
        </w:rPr>
        <w:t xml:space="preserve"> 2017, new management and directors took over operations</w:t>
      </w:r>
      <w:r w:rsidR="00C24EC0">
        <w:rPr>
          <w:rFonts w:ascii="Times New Roman" w:hAnsi="Times New Roman"/>
          <w:sz w:val="22"/>
          <w:szCs w:val="22"/>
        </w:rPr>
        <w:t xml:space="preserve"> with the intent to focus on gold mining opportunities</w:t>
      </w:r>
      <w:r w:rsidR="002E008A">
        <w:rPr>
          <w:rFonts w:ascii="Times New Roman" w:hAnsi="Times New Roman"/>
          <w:sz w:val="22"/>
          <w:szCs w:val="22"/>
        </w:rPr>
        <w:t xml:space="preserve"> in the Cariboo Mining District of British Columbia.</w:t>
      </w:r>
      <w:r w:rsidR="00252900">
        <w:rPr>
          <w:rFonts w:ascii="Times New Roman" w:hAnsi="Times New Roman"/>
          <w:sz w:val="22"/>
          <w:szCs w:val="22"/>
        </w:rPr>
        <w:t xml:space="preserve">  The Company </w:t>
      </w:r>
      <w:r w:rsidR="00851E0A">
        <w:rPr>
          <w:rFonts w:ascii="Times New Roman" w:hAnsi="Times New Roman"/>
          <w:sz w:val="22"/>
          <w:szCs w:val="22"/>
        </w:rPr>
        <w:t>is</w:t>
      </w:r>
      <w:r w:rsidR="00252900">
        <w:rPr>
          <w:rFonts w:ascii="Times New Roman" w:hAnsi="Times New Roman"/>
          <w:sz w:val="22"/>
          <w:szCs w:val="22"/>
        </w:rPr>
        <w:t xml:space="preserve"> in the business of location, acquisition, </w:t>
      </w:r>
      <w:proofErr w:type="gramStart"/>
      <w:r w:rsidR="00252900">
        <w:rPr>
          <w:rFonts w:ascii="Times New Roman" w:hAnsi="Times New Roman"/>
          <w:sz w:val="22"/>
          <w:szCs w:val="22"/>
        </w:rPr>
        <w:t>exploration</w:t>
      </w:r>
      <w:proofErr w:type="gramEnd"/>
      <w:r w:rsidR="00252900">
        <w:rPr>
          <w:rFonts w:ascii="Times New Roman" w:hAnsi="Times New Roman"/>
          <w:sz w:val="22"/>
          <w:szCs w:val="22"/>
        </w:rPr>
        <w:t xml:space="preserve"> and development of mineral </w:t>
      </w:r>
      <w:r w:rsidR="002E008A">
        <w:rPr>
          <w:rFonts w:ascii="Times New Roman" w:hAnsi="Times New Roman"/>
          <w:sz w:val="22"/>
          <w:szCs w:val="22"/>
        </w:rPr>
        <w:t>claims as well as placer mining claims. The exploration and development of hard rock mineral claims is a process that is measured in years rather than months.</w:t>
      </w:r>
      <w:r w:rsidR="00252900">
        <w:rPr>
          <w:rFonts w:ascii="Times New Roman" w:hAnsi="Times New Roman"/>
          <w:sz w:val="22"/>
          <w:szCs w:val="22"/>
        </w:rPr>
        <w:t xml:space="preserve"> </w:t>
      </w:r>
      <w:r w:rsidR="006D4EDF">
        <w:rPr>
          <w:rFonts w:ascii="Times New Roman" w:hAnsi="Times New Roman"/>
          <w:sz w:val="22"/>
          <w:szCs w:val="22"/>
        </w:rPr>
        <w:t>Conversely, p</w:t>
      </w:r>
      <w:r w:rsidR="00252900">
        <w:rPr>
          <w:rFonts w:ascii="Times New Roman" w:hAnsi="Times New Roman"/>
          <w:sz w:val="22"/>
          <w:szCs w:val="22"/>
        </w:rPr>
        <w:t xml:space="preserve">lacer </w:t>
      </w:r>
      <w:r w:rsidR="00C24EC0">
        <w:rPr>
          <w:rFonts w:ascii="Times New Roman" w:hAnsi="Times New Roman"/>
          <w:sz w:val="22"/>
          <w:szCs w:val="22"/>
        </w:rPr>
        <w:t>gold mining claims can typically be permitted within as little as a few months and can be placed into production with relatively low capital investment compared to even the smallest of hard rock mining properties.</w:t>
      </w:r>
      <w:r w:rsidR="006D4EDF">
        <w:rPr>
          <w:rFonts w:ascii="Times New Roman" w:hAnsi="Times New Roman"/>
          <w:sz w:val="22"/>
          <w:szCs w:val="22"/>
        </w:rPr>
        <w:t xml:space="preserve"> The Company’s plan is to generate short term income from </w:t>
      </w:r>
      <w:r w:rsidR="001107B1">
        <w:rPr>
          <w:rFonts w:ascii="Times New Roman" w:hAnsi="Times New Roman"/>
          <w:sz w:val="22"/>
          <w:szCs w:val="22"/>
        </w:rPr>
        <w:t xml:space="preserve">renting </w:t>
      </w:r>
      <w:r w:rsidR="006D4EDF">
        <w:rPr>
          <w:rFonts w:ascii="Times New Roman" w:hAnsi="Times New Roman"/>
          <w:sz w:val="22"/>
          <w:szCs w:val="22"/>
        </w:rPr>
        <w:t xml:space="preserve">its placer mining claims while continuing to explore and evaluate longer term </w:t>
      </w:r>
      <w:r w:rsidR="006B23E5">
        <w:rPr>
          <w:rFonts w:ascii="Times New Roman" w:hAnsi="Times New Roman"/>
          <w:sz w:val="22"/>
          <w:szCs w:val="22"/>
        </w:rPr>
        <w:t>mineral prospects</w:t>
      </w:r>
      <w:r w:rsidR="003844B6">
        <w:rPr>
          <w:rFonts w:ascii="Times New Roman" w:hAnsi="Times New Roman"/>
          <w:sz w:val="22"/>
          <w:szCs w:val="22"/>
        </w:rPr>
        <w:t xml:space="preserve">. </w:t>
      </w:r>
      <w:r w:rsidR="00737AAB">
        <w:rPr>
          <w:rFonts w:ascii="Times New Roman" w:hAnsi="Times New Roman"/>
          <w:sz w:val="22"/>
          <w:szCs w:val="22"/>
        </w:rPr>
        <w:t xml:space="preserve">The company may also look to invest </w:t>
      </w:r>
      <w:r w:rsidR="00252900">
        <w:rPr>
          <w:rFonts w:ascii="Times New Roman" w:hAnsi="Times New Roman"/>
          <w:sz w:val="22"/>
          <w:szCs w:val="22"/>
        </w:rPr>
        <w:t>in businesses that provide products or services to the placer mining industry</w:t>
      </w:r>
      <w:r w:rsidR="003844B6">
        <w:rPr>
          <w:rFonts w:ascii="Times New Roman" w:hAnsi="Times New Roman"/>
          <w:sz w:val="22"/>
          <w:szCs w:val="22"/>
        </w:rPr>
        <w:t xml:space="preserve">, again with a focus on generating revenue to offset administration expenses and provide a base of operations </w:t>
      </w:r>
    </w:p>
    <w:p w14:paraId="4EEDE4FE" w14:textId="38F070CA" w:rsidR="00895DE6" w:rsidRDefault="000328EA" w:rsidP="000328EA">
      <w:pPr>
        <w:pStyle w:val="Paragraph"/>
        <w:tabs>
          <w:tab w:val="clear" w:pos="-2250"/>
        </w:tabs>
        <w:ind w:left="0"/>
        <w:rPr>
          <w:rFonts w:ascii="Times New Roman" w:hAnsi="Times New Roman"/>
          <w:sz w:val="22"/>
          <w:szCs w:val="22"/>
        </w:rPr>
      </w:pPr>
      <w:r>
        <w:rPr>
          <w:rFonts w:ascii="Times New Roman" w:hAnsi="Times New Roman"/>
          <w:sz w:val="22"/>
          <w:szCs w:val="22"/>
        </w:rPr>
        <w:t>D</w:t>
      </w:r>
      <w:r w:rsidR="003844B6">
        <w:rPr>
          <w:rFonts w:ascii="Times New Roman" w:hAnsi="Times New Roman"/>
          <w:sz w:val="22"/>
          <w:szCs w:val="22"/>
        </w:rPr>
        <w:t xml:space="preserve">uring the </w:t>
      </w:r>
      <w:r w:rsidR="00904C0C">
        <w:rPr>
          <w:rFonts w:ascii="Times New Roman" w:hAnsi="Times New Roman"/>
          <w:sz w:val="22"/>
          <w:szCs w:val="22"/>
        </w:rPr>
        <w:t>nine</w:t>
      </w:r>
      <w:r w:rsidR="00D9661A">
        <w:rPr>
          <w:rFonts w:ascii="Times New Roman" w:hAnsi="Times New Roman"/>
          <w:sz w:val="22"/>
          <w:szCs w:val="22"/>
        </w:rPr>
        <w:t xml:space="preserve"> months</w:t>
      </w:r>
      <w:r w:rsidR="003844B6">
        <w:rPr>
          <w:rFonts w:ascii="Times New Roman" w:hAnsi="Times New Roman"/>
          <w:sz w:val="22"/>
          <w:szCs w:val="22"/>
        </w:rPr>
        <w:t xml:space="preserve"> ended </w:t>
      </w:r>
      <w:r w:rsidR="00904C0C">
        <w:rPr>
          <w:rFonts w:ascii="Times New Roman" w:hAnsi="Times New Roman"/>
          <w:sz w:val="22"/>
          <w:szCs w:val="22"/>
        </w:rPr>
        <w:t>June 30</w:t>
      </w:r>
      <w:r w:rsidR="00D9661A">
        <w:rPr>
          <w:rFonts w:ascii="Times New Roman" w:hAnsi="Times New Roman"/>
          <w:sz w:val="22"/>
          <w:szCs w:val="22"/>
        </w:rPr>
        <w:t>,</w:t>
      </w:r>
      <w:r w:rsidR="00904C0C">
        <w:rPr>
          <w:rFonts w:ascii="Times New Roman" w:hAnsi="Times New Roman"/>
          <w:sz w:val="22"/>
          <w:szCs w:val="22"/>
        </w:rPr>
        <w:t xml:space="preserve"> </w:t>
      </w:r>
      <w:r w:rsidR="00D9661A">
        <w:rPr>
          <w:rFonts w:ascii="Times New Roman" w:hAnsi="Times New Roman"/>
          <w:sz w:val="22"/>
          <w:szCs w:val="22"/>
        </w:rPr>
        <w:t>2020</w:t>
      </w:r>
      <w:r w:rsidR="003844B6">
        <w:rPr>
          <w:rFonts w:ascii="Times New Roman" w:hAnsi="Times New Roman"/>
          <w:sz w:val="22"/>
          <w:szCs w:val="22"/>
        </w:rPr>
        <w:t xml:space="preserve">, the Company </w:t>
      </w:r>
      <w:r w:rsidR="000C4391">
        <w:rPr>
          <w:rFonts w:ascii="Times New Roman" w:hAnsi="Times New Roman"/>
          <w:sz w:val="22"/>
          <w:szCs w:val="22"/>
        </w:rPr>
        <w:t>took significant strides toward achieving its goals.</w:t>
      </w:r>
      <w:r w:rsidR="00D9661A">
        <w:rPr>
          <w:rFonts w:ascii="Times New Roman" w:hAnsi="Times New Roman"/>
          <w:sz w:val="22"/>
          <w:szCs w:val="22"/>
        </w:rPr>
        <w:t xml:space="preserve"> The Company continued to add to its existing inventory of placer mining claims</w:t>
      </w:r>
      <w:r w:rsidR="002A5CB6">
        <w:rPr>
          <w:rFonts w:ascii="Times New Roman" w:hAnsi="Times New Roman"/>
          <w:sz w:val="22"/>
          <w:szCs w:val="22"/>
        </w:rPr>
        <w:t xml:space="preserve"> as discussed</w:t>
      </w:r>
      <w:r w:rsidR="00646908">
        <w:rPr>
          <w:rFonts w:ascii="Times New Roman" w:hAnsi="Times New Roman"/>
          <w:sz w:val="22"/>
          <w:szCs w:val="22"/>
        </w:rPr>
        <w:t xml:space="preserve"> in the section titled Exploration and Capital Expenses </w:t>
      </w:r>
      <w:proofErr w:type="gramStart"/>
      <w:r w:rsidR="00646908">
        <w:rPr>
          <w:rFonts w:ascii="Times New Roman" w:hAnsi="Times New Roman"/>
          <w:sz w:val="22"/>
          <w:szCs w:val="22"/>
        </w:rPr>
        <w:t>and in the section</w:t>
      </w:r>
      <w:proofErr w:type="gramEnd"/>
      <w:r w:rsidR="00646908">
        <w:rPr>
          <w:rFonts w:ascii="Times New Roman" w:hAnsi="Times New Roman"/>
          <w:sz w:val="22"/>
          <w:szCs w:val="22"/>
        </w:rPr>
        <w:t xml:space="preserve"> titled Events after the Reporting Period.</w:t>
      </w:r>
    </w:p>
    <w:p w14:paraId="40E164FC" w14:textId="21EBEFE4" w:rsidR="002A5CB6" w:rsidRDefault="002A5CB6" w:rsidP="000328EA">
      <w:pPr>
        <w:pStyle w:val="Paragraph"/>
        <w:tabs>
          <w:tab w:val="clear" w:pos="-2250"/>
        </w:tabs>
        <w:ind w:left="0"/>
        <w:rPr>
          <w:rFonts w:ascii="Times New Roman" w:hAnsi="Times New Roman"/>
          <w:sz w:val="22"/>
          <w:szCs w:val="22"/>
        </w:rPr>
      </w:pPr>
    </w:p>
    <w:p w14:paraId="735EB738" w14:textId="61654203" w:rsidR="002A5CB6" w:rsidRDefault="002A5CB6" w:rsidP="000328EA">
      <w:pPr>
        <w:pStyle w:val="Paragraph"/>
        <w:tabs>
          <w:tab w:val="clear" w:pos="-2250"/>
        </w:tabs>
        <w:ind w:left="0"/>
        <w:rPr>
          <w:rFonts w:ascii="Times New Roman" w:hAnsi="Times New Roman"/>
          <w:sz w:val="22"/>
          <w:szCs w:val="22"/>
        </w:rPr>
      </w:pPr>
    </w:p>
    <w:p w14:paraId="04A2516C" w14:textId="77777777" w:rsidR="002A5CB6" w:rsidRDefault="002A5CB6" w:rsidP="000328EA">
      <w:pPr>
        <w:pStyle w:val="Paragraph"/>
        <w:tabs>
          <w:tab w:val="clear" w:pos="-2250"/>
        </w:tabs>
        <w:ind w:left="0"/>
        <w:rPr>
          <w:rFonts w:ascii="Times New Roman" w:hAnsi="Times New Roman"/>
          <w:sz w:val="22"/>
          <w:szCs w:val="22"/>
        </w:rPr>
      </w:pPr>
    </w:p>
    <w:p w14:paraId="1776C1B6" w14:textId="3B786775" w:rsidR="000C4391" w:rsidRPr="000C4391" w:rsidRDefault="00646908" w:rsidP="000C4391">
      <w:pPr>
        <w:jc w:val="both"/>
        <w:rPr>
          <w:szCs w:val="22"/>
          <w:lang w:val="en-US" w:eastAsia="en-US"/>
        </w:rPr>
      </w:pPr>
      <w:bookmarkStart w:id="7" w:name="_Hlk29566767"/>
      <w:r>
        <w:rPr>
          <w:szCs w:val="22"/>
          <w:lang w:val="en-US" w:eastAsia="en-US"/>
        </w:rPr>
        <w:t>.</w:t>
      </w:r>
    </w:p>
    <w:bookmarkEnd w:id="7"/>
    <w:p w14:paraId="41F22A00" w14:textId="77777777" w:rsidR="000C4391" w:rsidRPr="000C4391" w:rsidRDefault="000C4391" w:rsidP="000C4391">
      <w:pPr>
        <w:jc w:val="both"/>
        <w:rPr>
          <w:szCs w:val="22"/>
          <w:lang w:val="en-US" w:eastAsia="en-US"/>
        </w:rPr>
      </w:pPr>
    </w:p>
    <w:p w14:paraId="02421566" w14:textId="10C11478" w:rsidR="000C4391" w:rsidRDefault="000C4391" w:rsidP="000C4391">
      <w:pPr>
        <w:jc w:val="both"/>
        <w:rPr>
          <w:szCs w:val="22"/>
          <w:lang w:val="en-US" w:eastAsia="en-US"/>
        </w:rPr>
      </w:pPr>
      <w:bookmarkStart w:id="8" w:name="_Hlk29840442"/>
      <w:r w:rsidRPr="000C4391">
        <w:rPr>
          <w:szCs w:val="22"/>
          <w:lang w:val="en-US" w:eastAsia="en-US"/>
        </w:rPr>
        <w:t>On August 12, 2019, the Company announced that it had rented office and retail space in a highly visible location on Highway 97 in Quesnel B.C. The location gives the Company office space in the middle of the Cariboo Mining District as well as retail space.  The Company opened the retail store in September</w:t>
      </w:r>
      <w:r>
        <w:rPr>
          <w:szCs w:val="22"/>
          <w:lang w:val="en-US" w:eastAsia="en-US"/>
        </w:rPr>
        <w:t xml:space="preserve"> of</w:t>
      </w:r>
      <w:r w:rsidRPr="000C4391">
        <w:rPr>
          <w:szCs w:val="22"/>
          <w:lang w:val="en-US" w:eastAsia="en-US"/>
        </w:rPr>
        <w:t xml:space="preserve"> 2019. </w:t>
      </w:r>
      <w:r w:rsidR="000C43EB">
        <w:rPr>
          <w:szCs w:val="22"/>
          <w:lang w:val="en-US" w:eastAsia="en-US"/>
        </w:rPr>
        <w:t>The Company</w:t>
      </w:r>
      <w:r w:rsidR="00895DE6">
        <w:rPr>
          <w:szCs w:val="22"/>
          <w:lang w:val="en-US" w:eastAsia="en-US"/>
        </w:rPr>
        <w:t xml:space="preserve"> had been looking for office space in Quesnel and the potential to profit from the office space via the retail operation was a good fit.</w:t>
      </w:r>
    </w:p>
    <w:p w14:paraId="5A3AEEB9" w14:textId="77777777" w:rsidR="00D92412" w:rsidRPr="000C4391" w:rsidRDefault="00D92412" w:rsidP="000C4391">
      <w:pPr>
        <w:jc w:val="both"/>
        <w:rPr>
          <w:szCs w:val="22"/>
          <w:lang w:val="en-US" w:eastAsia="en-US"/>
        </w:rPr>
      </w:pPr>
    </w:p>
    <w:p w14:paraId="3C3BA3E6" w14:textId="0342988F" w:rsidR="000C4391" w:rsidRDefault="000C4391" w:rsidP="000C4391">
      <w:pPr>
        <w:jc w:val="both"/>
        <w:rPr>
          <w:szCs w:val="22"/>
          <w:lang w:val="en-US" w:eastAsia="en-US"/>
        </w:rPr>
      </w:pPr>
      <w:r w:rsidRPr="000C4391">
        <w:rPr>
          <w:szCs w:val="22"/>
          <w:lang w:val="en-US" w:eastAsia="en-US"/>
        </w:rPr>
        <w:t xml:space="preserve">The store caters to the needs of the hundreds of smaller placer mining operations and hobby miners in the area.  The Company purchased all </w:t>
      </w:r>
      <w:r>
        <w:rPr>
          <w:szCs w:val="22"/>
          <w:lang w:val="en-US" w:eastAsia="en-US"/>
        </w:rPr>
        <w:t>t</w:t>
      </w:r>
      <w:r w:rsidRPr="000C4391">
        <w:rPr>
          <w:szCs w:val="22"/>
          <w:lang w:val="en-US" w:eastAsia="en-US"/>
        </w:rPr>
        <w:t>he inventory from a mining supply store in Alberta that was ceasing operation</w:t>
      </w:r>
      <w:r w:rsidR="00D9661A">
        <w:rPr>
          <w:szCs w:val="22"/>
          <w:lang w:val="en-US" w:eastAsia="en-US"/>
        </w:rPr>
        <w:t>s</w:t>
      </w:r>
      <w:r w:rsidRPr="000C4391">
        <w:rPr>
          <w:szCs w:val="22"/>
          <w:lang w:val="en-US" w:eastAsia="en-US"/>
        </w:rPr>
        <w:t>. The Company will be distributing some well-established brands of mining equipment as well as some locally built mining equipment</w:t>
      </w:r>
      <w:bookmarkStart w:id="9" w:name="_Hlk41895203"/>
      <w:r w:rsidRPr="000C4391">
        <w:rPr>
          <w:szCs w:val="22"/>
          <w:lang w:val="en-US" w:eastAsia="en-US"/>
        </w:rPr>
        <w:t>.</w:t>
      </w:r>
      <w:bookmarkEnd w:id="9"/>
      <w:r w:rsidR="000C58D4">
        <w:rPr>
          <w:szCs w:val="22"/>
          <w:lang w:val="en-US" w:eastAsia="en-US"/>
        </w:rPr>
        <w:t xml:space="preserve"> During the </w:t>
      </w:r>
      <w:r w:rsidR="00C931C7">
        <w:rPr>
          <w:szCs w:val="22"/>
          <w:lang w:val="en-US" w:eastAsia="en-US"/>
        </w:rPr>
        <w:t>nine</w:t>
      </w:r>
      <w:r w:rsidR="000C58D4">
        <w:rPr>
          <w:szCs w:val="22"/>
          <w:lang w:val="en-US" w:eastAsia="en-US"/>
        </w:rPr>
        <w:t xml:space="preserve"> months ended </w:t>
      </w:r>
      <w:r w:rsidR="00C931C7">
        <w:rPr>
          <w:szCs w:val="22"/>
          <w:lang w:val="en-US" w:eastAsia="en-US"/>
        </w:rPr>
        <w:t>June 30</w:t>
      </w:r>
      <w:r w:rsidR="000C58D4">
        <w:rPr>
          <w:szCs w:val="22"/>
          <w:lang w:val="en-US" w:eastAsia="en-US"/>
        </w:rPr>
        <w:t>, 2020, the Company expanded its product offering by setting up distribution deals with several manufacturers, including an exclusive deal to sell Turbo Pans in the Canadian market.</w:t>
      </w:r>
      <w:r w:rsidR="002C5465">
        <w:rPr>
          <w:szCs w:val="22"/>
          <w:lang w:val="en-US" w:eastAsia="en-US"/>
        </w:rPr>
        <w:t xml:space="preserve"> The space provides ample office space for our administration function as well as providing an</w:t>
      </w:r>
    </w:p>
    <w:p w14:paraId="703A2186" w14:textId="239D6024" w:rsidR="000C4391" w:rsidRDefault="002C5465" w:rsidP="002C5465">
      <w:pPr>
        <w:jc w:val="both"/>
        <w:rPr>
          <w:szCs w:val="22"/>
          <w:lang w:val="en-US" w:eastAsia="en-US"/>
        </w:rPr>
      </w:pPr>
      <w:r>
        <w:rPr>
          <w:szCs w:val="22"/>
          <w:lang w:val="en-US" w:eastAsia="en-US"/>
        </w:rPr>
        <w:t>organized location for our Mine Manager and any outside geological consultants.</w:t>
      </w:r>
      <w:r w:rsidR="00D9661A">
        <w:rPr>
          <w:szCs w:val="22"/>
          <w:lang w:val="en-US" w:eastAsia="en-US"/>
        </w:rPr>
        <w:t xml:space="preserve"> During the </w:t>
      </w:r>
      <w:r w:rsidR="00C931C7">
        <w:rPr>
          <w:szCs w:val="22"/>
          <w:lang w:val="en-US" w:eastAsia="en-US"/>
        </w:rPr>
        <w:t>nine</w:t>
      </w:r>
      <w:r w:rsidR="00D9661A">
        <w:rPr>
          <w:szCs w:val="22"/>
          <w:lang w:val="en-US" w:eastAsia="en-US"/>
        </w:rPr>
        <w:t xml:space="preserve"> months ended </w:t>
      </w:r>
      <w:r w:rsidR="00C931C7">
        <w:rPr>
          <w:szCs w:val="22"/>
          <w:lang w:val="en-US" w:eastAsia="en-US"/>
        </w:rPr>
        <w:t>June 30</w:t>
      </w:r>
      <w:r w:rsidR="00D9661A">
        <w:rPr>
          <w:szCs w:val="22"/>
          <w:lang w:val="en-US" w:eastAsia="en-US"/>
        </w:rPr>
        <w:t xml:space="preserve">, 2020, the Company also </w:t>
      </w:r>
      <w:r w:rsidR="000C58D4">
        <w:rPr>
          <w:szCs w:val="22"/>
          <w:lang w:val="en-US" w:eastAsia="en-US"/>
        </w:rPr>
        <w:t>began to sell mining supplies and equipment from its online store.</w:t>
      </w:r>
    </w:p>
    <w:p w14:paraId="677E11A7" w14:textId="6A7825EE" w:rsidR="00532D7E" w:rsidRDefault="00532D7E" w:rsidP="002C5465">
      <w:pPr>
        <w:jc w:val="both"/>
        <w:rPr>
          <w:szCs w:val="22"/>
          <w:lang w:val="en-US" w:eastAsia="en-US"/>
        </w:rPr>
      </w:pPr>
    </w:p>
    <w:p w14:paraId="1E541BBE" w14:textId="38560D6F" w:rsidR="00532D7E" w:rsidRDefault="00532D7E" w:rsidP="002C5465">
      <w:pPr>
        <w:jc w:val="both"/>
        <w:rPr>
          <w:szCs w:val="22"/>
          <w:lang w:val="en-US" w:eastAsia="en-US"/>
        </w:rPr>
      </w:pPr>
      <w:proofErr w:type="gramStart"/>
      <w:r>
        <w:rPr>
          <w:szCs w:val="22"/>
          <w:lang w:val="en-US" w:eastAsia="en-US"/>
        </w:rPr>
        <w:t>Subsequent to</w:t>
      </w:r>
      <w:proofErr w:type="gramEnd"/>
      <w:r>
        <w:rPr>
          <w:szCs w:val="22"/>
          <w:lang w:val="en-US" w:eastAsia="en-US"/>
        </w:rPr>
        <w:t xml:space="preserve"> June 30, 2020, the Company moved to a much larger facility, also on Highway 97 North in Quesnel, B.C.  The new location has much larger signage and greater visibility.  The retail operation and the recently announced prospective gold buying business will be housed in the new facility, which will be shared with an affiliated private company that manufactures gold mining equipment.  In total, the new building is over 8,000 square feet with an additional 3,000 square feet of finished mezzanine space.  The building is on a two-acre lot.</w:t>
      </w:r>
    </w:p>
    <w:p w14:paraId="703A0AF1" w14:textId="77777777" w:rsidR="004779C1" w:rsidRDefault="004779C1" w:rsidP="002C5465">
      <w:pPr>
        <w:jc w:val="both"/>
        <w:rPr>
          <w:szCs w:val="22"/>
          <w:lang w:val="en-US" w:eastAsia="en-US"/>
        </w:rPr>
      </w:pPr>
    </w:p>
    <w:p w14:paraId="67BF6C37" w14:textId="49A14E5F" w:rsidR="004779C1" w:rsidRPr="004779C1" w:rsidRDefault="004779C1" w:rsidP="004779C1">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r w:rsidRPr="004779C1">
        <w:rPr>
          <w:szCs w:val="22"/>
          <w:lang w:eastAsia="en-US"/>
        </w:rPr>
        <w:t xml:space="preserve">On January 23, 2020, the Company announced a private placement of up to $1,000,000.  The financing </w:t>
      </w:r>
      <w:r w:rsidR="00532D7E">
        <w:rPr>
          <w:szCs w:val="22"/>
          <w:lang w:eastAsia="en-US"/>
        </w:rPr>
        <w:t>was to</w:t>
      </w:r>
      <w:r w:rsidRPr="004779C1">
        <w:rPr>
          <w:szCs w:val="22"/>
          <w:lang w:eastAsia="en-US"/>
        </w:rPr>
        <w:t xml:space="preserve"> consist of two parts:</w:t>
      </w:r>
    </w:p>
    <w:p w14:paraId="35A77A55" w14:textId="77777777" w:rsidR="004779C1" w:rsidRPr="004779C1" w:rsidRDefault="004779C1" w:rsidP="004779C1">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p>
    <w:p w14:paraId="750CEE7C" w14:textId="77777777" w:rsidR="004779C1" w:rsidRPr="004779C1" w:rsidRDefault="004779C1" w:rsidP="004779C1">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r w:rsidRPr="004779C1">
        <w:rPr>
          <w:szCs w:val="22"/>
          <w:lang w:eastAsia="en-US"/>
        </w:rPr>
        <w:t xml:space="preserve">(1)  up to $500,000 of units consisting of one common share of the Company and one-half of one common share purchase warrant. Each whole warrant will entitle the holder to acquire one common share at a price of $0.10 for a period of two years following the date of the financing.  </w:t>
      </w:r>
    </w:p>
    <w:p w14:paraId="0C260290" w14:textId="77777777" w:rsidR="004779C1" w:rsidRPr="004779C1" w:rsidRDefault="004779C1" w:rsidP="004779C1">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p>
    <w:p w14:paraId="293CF700" w14:textId="517F943A" w:rsidR="004779C1" w:rsidRDefault="004779C1" w:rsidP="004779C1">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r w:rsidRPr="004779C1">
        <w:rPr>
          <w:szCs w:val="22"/>
          <w:lang w:eastAsia="en-US"/>
        </w:rPr>
        <w:t>(2) up to $500,000 of 8% convertible unsecured debentures with a term of three years from the date of issuance, convertible into common shares of the Company at a price of $0.10 per common share.</w:t>
      </w:r>
    </w:p>
    <w:p w14:paraId="266650EF" w14:textId="3E3BAED3" w:rsidR="00532D7E" w:rsidRDefault="00532D7E" w:rsidP="004779C1">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p>
    <w:p w14:paraId="780FC0A9" w14:textId="06172DEB" w:rsidR="002A5CB6" w:rsidRDefault="00532D7E" w:rsidP="00E15742">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r>
        <w:rPr>
          <w:szCs w:val="22"/>
          <w:lang w:eastAsia="en-US"/>
        </w:rPr>
        <w:t>On July 31, 2020, the Company announced that it was cancelling the debenture portion of the financing and increasing the unit portion of the financing to up to $1,200,000.</w:t>
      </w:r>
      <w:bookmarkEnd w:id="8"/>
      <w:r>
        <w:rPr>
          <w:szCs w:val="22"/>
          <w:lang w:eastAsia="en-US"/>
        </w:rPr>
        <w:t xml:space="preserve">  No debentures were issued </w:t>
      </w:r>
      <w:r w:rsidR="003B5EDD">
        <w:rPr>
          <w:szCs w:val="22"/>
          <w:lang w:eastAsia="en-US"/>
        </w:rPr>
        <w:t>under the financing.</w:t>
      </w:r>
    </w:p>
    <w:p w14:paraId="4A4C6B43" w14:textId="77777777" w:rsidR="002A5CB6" w:rsidRDefault="002A5CB6" w:rsidP="009F7D6F">
      <w:pPr>
        <w:jc w:val="both"/>
        <w:rPr>
          <w:szCs w:val="22"/>
        </w:rPr>
      </w:pPr>
    </w:p>
    <w:p w14:paraId="0611FE17" w14:textId="1CBC2754" w:rsidR="00540ED7" w:rsidRDefault="009F7D6F" w:rsidP="009F7D6F">
      <w:pPr>
        <w:jc w:val="both"/>
        <w:rPr>
          <w:szCs w:val="22"/>
        </w:rPr>
      </w:pPr>
      <w:r w:rsidRPr="00283891">
        <w:rPr>
          <w:szCs w:val="22"/>
        </w:rPr>
        <w:t>The</w:t>
      </w:r>
      <w:r w:rsidR="00426848">
        <w:rPr>
          <w:szCs w:val="22"/>
        </w:rPr>
        <w:t xml:space="preserve"> </w:t>
      </w:r>
      <w:r w:rsidR="00160E52">
        <w:rPr>
          <w:szCs w:val="22"/>
        </w:rPr>
        <w:t>unaudited</w:t>
      </w:r>
      <w:r w:rsidR="00FD78AE">
        <w:rPr>
          <w:szCs w:val="22"/>
        </w:rPr>
        <w:t xml:space="preserve"> </w:t>
      </w:r>
      <w:r>
        <w:rPr>
          <w:szCs w:val="22"/>
        </w:rPr>
        <w:t>f</w:t>
      </w:r>
      <w:r w:rsidRPr="00283891">
        <w:rPr>
          <w:szCs w:val="22"/>
        </w:rPr>
        <w:t>inancial statements</w:t>
      </w:r>
      <w:r w:rsidR="00426848">
        <w:rPr>
          <w:szCs w:val="22"/>
        </w:rPr>
        <w:t xml:space="preserve"> for the </w:t>
      </w:r>
      <w:r w:rsidR="00C931C7">
        <w:rPr>
          <w:szCs w:val="22"/>
        </w:rPr>
        <w:t>nine</w:t>
      </w:r>
      <w:r w:rsidR="00D92412">
        <w:rPr>
          <w:szCs w:val="22"/>
        </w:rPr>
        <w:t xml:space="preserve"> months ended </w:t>
      </w:r>
      <w:r w:rsidR="00C931C7">
        <w:rPr>
          <w:szCs w:val="22"/>
        </w:rPr>
        <w:t>June 30</w:t>
      </w:r>
      <w:r w:rsidR="00D92412">
        <w:rPr>
          <w:szCs w:val="22"/>
        </w:rPr>
        <w:t>, 2020</w:t>
      </w:r>
      <w:r w:rsidR="00B418BC">
        <w:rPr>
          <w:szCs w:val="22"/>
        </w:rPr>
        <w:t xml:space="preserve"> and 201</w:t>
      </w:r>
      <w:r w:rsidR="00D92412">
        <w:rPr>
          <w:szCs w:val="22"/>
        </w:rPr>
        <w:t>9</w:t>
      </w:r>
      <w:r w:rsidRPr="00283891">
        <w:rPr>
          <w:szCs w:val="22"/>
        </w:rPr>
        <w:t xml:space="preserve"> have been prepared in accordance with </w:t>
      </w:r>
      <w:r>
        <w:rPr>
          <w:szCs w:val="22"/>
        </w:rPr>
        <w:t>IFRS</w:t>
      </w:r>
      <w:r w:rsidRPr="00283891">
        <w:rPr>
          <w:szCs w:val="22"/>
        </w:rPr>
        <w:t xml:space="preserve"> applicable to a going concern</w:t>
      </w:r>
      <w:r w:rsidR="006E0B68">
        <w:rPr>
          <w:szCs w:val="22"/>
        </w:rPr>
        <w:t xml:space="preserve">.  Accordingly, they do not give effect to adjustments that would be necessary </w:t>
      </w:r>
      <w:r w:rsidR="0048205F">
        <w:rPr>
          <w:szCs w:val="22"/>
        </w:rPr>
        <w:t>should the Company be unable to continue as a going concern and therefore be required to realize its assets and liabilities and commitments in other than the normal course of business and at amounts different from those in the accompanying financial statements.</w:t>
      </w:r>
    </w:p>
    <w:p w14:paraId="7B4D780B" w14:textId="77777777" w:rsidR="00F947B9" w:rsidRDefault="00F947B9" w:rsidP="009F7D6F">
      <w:pPr>
        <w:jc w:val="both"/>
        <w:rPr>
          <w:szCs w:val="22"/>
        </w:rPr>
      </w:pPr>
    </w:p>
    <w:p w14:paraId="2D770DE5" w14:textId="77777777" w:rsidR="00584AE6" w:rsidRDefault="00E422CC" w:rsidP="009F7D6F">
      <w:pPr>
        <w:pStyle w:val="Paragraph"/>
        <w:ind w:left="0"/>
        <w:rPr>
          <w:rFonts w:ascii="Times New Roman" w:hAnsi="Times New Roman"/>
          <w:sz w:val="22"/>
          <w:szCs w:val="22"/>
        </w:rPr>
      </w:pPr>
      <w:r>
        <w:rPr>
          <w:rFonts w:ascii="Times New Roman" w:hAnsi="Times New Roman"/>
          <w:sz w:val="22"/>
          <w:szCs w:val="22"/>
        </w:rPr>
        <w:t>As mentioned above, t</w:t>
      </w:r>
      <w:r w:rsidR="009F7D6F" w:rsidRPr="00640C5C">
        <w:rPr>
          <w:rFonts w:ascii="Times New Roman" w:hAnsi="Times New Roman"/>
          <w:sz w:val="22"/>
          <w:szCs w:val="22"/>
        </w:rPr>
        <w:t xml:space="preserve">he </w:t>
      </w:r>
      <w:r>
        <w:rPr>
          <w:rFonts w:ascii="Times New Roman" w:hAnsi="Times New Roman"/>
          <w:sz w:val="22"/>
          <w:szCs w:val="22"/>
        </w:rPr>
        <w:t>new</w:t>
      </w:r>
      <w:r w:rsidR="009F7D6F" w:rsidRPr="00640C5C">
        <w:rPr>
          <w:rFonts w:ascii="Times New Roman" w:hAnsi="Times New Roman"/>
          <w:sz w:val="22"/>
          <w:szCs w:val="22"/>
        </w:rPr>
        <w:t xml:space="preserve"> business strategy of the Company</w:t>
      </w:r>
      <w:r>
        <w:rPr>
          <w:rFonts w:ascii="Times New Roman" w:hAnsi="Times New Roman"/>
          <w:sz w:val="22"/>
          <w:szCs w:val="22"/>
        </w:rPr>
        <w:t xml:space="preserve"> is focused on acquiring</w:t>
      </w:r>
      <w:r w:rsidR="002C5465">
        <w:rPr>
          <w:rFonts w:ascii="Times New Roman" w:hAnsi="Times New Roman"/>
          <w:sz w:val="22"/>
          <w:szCs w:val="22"/>
        </w:rPr>
        <w:t xml:space="preserve"> mineral and placer claims </w:t>
      </w:r>
      <w:r>
        <w:rPr>
          <w:rFonts w:ascii="Times New Roman" w:hAnsi="Times New Roman"/>
          <w:sz w:val="22"/>
          <w:szCs w:val="22"/>
        </w:rPr>
        <w:t>and/or making investments related to the placer mining industry which can provide potential cash flow in a relatively short time</w:t>
      </w:r>
      <w:r w:rsidR="009F7D6F" w:rsidRPr="00640C5C">
        <w:rPr>
          <w:rFonts w:ascii="Times New Roman" w:hAnsi="Times New Roman"/>
          <w:sz w:val="22"/>
          <w:szCs w:val="22"/>
        </w:rPr>
        <w:t xml:space="preserve">. </w:t>
      </w:r>
      <w:r w:rsidR="002C5465">
        <w:rPr>
          <w:rFonts w:ascii="Times New Roman" w:hAnsi="Times New Roman"/>
          <w:sz w:val="22"/>
          <w:szCs w:val="22"/>
        </w:rPr>
        <w:t>This will comp</w:t>
      </w:r>
      <w:r w:rsidR="00584AE6">
        <w:rPr>
          <w:rFonts w:ascii="Times New Roman" w:hAnsi="Times New Roman"/>
          <w:sz w:val="22"/>
          <w:szCs w:val="22"/>
        </w:rPr>
        <w:t>le</w:t>
      </w:r>
      <w:r w:rsidR="002C5465">
        <w:rPr>
          <w:rFonts w:ascii="Times New Roman" w:hAnsi="Times New Roman"/>
          <w:sz w:val="22"/>
          <w:szCs w:val="22"/>
        </w:rPr>
        <w:t>ment the longer</w:t>
      </w:r>
      <w:r w:rsidR="00584AE6">
        <w:rPr>
          <w:rFonts w:ascii="Times New Roman" w:hAnsi="Times New Roman"/>
          <w:sz w:val="22"/>
          <w:szCs w:val="22"/>
        </w:rPr>
        <w:t>-</w:t>
      </w:r>
      <w:r w:rsidR="002C5465">
        <w:rPr>
          <w:rFonts w:ascii="Times New Roman" w:hAnsi="Times New Roman"/>
          <w:sz w:val="22"/>
          <w:szCs w:val="22"/>
        </w:rPr>
        <w:t xml:space="preserve">term nature of exploring and developing mineral </w:t>
      </w:r>
      <w:r w:rsidR="00584AE6">
        <w:rPr>
          <w:rFonts w:ascii="Times New Roman" w:hAnsi="Times New Roman"/>
          <w:sz w:val="22"/>
          <w:szCs w:val="22"/>
        </w:rPr>
        <w:t xml:space="preserve">claims.  There is no </w:t>
      </w:r>
      <w:r>
        <w:rPr>
          <w:rFonts w:ascii="Times New Roman" w:hAnsi="Times New Roman"/>
          <w:sz w:val="22"/>
          <w:szCs w:val="22"/>
        </w:rPr>
        <w:t xml:space="preserve">certainty that suitable properties or investments can be found. </w:t>
      </w:r>
    </w:p>
    <w:p w14:paraId="4B5CCDDA" w14:textId="7AFFC925" w:rsidR="00DE7FD9" w:rsidRDefault="009F7D6F" w:rsidP="009F7D6F">
      <w:pPr>
        <w:pStyle w:val="Paragraph"/>
        <w:ind w:left="0"/>
        <w:rPr>
          <w:rFonts w:ascii="Times New Roman" w:hAnsi="Times New Roman"/>
          <w:sz w:val="22"/>
          <w:szCs w:val="22"/>
        </w:rPr>
      </w:pPr>
      <w:r w:rsidRPr="00640C5C">
        <w:rPr>
          <w:rFonts w:ascii="Times New Roman" w:hAnsi="Times New Roman"/>
          <w:sz w:val="22"/>
          <w:szCs w:val="22"/>
        </w:rPr>
        <w:lastRenderedPageBreak/>
        <w:t xml:space="preserve"> The Company has incurred recurring operating losses since inception</w:t>
      </w:r>
      <w:r>
        <w:rPr>
          <w:rFonts w:ascii="Times New Roman" w:hAnsi="Times New Roman"/>
          <w:sz w:val="22"/>
          <w:szCs w:val="22"/>
        </w:rPr>
        <w:t xml:space="preserve"> an</w:t>
      </w:r>
      <w:r w:rsidR="005A2C5D">
        <w:rPr>
          <w:rFonts w:ascii="Times New Roman" w:hAnsi="Times New Roman"/>
          <w:sz w:val="22"/>
          <w:szCs w:val="22"/>
        </w:rPr>
        <w:t>d only within the past</w:t>
      </w:r>
      <w:r w:rsidR="00B418BC">
        <w:rPr>
          <w:rFonts w:ascii="Times New Roman" w:hAnsi="Times New Roman"/>
          <w:sz w:val="22"/>
          <w:szCs w:val="22"/>
        </w:rPr>
        <w:t xml:space="preserve"> two fiscal</w:t>
      </w:r>
      <w:r w:rsidR="00E422CC">
        <w:rPr>
          <w:rFonts w:ascii="Times New Roman" w:hAnsi="Times New Roman"/>
          <w:sz w:val="22"/>
          <w:szCs w:val="22"/>
        </w:rPr>
        <w:t xml:space="preserve"> year</w:t>
      </w:r>
      <w:r w:rsidR="00B418BC">
        <w:rPr>
          <w:rFonts w:ascii="Times New Roman" w:hAnsi="Times New Roman"/>
          <w:sz w:val="22"/>
          <w:szCs w:val="22"/>
        </w:rPr>
        <w:t xml:space="preserve">s has it </w:t>
      </w:r>
      <w:r w:rsidR="00E422CC">
        <w:rPr>
          <w:rFonts w:ascii="Times New Roman" w:hAnsi="Times New Roman"/>
          <w:sz w:val="22"/>
          <w:szCs w:val="22"/>
        </w:rPr>
        <w:t>begun to</w:t>
      </w:r>
      <w:r w:rsidRPr="00640C5C">
        <w:rPr>
          <w:rFonts w:ascii="Times New Roman" w:hAnsi="Times New Roman"/>
          <w:sz w:val="22"/>
          <w:szCs w:val="22"/>
        </w:rPr>
        <w:t xml:space="preserve"> generate any operating revenues. </w:t>
      </w:r>
      <w:r w:rsidR="00672F7F">
        <w:rPr>
          <w:rFonts w:ascii="Times New Roman" w:hAnsi="Times New Roman"/>
          <w:sz w:val="22"/>
          <w:szCs w:val="22"/>
        </w:rPr>
        <w:t xml:space="preserve">In addition, the cost of compliance with regulatory reporting requirements continues to rise at a rate that is far higher than the rate of inflation. </w:t>
      </w:r>
      <w:r w:rsidRPr="00640C5C">
        <w:rPr>
          <w:rFonts w:ascii="Times New Roman" w:hAnsi="Times New Roman"/>
          <w:sz w:val="22"/>
          <w:szCs w:val="22"/>
        </w:rPr>
        <w:t xml:space="preserve">The Company </w:t>
      </w:r>
      <w:r>
        <w:rPr>
          <w:rFonts w:ascii="Times New Roman" w:hAnsi="Times New Roman"/>
          <w:sz w:val="22"/>
          <w:szCs w:val="22"/>
        </w:rPr>
        <w:t xml:space="preserve">will </w:t>
      </w:r>
      <w:r w:rsidRPr="00640C5C">
        <w:rPr>
          <w:rFonts w:ascii="Times New Roman" w:hAnsi="Times New Roman"/>
          <w:sz w:val="22"/>
          <w:szCs w:val="22"/>
        </w:rPr>
        <w:t xml:space="preserve">require additional funds to meet its obligations and maintain its operations. These conditions raise substantial doubt about the Company's ability to continue as a going concern. </w:t>
      </w:r>
    </w:p>
    <w:p w14:paraId="4251FEDC" w14:textId="72ED7BEF" w:rsidR="009F7D6F" w:rsidRDefault="009F7D6F" w:rsidP="009F7D6F">
      <w:pPr>
        <w:pStyle w:val="Paragraph"/>
        <w:ind w:left="0"/>
        <w:rPr>
          <w:rFonts w:ascii="Times New Roman" w:hAnsi="Times New Roman"/>
          <w:sz w:val="22"/>
          <w:szCs w:val="22"/>
        </w:rPr>
      </w:pPr>
      <w:r w:rsidRPr="00640C5C">
        <w:rPr>
          <w:rFonts w:ascii="Times New Roman" w:hAnsi="Times New Roman"/>
          <w:sz w:val="22"/>
          <w:szCs w:val="22"/>
        </w:rPr>
        <w:t>Management's plans in this regard are to raise equity financing through private or public equity investment to support existing operations and expand its business. There is no assurance that such additional funds will be available to the Company when required or on terms acceptable to the Company. The</w:t>
      </w:r>
      <w:r w:rsidR="00B418BC">
        <w:rPr>
          <w:rFonts w:ascii="Times New Roman" w:hAnsi="Times New Roman"/>
          <w:sz w:val="22"/>
          <w:szCs w:val="22"/>
        </w:rPr>
        <w:t xml:space="preserve"> </w:t>
      </w:r>
      <w:r w:rsidR="00690B9C">
        <w:rPr>
          <w:rFonts w:ascii="Times New Roman" w:hAnsi="Times New Roman"/>
          <w:sz w:val="22"/>
          <w:szCs w:val="22"/>
        </w:rPr>
        <w:t>June 30</w:t>
      </w:r>
      <w:r w:rsidR="00D92412">
        <w:rPr>
          <w:rFonts w:ascii="Times New Roman" w:hAnsi="Times New Roman"/>
          <w:sz w:val="22"/>
          <w:szCs w:val="22"/>
        </w:rPr>
        <w:t>, 2020</w:t>
      </w:r>
      <w:r w:rsidR="00B418BC">
        <w:rPr>
          <w:rFonts w:ascii="Times New Roman" w:hAnsi="Times New Roman"/>
          <w:sz w:val="22"/>
          <w:szCs w:val="22"/>
        </w:rPr>
        <w:t xml:space="preserve"> and</w:t>
      </w:r>
      <w:r w:rsidR="0062420A">
        <w:rPr>
          <w:rFonts w:ascii="Times New Roman" w:hAnsi="Times New Roman"/>
          <w:sz w:val="22"/>
          <w:szCs w:val="22"/>
        </w:rPr>
        <w:t xml:space="preserve"> </w:t>
      </w:r>
      <w:r w:rsidR="00690B9C">
        <w:rPr>
          <w:rFonts w:ascii="Times New Roman" w:hAnsi="Times New Roman"/>
          <w:sz w:val="22"/>
          <w:szCs w:val="22"/>
        </w:rPr>
        <w:t>June 30</w:t>
      </w:r>
      <w:r w:rsidR="0062420A">
        <w:rPr>
          <w:rFonts w:ascii="Times New Roman" w:hAnsi="Times New Roman"/>
          <w:sz w:val="22"/>
          <w:szCs w:val="22"/>
        </w:rPr>
        <w:t>,</w:t>
      </w:r>
      <w:r w:rsidR="00B418BC">
        <w:rPr>
          <w:rFonts w:ascii="Times New Roman" w:hAnsi="Times New Roman"/>
          <w:sz w:val="22"/>
          <w:szCs w:val="22"/>
        </w:rPr>
        <w:t xml:space="preserve"> 201</w:t>
      </w:r>
      <w:r w:rsidR="00D92412">
        <w:rPr>
          <w:rFonts w:ascii="Times New Roman" w:hAnsi="Times New Roman"/>
          <w:sz w:val="22"/>
          <w:szCs w:val="22"/>
        </w:rPr>
        <w:t>9</w:t>
      </w:r>
      <w:r w:rsidR="00B418BC">
        <w:rPr>
          <w:rFonts w:ascii="Times New Roman" w:hAnsi="Times New Roman"/>
          <w:sz w:val="22"/>
          <w:szCs w:val="22"/>
        </w:rPr>
        <w:t xml:space="preserve"> </w:t>
      </w:r>
      <w:r w:rsidR="004779C1">
        <w:rPr>
          <w:rFonts w:ascii="Times New Roman" w:hAnsi="Times New Roman"/>
          <w:sz w:val="22"/>
          <w:szCs w:val="22"/>
        </w:rPr>
        <w:t>un</w:t>
      </w:r>
      <w:r w:rsidR="00B418BC">
        <w:rPr>
          <w:rFonts w:ascii="Times New Roman" w:hAnsi="Times New Roman"/>
          <w:sz w:val="22"/>
          <w:szCs w:val="22"/>
        </w:rPr>
        <w:t>audited</w:t>
      </w:r>
      <w:r w:rsidR="004779C1">
        <w:rPr>
          <w:rFonts w:ascii="Times New Roman" w:hAnsi="Times New Roman"/>
          <w:sz w:val="22"/>
          <w:szCs w:val="22"/>
        </w:rPr>
        <w:t xml:space="preserve"> interim</w:t>
      </w:r>
      <w:r w:rsidR="00B418BC">
        <w:rPr>
          <w:rFonts w:ascii="Times New Roman" w:hAnsi="Times New Roman"/>
          <w:sz w:val="22"/>
          <w:szCs w:val="22"/>
        </w:rPr>
        <w:t xml:space="preserve"> </w:t>
      </w:r>
      <w:r w:rsidR="005A2C5D">
        <w:rPr>
          <w:rFonts w:ascii="Times New Roman" w:hAnsi="Times New Roman"/>
          <w:sz w:val="22"/>
          <w:szCs w:val="22"/>
        </w:rPr>
        <w:t>financial statements</w:t>
      </w:r>
      <w:r w:rsidRPr="00640C5C">
        <w:rPr>
          <w:rFonts w:ascii="Times New Roman" w:hAnsi="Times New Roman"/>
          <w:sz w:val="22"/>
          <w:szCs w:val="22"/>
        </w:rPr>
        <w:t xml:space="preserve"> do not include any adjustments </w:t>
      </w:r>
      <w:r>
        <w:rPr>
          <w:rFonts w:ascii="Times New Roman" w:hAnsi="Times New Roman"/>
          <w:sz w:val="22"/>
          <w:szCs w:val="22"/>
        </w:rPr>
        <w:t xml:space="preserve">that would be necessary to the carrying amounts and classifications of assets and liabilities </w:t>
      </w:r>
      <w:r w:rsidRPr="00640C5C">
        <w:rPr>
          <w:rFonts w:ascii="Times New Roman" w:hAnsi="Times New Roman"/>
          <w:sz w:val="22"/>
          <w:szCs w:val="22"/>
        </w:rPr>
        <w:t>that might result from this uncertainty.</w:t>
      </w:r>
    </w:p>
    <w:p w14:paraId="5EAB0F84" w14:textId="77777777" w:rsidR="000E2F08" w:rsidRPr="005942D3" w:rsidRDefault="004F36A0" w:rsidP="005942D3">
      <w:pPr>
        <w:pStyle w:val="Heading3"/>
        <w:pBdr>
          <w:top w:val="single" w:sz="4" w:space="1" w:color="auto"/>
          <w:bottom w:val="single" w:sz="4" w:space="1" w:color="auto"/>
        </w:pBdr>
        <w:rPr>
          <w:b/>
          <w:u w:val="none"/>
        </w:rPr>
      </w:pPr>
      <w:bookmarkStart w:id="10" w:name="_Toc379536669"/>
      <w:bookmarkStart w:id="11" w:name="_Toc34057621"/>
      <w:r w:rsidRPr="005942D3">
        <w:rPr>
          <w:b/>
          <w:u w:val="none"/>
        </w:rPr>
        <w:t xml:space="preserve">SELECTED </w:t>
      </w:r>
      <w:r w:rsidR="00C87C6B">
        <w:rPr>
          <w:b/>
          <w:u w:val="none"/>
        </w:rPr>
        <w:t>FINANCIAL</w:t>
      </w:r>
      <w:r w:rsidRPr="005942D3">
        <w:rPr>
          <w:b/>
          <w:u w:val="none"/>
        </w:rPr>
        <w:t xml:space="preserve"> INFORMATION</w:t>
      </w:r>
      <w:bookmarkEnd w:id="10"/>
      <w:bookmarkEnd w:id="11"/>
    </w:p>
    <w:p w14:paraId="637F33BC" w14:textId="77777777" w:rsidR="000E2F08" w:rsidRPr="004D37FD" w:rsidRDefault="000E2F08" w:rsidP="004A3A9A">
      <w:pPr>
        <w:pStyle w:val="BodyText2"/>
        <w:rPr>
          <w:szCs w:val="22"/>
        </w:rPr>
      </w:pPr>
    </w:p>
    <w:p w14:paraId="21F0AC02" w14:textId="74A35EAD" w:rsidR="000E2F08" w:rsidRDefault="000E2F08" w:rsidP="004A3A9A">
      <w:pPr>
        <w:jc w:val="both"/>
        <w:rPr>
          <w:szCs w:val="22"/>
        </w:rPr>
      </w:pPr>
      <w:r w:rsidRPr="004D37FD">
        <w:rPr>
          <w:szCs w:val="22"/>
        </w:rPr>
        <w:t xml:space="preserve">The following </w:t>
      </w:r>
      <w:r w:rsidR="00881B82" w:rsidRPr="004D37FD">
        <w:rPr>
          <w:szCs w:val="22"/>
        </w:rPr>
        <w:t>information has been extracted from t</w:t>
      </w:r>
      <w:r w:rsidRPr="004D37FD">
        <w:rPr>
          <w:szCs w:val="22"/>
        </w:rPr>
        <w:t xml:space="preserve">he </w:t>
      </w:r>
      <w:r w:rsidR="00AC1CE8" w:rsidRPr="004D37FD">
        <w:rPr>
          <w:szCs w:val="22"/>
        </w:rPr>
        <w:t>Company</w:t>
      </w:r>
      <w:r w:rsidRPr="004D37FD">
        <w:rPr>
          <w:szCs w:val="22"/>
        </w:rPr>
        <w:t>’s financial statement</w:t>
      </w:r>
      <w:r w:rsidR="00D71190">
        <w:rPr>
          <w:szCs w:val="22"/>
        </w:rPr>
        <w:t xml:space="preserve"> information </w:t>
      </w:r>
      <w:r w:rsidRPr="004D37FD">
        <w:rPr>
          <w:szCs w:val="22"/>
        </w:rPr>
        <w:t xml:space="preserve">for </w:t>
      </w:r>
      <w:r w:rsidR="00D45794">
        <w:rPr>
          <w:szCs w:val="22"/>
        </w:rPr>
        <w:t>the</w:t>
      </w:r>
      <w:r w:rsidR="00426848">
        <w:rPr>
          <w:szCs w:val="22"/>
        </w:rPr>
        <w:t xml:space="preserve"> </w:t>
      </w:r>
      <w:r w:rsidR="00610C4F">
        <w:rPr>
          <w:szCs w:val="22"/>
        </w:rPr>
        <w:t>nine-</w:t>
      </w:r>
      <w:r w:rsidR="00B418BC">
        <w:rPr>
          <w:szCs w:val="22"/>
        </w:rPr>
        <w:t>mo</w:t>
      </w:r>
      <w:r w:rsidR="00354686">
        <w:rPr>
          <w:szCs w:val="22"/>
        </w:rPr>
        <w:t xml:space="preserve">nth period ended </w:t>
      </w:r>
      <w:r w:rsidR="00610C4F">
        <w:rPr>
          <w:szCs w:val="22"/>
        </w:rPr>
        <w:t>June 20</w:t>
      </w:r>
      <w:r w:rsidR="00A32CE2">
        <w:rPr>
          <w:szCs w:val="22"/>
        </w:rPr>
        <w:t>, 2020</w:t>
      </w:r>
      <w:r w:rsidR="00354686">
        <w:rPr>
          <w:szCs w:val="22"/>
        </w:rPr>
        <w:t xml:space="preserve"> and the two most recently</w:t>
      </w:r>
      <w:r w:rsidR="00B418BC">
        <w:rPr>
          <w:szCs w:val="22"/>
        </w:rPr>
        <w:t xml:space="preserve"> completed financial years:</w:t>
      </w:r>
    </w:p>
    <w:p w14:paraId="2903941B" w14:textId="77777777" w:rsidR="00426848" w:rsidRPr="004D37FD" w:rsidRDefault="00426848" w:rsidP="004A3A9A">
      <w:pPr>
        <w:jc w:val="both"/>
        <w:rPr>
          <w:szCs w:val="22"/>
        </w:rPr>
      </w:pPr>
    </w:p>
    <w:tbl>
      <w:tblPr>
        <w:tblpPr w:leftFromText="180" w:rightFromText="180" w:vertAnchor="text" w:tblpY="1"/>
        <w:tblOverlap w:val="never"/>
        <w:tblW w:w="10188" w:type="dxa"/>
        <w:tblLayout w:type="fixed"/>
        <w:tblLook w:val="0000" w:firstRow="0" w:lastRow="0" w:firstColumn="0" w:lastColumn="0" w:noHBand="0" w:noVBand="0"/>
      </w:tblPr>
      <w:tblGrid>
        <w:gridCol w:w="516"/>
        <w:gridCol w:w="2739"/>
        <w:gridCol w:w="516"/>
        <w:gridCol w:w="1000"/>
        <w:gridCol w:w="2129"/>
        <w:gridCol w:w="1538"/>
        <w:gridCol w:w="1744"/>
        <w:gridCol w:w="6"/>
      </w:tblGrid>
      <w:tr w:rsidR="00B83B09" w:rsidRPr="001E2DE0" w14:paraId="43B356F2" w14:textId="77777777" w:rsidTr="00610C4F">
        <w:trPr>
          <w:trHeight w:val="270"/>
        </w:trPr>
        <w:tc>
          <w:tcPr>
            <w:tcW w:w="516" w:type="dxa"/>
            <w:noWrap/>
            <w:vAlign w:val="bottom"/>
          </w:tcPr>
          <w:p w14:paraId="09559F50" w14:textId="77777777" w:rsidR="00B83B09" w:rsidRPr="001E2DE0" w:rsidRDefault="00B83B09" w:rsidP="00307B33"/>
        </w:tc>
        <w:tc>
          <w:tcPr>
            <w:tcW w:w="2739" w:type="dxa"/>
            <w:noWrap/>
            <w:vAlign w:val="bottom"/>
          </w:tcPr>
          <w:p w14:paraId="34CD68D3" w14:textId="77777777" w:rsidR="00B83B09" w:rsidRPr="001E2DE0" w:rsidRDefault="00B83B09" w:rsidP="00307B33">
            <w:pPr>
              <w:jc w:val="right"/>
            </w:pPr>
            <w:r w:rsidRPr="001E2DE0">
              <w:t xml:space="preserve"> </w:t>
            </w:r>
          </w:p>
        </w:tc>
        <w:tc>
          <w:tcPr>
            <w:tcW w:w="516" w:type="dxa"/>
            <w:noWrap/>
            <w:vAlign w:val="bottom"/>
          </w:tcPr>
          <w:p w14:paraId="473B394C" w14:textId="77777777" w:rsidR="00B83B09" w:rsidRPr="001E2DE0" w:rsidRDefault="00B83B09" w:rsidP="00307B33">
            <w:pPr>
              <w:jc w:val="right"/>
            </w:pPr>
          </w:p>
        </w:tc>
        <w:tc>
          <w:tcPr>
            <w:tcW w:w="1000" w:type="dxa"/>
            <w:noWrap/>
            <w:vAlign w:val="bottom"/>
          </w:tcPr>
          <w:p w14:paraId="4611FFDC" w14:textId="77777777" w:rsidR="00B83B09" w:rsidRPr="001E2DE0" w:rsidRDefault="00B83B09" w:rsidP="00307B33">
            <w:pPr>
              <w:jc w:val="right"/>
            </w:pPr>
          </w:p>
        </w:tc>
        <w:tc>
          <w:tcPr>
            <w:tcW w:w="2129" w:type="dxa"/>
            <w:tcBorders>
              <w:bottom w:val="single" w:sz="4" w:space="0" w:color="auto"/>
            </w:tcBorders>
            <w:noWrap/>
            <w:vAlign w:val="bottom"/>
          </w:tcPr>
          <w:p w14:paraId="3B91804D" w14:textId="6121A0B5" w:rsidR="00B83B09" w:rsidRPr="007346E6" w:rsidRDefault="00AC4203" w:rsidP="00307B33">
            <w:pPr>
              <w:jc w:val="center"/>
            </w:pPr>
            <w:r>
              <w:t>June 30</w:t>
            </w:r>
            <w:r w:rsidR="00B83B09" w:rsidRPr="007346E6">
              <w:t xml:space="preserve"> </w:t>
            </w:r>
          </w:p>
          <w:p w14:paraId="57F3DA98" w14:textId="35B4C92B" w:rsidR="00B83B09" w:rsidRPr="007346E6" w:rsidRDefault="00B83B09" w:rsidP="00307B33">
            <w:pPr>
              <w:jc w:val="center"/>
            </w:pPr>
            <w:r w:rsidRPr="007346E6">
              <w:t>20</w:t>
            </w:r>
            <w:r w:rsidR="00A32CE2">
              <w:t>20</w:t>
            </w:r>
          </w:p>
        </w:tc>
        <w:tc>
          <w:tcPr>
            <w:tcW w:w="1538" w:type="dxa"/>
            <w:tcBorders>
              <w:bottom w:val="single" w:sz="4" w:space="0" w:color="auto"/>
            </w:tcBorders>
            <w:noWrap/>
            <w:vAlign w:val="bottom"/>
          </w:tcPr>
          <w:p w14:paraId="4115E424" w14:textId="77777777" w:rsidR="00B83B09" w:rsidRPr="007346E6" w:rsidRDefault="00B83B09" w:rsidP="00307B33">
            <w:pPr>
              <w:jc w:val="center"/>
            </w:pPr>
            <w:r w:rsidRPr="007346E6">
              <w:t xml:space="preserve">September 30 </w:t>
            </w:r>
          </w:p>
          <w:p w14:paraId="7FDE1AA2" w14:textId="3E1AAAA1" w:rsidR="00B83B09" w:rsidRPr="007346E6" w:rsidRDefault="00B83B09" w:rsidP="00307B33">
            <w:pPr>
              <w:jc w:val="center"/>
            </w:pPr>
            <w:r w:rsidRPr="007346E6">
              <w:t>201</w:t>
            </w:r>
            <w:r w:rsidR="00354686">
              <w:t>9</w:t>
            </w:r>
          </w:p>
        </w:tc>
        <w:tc>
          <w:tcPr>
            <w:tcW w:w="1750" w:type="dxa"/>
            <w:gridSpan w:val="2"/>
            <w:tcBorders>
              <w:bottom w:val="single" w:sz="4" w:space="0" w:color="auto"/>
            </w:tcBorders>
            <w:noWrap/>
            <w:vAlign w:val="bottom"/>
          </w:tcPr>
          <w:p w14:paraId="06B0A5BA" w14:textId="77777777" w:rsidR="00DD4813" w:rsidRDefault="001000F2" w:rsidP="00307B33">
            <w:pPr>
              <w:jc w:val="center"/>
            </w:pPr>
            <w:r>
              <w:t xml:space="preserve">    </w:t>
            </w:r>
          </w:p>
          <w:p w14:paraId="41D28133" w14:textId="63146E19" w:rsidR="00B83B09" w:rsidRPr="007346E6" w:rsidRDefault="00327A92" w:rsidP="00307B33">
            <w:pPr>
              <w:jc w:val="center"/>
            </w:pPr>
            <w:r>
              <w:t xml:space="preserve"> </w:t>
            </w:r>
            <w:r w:rsidR="00B83B09" w:rsidRPr="007346E6">
              <w:t>Septembe</w:t>
            </w:r>
            <w:r>
              <w:t xml:space="preserve">r </w:t>
            </w:r>
            <w:proofErr w:type="gramStart"/>
            <w:r w:rsidR="007346E6">
              <w:t xml:space="preserve">30 </w:t>
            </w:r>
            <w:r w:rsidR="00B83B09" w:rsidRPr="007346E6">
              <w:t xml:space="preserve"> 201</w:t>
            </w:r>
            <w:r w:rsidR="00354686">
              <w:t>8</w:t>
            </w:r>
            <w:proofErr w:type="gramEnd"/>
          </w:p>
        </w:tc>
      </w:tr>
      <w:tr w:rsidR="00B83B09" w:rsidRPr="001E2DE0" w14:paraId="65D46BFD" w14:textId="77777777" w:rsidTr="00610C4F">
        <w:trPr>
          <w:trHeight w:val="89"/>
        </w:trPr>
        <w:tc>
          <w:tcPr>
            <w:tcW w:w="516" w:type="dxa"/>
            <w:noWrap/>
            <w:vAlign w:val="bottom"/>
          </w:tcPr>
          <w:p w14:paraId="521B5E73" w14:textId="77777777" w:rsidR="00B83B09" w:rsidRPr="001E2DE0" w:rsidRDefault="00B83B09" w:rsidP="00307B33"/>
        </w:tc>
        <w:tc>
          <w:tcPr>
            <w:tcW w:w="2739" w:type="dxa"/>
            <w:noWrap/>
            <w:vAlign w:val="bottom"/>
          </w:tcPr>
          <w:p w14:paraId="7F034820" w14:textId="77777777" w:rsidR="00B83B09" w:rsidRPr="001E2DE0" w:rsidRDefault="00B83B09" w:rsidP="00307B33"/>
        </w:tc>
        <w:tc>
          <w:tcPr>
            <w:tcW w:w="516" w:type="dxa"/>
            <w:noWrap/>
            <w:vAlign w:val="bottom"/>
          </w:tcPr>
          <w:p w14:paraId="3BF2F879" w14:textId="77777777" w:rsidR="00B83B09" w:rsidRPr="001E2DE0" w:rsidRDefault="00B83B09" w:rsidP="00307B33"/>
        </w:tc>
        <w:tc>
          <w:tcPr>
            <w:tcW w:w="1000" w:type="dxa"/>
            <w:noWrap/>
            <w:vAlign w:val="bottom"/>
          </w:tcPr>
          <w:p w14:paraId="733315BE" w14:textId="77777777" w:rsidR="00B83B09" w:rsidRPr="001E2DE0" w:rsidRDefault="00B83B09" w:rsidP="00307B33"/>
        </w:tc>
        <w:tc>
          <w:tcPr>
            <w:tcW w:w="2129" w:type="dxa"/>
            <w:tcBorders>
              <w:top w:val="single" w:sz="4" w:space="0" w:color="auto"/>
            </w:tcBorders>
            <w:noWrap/>
            <w:vAlign w:val="bottom"/>
          </w:tcPr>
          <w:p w14:paraId="09D6076C" w14:textId="77777777" w:rsidR="00B83B09" w:rsidRPr="007346E6" w:rsidRDefault="00B83B09" w:rsidP="00307B33"/>
        </w:tc>
        <w:tc>
          <w:tcPr>
            <w:tcW w:w="1538" w:type="dxa"/>
            <w:tcBorders>
              <w:top w:val="single" w:sz="4" w:space="0" w:color="auto"/>
            </w:tcBorders>
            <w:noWrap/>
            <w:vAlign w:val="bottom"/>
          </w:tcPr>
          <w:p w14:paraId="72E77533" w14:textId="77777777" w:rsidR="00B83B09" w:rsidRPr="007346E6" w:rsidRDefault="00307B33" w:rsidP="00307B33">
            <w:r>
              <w:t xml:space="preserve">   </w:t>
            </w:r>
          </w:p>
        </w:tc>
        <w:tc>
          <w:tcPr>
            <w:tcW w:w="1750" w:type="dxa"/>
            <w:gridSpan w:val="2"/>
            <w:tcBorders>
              <w:top w:val="single" w:sz="4" w:space="0" w:color="auto"/>
            </w:tcBorders>
            <w:noWrap/>
            <w:vAlign w:val="bottom"/>
          </w:tcPr>
          <w:p w14:paraId="348823DC" w14:textId="77777777" w:rsidR="00B83B09" w:rsidRPr="001E2DE0" w:rsidRDefault="00B83B09" w:rsidP="00307B33">
            <w:pPr>
              <w:rPr>
                <w:b/>
              </w:rPr>
            </w:pPr>
          </w:p>
        </w:tc>
      </w:tr>
      <w:tr w:rsidR="00B83B09" w:rsidRPr="001E2DE0" w14:paraId="698B9CB1" w14:textId="77777777" w:rsidTr="00610C4F">
        <w:trPr>
          <w:trHeight w:val="255"/>
        </w:trPr>
        <w:tc>
          <w:tcPr>
            <w:tcW w:w="516" w:type="dxa"/>
            <w:noWrap/>
            <w:vAlign w:val="bottom"/>
          </w:tcPr>
          <w:p w14:paraId="213FA42D" w14:textId="77777777" w:rsidR="00B83B09" w:rsidRPr="001E2DE0" w:rsidRDefault="00B83B09" w:rsidP="00307B33"/>
        </w:tc>
        <w:tc>
          <w:tcPr>
            <w:tcW w:w="2739" w:type="dxa"/>
            <w:noWrap/>
            <w:vAlign w:val="bottom"/>
          </w:tcPr>
          <w:p w14:paraId="218A0EF8" w14:textId="77777777" w:rsidR="00B83B09" w:rsidRPr="001E2DE0" w:rsidRDefault="00B83B09" w:rsidP="00307B33"/>
        </w:tc>
        <w:tc>
          <w:tcPr>
            <w:tcW w:w="516" w:type="dxa"/>
            <w:noWrap/>
            <w:vAlign w:val="bottom"/>
          </w:tcPr>
          <w:p w14:paraId="486CF18C" w14:textId="77777777" w:rsidR="00B83B09" w:rsidRPr="001E2DE0" w:rsidRDefault="00B83B09" w:rsidP="00307B33"/>
        </w:tc>
        <w:tc>
          <w:tcPr>
            <w:tcW w:w="1000" w:type="dxa"/>
            <w:noWrap/>
            <w:vAlign w:val="bottom"/>
          </w:tcPr>
          <w:p w14:paraId="167B5D35" w14:textId="77777777" w:rsidR="00B83B09" w:rsidRPr="001E2DE0" w:rsidRDefault="00B83B09" w:rsidP="00307B33"/>
        </w:tc>
        <w:tc>
          <w:tcPr>
            <w:tcW w:w="2129" w:type="dxa"/>
            <w:noWrap/>
            <w:vAlign w:val="bottom"/>
          </w:tcPr>
          <w:p w14:paraId="15B36976" w14:textId="77777777" w:rsidR="00B83B09" w:rsidRPr="007346E6" w:rsidRDefault="00B83B09" w:rsidP="00307B33"/>
        </w:tc>
        <w:tc>
          <w:tcPr>
            <w:tcW w:w="1538" w:type="dxa"/>
            <w:noWrap/>
            <w:vAlign w:val="bottom"/>
          </w:tcPr>
          <w:p w14:paraId="1EE197FB" w14:textId="77777777" w:rsidR="00B83B09" w:rsidRPr="007346E6" w:rsidRDefault="00B83B09" w:rsidP="00307B33"/>
        </w:tc>
        <w:tc>
          <w:tcPr>
            <w:tcW w:w="1750" w:type="dxa"/>
            <w:gridSpan w:val="2"/>
            <w:noWrap/>
            <w:vAlign w:val="bottom"/>
          </w:tcPr>
          <w:p w14:paraId="4F902FEE" w14:textId="77777777" w:rsidR="00B83B09" w:rsidRPr="002D04D4" w:rsidRDefault="00B83B09" w:rsidP="00307B33">
            <w:pPr>
              <w:rPr>
                <w:b/>
              </w:rPr>
            </w:pPr>
          </w:p>
        </w:tc>
      </w:tr>
      <w:tr w:rsidR="00B83B09" w:rsidRPr="001E2DE0" w14:paraId="5D63854B" w14:textId="77777777" w:rsidTr="00610C4F">
        <w:trPr>
          <w:trHeight w:val="255"/>
        </w:trPr>
        <w:tc>
          <w:tcPr>
            <w:tcW w:w="516" w:type="dxa"/>
            <w:noWrap/>
            <w:vAlign w:val="bottom"/>
          </w:tcPr>
          <w:p w14:paraId="2C072D56" w14:textId="77777777" w:rsidR="00B83B09" w:rsidRPr="001E2DE0" w:rsidRDefault="00793C2A" w:rsidP="00307B33">
            <w:pPr>
              <w:jc w:val="center"/>
            </w:pPr>
            <w:r>
              <w:t>(</w:t>
            </w:r>
            <w:proofErr w:type="spellStart"/>
            <w:r>
              <w:t>i</w:t>
            </w:r>
            <w:proofErr w:type="spellEnd"/>
            <w:r>
              <w:t>)</w:t>
            </w:r>
          </w:p>
        </w:tc>
        <w:tc>
          <w:tcPr>
            <w:tcW w:w="2739" w:type="dxa"/>
            <w:noWrap/>
            <w:vAlign w:val="bottom"/>
          </w:tcPr>
          <w:p w14:paraId="2A62F976" w14:textId="77777777" w:rsidR="00B83B09" w:rsidRPr="001E2DE0" w:rsidRDefault="00582A42" w:rsidP="00307B33">
            <w:r>
              <w:t>Revenue</w:t>
            </w:r>
          </w:p>
        </w:tc>
        <w:tc>
          <w:tcPr>
            <w:tcW w:w="516" w:type="dxa"/>
            <w:noWrap/>
            <w:vAlign w:val="bottom"/>
          </w:tcPr>
          <w:p w14:paraId="3208E6B4" w14:textId="77777777" w:rsidR="00B83B09" w:rsidRPr="001E2DE0" w:rsidRDefault="00B83B09" w:rsidP="00307B33">
            <w:pPr>
              <w:ind w:firstLineChars="100" w:firstLine="220"/>
            </w:pPr>
          </w:p>
        </w:tc>
        <w:tc>
          <w:tcPr>
            <w:tcW w:w="1000" w:type="dxa"/>
            <w:noWrap/>
            <w:vAlign w:val="bottom"/>
          </w:tcPr>
          <w:p w14:paraId="1A876222" w14:textId="61D5FBFA" w:rsidR="00B83B09" w:rsidRPr="001E2DE0" w:rsidRDefault="00610C4F" w:rsidP="00307B33">
            <w:pPr>
              <w:ind w:firstLineChars="100" w:firstLine="220"/>
            </w:pPr>
            <w:r>
              <w:t xml:space="preserve">                 </w:t>
            </w:r>
          </w:p>
        </w:tc>
        <w:tc>
          <w:tcPr>
            <w:tcW w:w="2129" w:type="dxa"/>
            <w:noWrap/>
            <w:vAlign w:val="bottom"/>
          </w:tcPr>
          <w:p w14:paraId="56CC648D" w14:textId="590432A7" w:rsidR="00B83B09" w:rsidRPr="007346E6" w:rsidRDefault="002E0E09" w:rsidP="000B3A61">
            <w:pPr>
              <w:jc w:val="center"/>
            </w:pPr>
            <w:r>
              <w:t xml:space="preserve">          </w:t>
            </w:r>
            <w:r w:rsidR="00610C4F">
              <w:t xml:space="preserve">               </w:t>
            </w:r>
            <w:r>
              <w:t>$</w:t>
            </w:r>
            <w:r w:rsidR="00610C4F">
              <w:t>177,290</w:t>
            </w:r>
          </w:p>
        </w:tc>
        <w:tc>
          <w:tcPr>
            <w:tcW w:w="1538" w:type="dxa"/>
            <w:noWrap/>
            <w:vAlign w:val="bottom"/>
          </w:tcPr>
          <w:p w14:paraId="7A3A69E2" w14:textId="2F190E16" w:rsidR="00B83B09" w:rsidRPr="007346E6" w:rsidRDefault="00B83B09" w:rsidP="00307B33">
            <w:pPr>
              <w:jc w:val="right"/>
            </w:pPr>
            <w:r w:rsidRPr="007346E6">
              <w:t xml:space="preserve"> $</w:t>
            </w:r>
            <w:r w:rsidR="000B3A61">
              <w:t>3</w:t>
            </w:r>
            <w:r w:rsidR="00354686">
              <w:t>,585</w:t>
            </w:r>
          </w:p>
        </w:tc>
        <w:tc>
          <w:tcPr>
            <w:tcW w:w="1750" w:type="dxa"/>
            <w:gridSpan w:val="2"/>
            <w:noWrap/>
            <w:vAlign w:val="bottom"/>
          </w:tcPr>
          <w:p w14:paraId="2DFCFC30" w14:textId="65841AAA" w:rsidR="00B83B09" w:rsidRPr="00DA6337" w:rsidRDefault="00B83B09" w:rsidP="00307B33">
            <w:pPr>
              <w:jc w:val="right"/>
            </w:pPr>
            <w:r w:rsidRPr="00DA6337">
              <w:t xml:space="preserve"> $</w:t>
            </w:r>
            <w:r w:rsidR="00354686">
              <w:t>32,017</w:t>
            </w:r>
            <w:r w:rsidRPr="00DA6337">
              <w:t xml:space="preserve"> </w:t>
            </w:r>
          </w:p>
        </w:tc>
      </w:tr>
      <w:tr w:rsidR="00793C2A" w:rsidRPr="001E2DE0" w14:paraId="67781453" w14:textId="77777777" w:rsidTr="00610C4F">
        <w:trPr>
          <w:trHeight w:val="255"/>
        </w:trPr>
        <w:tc>
          <w:tcPr>
            <w:tcW w:w="516" w:type="dxa"/>
            <w:noWrap/>
            <w:vAlign w:val="bottom"/>
          </w:tcPr>
          <w:p w14:paraId="4DFD6F81" w14:textId="77777777" w:rsidR="00793C2A" w:rsidRDefault="00793C2A" w:rsidP="00307B33">
            <w:pPr>
              <w:jc w:val="center"/>
            </w:pPr>
          </w:p>
        </w:tc>
        <w:tc>
          <w:tcPr>
            <w:tcW w:w="2739" w:type="dxa"/>
            <w:noWrap/>
            <w:vAlign w:val="bottom"/>
          </w:tcPr>
          <w:p w14:paraId="0EAB78DD" w14:textId="77777777" w:rsidR="00793C2A" w:rsidRDefault="00793C2A" w:rsidP="00307B33"/>
        </w:tc>
        <w:tc>
          <w:tcPr>
            <w:tcW w:w="516" w:type="dxa"/>
            <w:noWrap/>
            <w:vAlign w:val="bottom"/>
          </w:tcPr>
          <w:p w14:paraId="63487752" w14:textId="77777777" w:rsidR="00793C2A" w:rsidRPr="001E2DE0" w:rsidRDefault="00793C2A" w:rsidP="00307B33">
            <w:pPr>
              <w:ind w:firstLineChars="100" w:firstLine="220"/>
            </w:pPr>
          </w:p>
        </w:tc>
        <w:tc>
          <w:tcPr>
            <w:tcW w:w="1000" w:type="dxa"/>
            <w:noWrap/>
            <w:vAlign w:val="bottom"/>
          </w:tcPr>
          <w:p w14:paraId="6E16781A" w14:textId="77777777" w:rsidR="00793C2A" w:rsidRPr="001E2DE0" w:rsidRDefault="00793C2A" w:rsidP="00307B33">
            <w:pPr>
              <w:ind w:firstLineChars="100" w:firstLine="220"/>
            </w:pPr>
          </w:p>
        </w:tc>
        <w:tc>
          <w:tcPr>
            <w:tcW w:w="2129" w:type="dxa"/>
            <w:noWrap/>
            <w:vAlign w:val="bottom"/>
          </w:tcPr>
          <w:p w14:paraId="6F0A6C30" w14:textId="77777777" w:rsidR="00793C2A" w:rsidRPr="007346E6" w:rsidRDefault="00793C2A" w:rsidP="00307B33">
            <w:pPr>
              <w:jc w:val="right"/>
            </w:pPr>
          </w:p>
        </w:tc>
        <w:tc>
          <w:tcPr>
            <w:tcW w:w="1538" w:type="dxa"/>
            <w:noWrap/>
            <w:vAlign w:val="bottom"/>
          </w:tcPr>
          <w:p w14:paraId="7DE55942" w14:textId="77777777" w:rsidR="00793C2A" w:rsidRPr="007346E6" w:rsidRDefault="00793C2A" w:rsidP="00307B33">
            <w:pPr>
              <w:jc w:val="right"/>
            </w:pPr>
          </w:p>
        </w:tc>
        <w:tc>
          <w:tcPr>
            <w:tcW w:w="1750" w:type="dxa"/>
            <w:gridSpan w:val="2"/>
            <w:noWrap/>
            <w:vAlign w:val="bottom"/>
          </w:tcPr>
          <w:p w14:paraId="629E2180" w14:textId="77777777" w:rsidR="00793C2A" w:rsidRPr="00DA6337" w:rsidRDefault="00793C2A" w:rsidP="00307B33">
            <w:pPr>
              <w:jc w:val="right"/>
            </w:pPr>
          </w:p>
        </w:tc>
      </w:tr>
      <w:tr w:rsidR="00B83B09" w:rsidRPr="001E2DE0" w14:paraId="31DA0FB5" w14:textId="77777777" w:rsidTr="00610C4F">
        <w:trPr>
          <w:trHeight w:val="255"/>
        </w:trPr>
        <w:tc>
          <w:tcPr>
            <w:tcW w:w="516" w:type="dxa"/>
            <w:noWrap/>
            <w:vAlign w:val="bottom"/>
          </w:tcPr>
          <w:p w14:paraId="04B0926B" w14:textId="77777777" w:rsidR="00B83B09" w:rsidRPr="001E2DE0" w:rsidRDefault="00B83B09" w:rsidP="00307B33">
            <w:pPr>
              <w:jc w:val="center"/>
            </w:pPr>
            <w:r w:rsidRPr="001E2DE0">
              <w:t xml:space="preserve">(ii) </w:t>
            </w:r>
          </w:p>
        </w:tc>
        <w:tc>
          <w:tcPr>
            <w:tcW w:w="2739" w:type="dxa"/>
            <w:noWrap/>
            <w:vAlign w:val="bottom"/>
          </w:tcPr>
          <w:p w14:paraId="04EDB352" w14:textId="77777777" w:rsidR="00B83B09" w:rsidRPr="001E2DE0" w:rsidRDefault="0062420A" w:rsidP="00307B33">
            <w:r>
              <w:t>Net loss</w:t>
            </w:r>
          </w:p>
        </w:tc>
        <w:tc>
          <w:tcPr>
            <w:tcW w:w="516" w:type="dxa"/>
            <w:noWrap/>
            <w:vAlign w:val="bottom"/>
          </w:tcPr>
          <w:p w14:paraId="2E04F6DB" w14:textId="77777777" w:rsidR="00B83B09" w:rsidRPr="001E2DE0" w:rsidRDefault="00B83B09" w:rsidP="00307B33"/>
        </w:tc>
        <w:tc>
          <w:tcPr>
            <w:tcW w:w="1000" w:type="dxa"/>
            <w:noWrap/>
            <w:vAlign w:val="bottom"/>
          </w:tcPr>
          <w:p w14:paraId="0F7EED87" w14:textId="77777777" w:rsidR="00B83B09" w:rsidRPr="001E2DE0" w:rsidRDefault="00B83B09" w:rsidP="00307B33"/>
        </w:tc>
        <w:tc>
          <w:tcPr>
            <w:tcW w:w="2129" w:type="dxa"/>
            <w:noWrap/>
            <w:vAlign w:val="bottom"/>
          </w:tcPr>
          <w:p w14:paraId="136B0FD7" w14:textId="77777777" w:rsidR="00B83B09" w:rsidRPr="007346E6" w:rsidRDefault="00B83B09" w:rsidP="00307B33">
            <w:pPr>
              <w:jc w:val="right"/>
            </w:pPr>
          </w:p>
        </w:tc>
        <w:tc>
          <w:tcPr>
            <w:tcW w:w="1538" w:type="dxa"/>
            <w:noWrap/>
            <w:vAlign w:val="bottom"/>
          </w:tcPr>
          <w:p w14:paraId="0D4B5CA3" w14:textId="77777777" w:rsidR="00B83B09" w:rsidRPr="007346E6" w:rsidRDefault="00B83B09" w:rsidP="00307B33">
            <w:pPr>
              <w:jc w:val="right"/>
            </w:pPr>
          </w:p>
        </w:tc>
        <w:tc>
          <w:tcPr>
            <w:tcW w:w="1750" w:type="dxa"/>
            <w:gridSpan w:val="2"/>
            <w:noWrap/>
            <w:vAlign w:val="bottom"/>
          </w:tcPr>
          <w:p w14:paraId="1F2D8F2A" w14:textId="77777777" w:rsidR="00B83B09" w:rsidRPr="00DA6337" w:rsidRDefault="00B83B09" w:rsidP="00307B33">
            <w:pPr>
              <w:jc w:val="right"/>
            </w:pPr>
          </w:p>
        </w:tc>
      </w:tr>
      <w:tr w:rsidR="00B83B09" w:rsidRPr="001E2DE0" w14:paraId="0B957ACB" w14:textId="77777777" w:rsidTr="00610C4F">
        <w:trPr>
          <w:trHeight w:val="255"/>
        </w:trPr>
        <w:tc>
          <w:tcPr>
            <w:tcW w:w="516" w:type="dxa"/>
            <w:noWrap/>
            <w:vAlign w:val="bottom"/>
          </w:tcPr>
          <w:p w14:paraId="1599573E" w14:textId="77777777" w:rsidR="00B83B09" w:rsidRPr="001E2DE0" w:rsidRDefault="00B83B09" w:rsidP="00307B33">
            <w:pPr>
              <w:jc w:val="center"/>
            </w:pPr>
          </w:p>
        </w:tc>
        <w:tc>
          <w:tcPr>
            <w:tcW w:w="2739" w:type="dxa"/>
            <w:noWrap/>
            <w:vAlign w:val="bottom"/>
          </w:tcPr>
          <w:p w14:paraId="36B499C0" w14:textId="77777777" w:rsidR="00B83B09" w:rsidRPr="001E2DE0" w:rsidRDefault="00B83B09" w:rsidP="00307B33">
            <w:pPr>
              <w:ind w:firstLineChars="100" w:firstLine="220"/>
            </w:pPr>
            <w:r w:rsidRPr="001E2DE0">
              <w:t>(</w:t>
            </w:r>
            <w:proofErr w:type="spellStart"/>
            <w:r w:rsidRPr="001E2DE0">
              <w:t>i</w:t>
            </w:r>
            <w:proofErr w:type="spellEnd"/>
            <w:r w:rsidRPr="001E2DE0">
              <w:t>) in total</w:t>
            </w:r>
          </w:p>
        </w:tc>
        <w:tc>
          <w:tcPr>
            <w:tcW w:w="516" w:type="dxa"/>
            <w:noWrap/>
            <w:vAlign w:val="bottom"/>
          </w:tcPr>
          <w:p w14:paraId="497B2561" w14:textId="77777777" w:rsidR="00B83B09" w:rsidRPr="001E2DE0" w:rsidRDefault="00B83B09" w:rsidP="00307B33">
            <w:pPr>
              <w:ind w:firstLineChars="100" w:firstLine="220"/>
            </w:pPr>
          </w:p>
        </w:tc>
        <w:tc>
          <w:tcPr>
            <w:tcW w:w="1000" w:type="dxa"/>
            <w:noWrap/>
            <w:vAlign w:val="bottom"/>
          </w:tcPr>
          <w:p w14:paraId="1455D0C9" w14:textId="77777777" w:rsidR="00B83B09" w:rsidRPr="001E2DE0" w:rsidRDefault="00B83B09" w:rsidP="00307B33">
            <w:pPr>
              <w:ind w:firstLineChars="100" w:firstLine="220"/>
            </w:pPr>
          </w:p>
        </w:tc>
        <w:tc>
          <w:tcPr>
            <w:tcW w:w="2129" w:type="dxa"/>
            <w:noWrap/>
            <w:vAlign w:val="bottom"/>
          </w:tcPr>
          <w:p w14:paraId="3B375AA1" w14:textId="511ECB0A" w:rsidR="00B83B09" w:rsidRPr="007346E6" w:rsidRDefault="00610C4F" w:rsidP="00610C4F">
            <w:r>
              <w:t xml:space="preserve">        </w:t>
            </w:r>
            <w:r w:rsidR="002E0E09">
              <w:t xml:space="preserve"> $</w:t>
            </w:r>
            <w:r>
              <w:t>(120,850)</w:t>
            </w:r>
          </w:p>
        </w:tc>
        <w:tc>
          <w:tcPr>
            <w:tcW w:w="1538" w:type="dxa"/>
            <w:noWrap/>
            <w:vAlign w:val="bottom"/>
          </w:tcPr>
          <w:p w14:paraId="559CA163" w14:textId="1AE7FD84" w:rsidR="00B83B09" w:rsidRPr="007346E6" w:rsidRDefault="00A52A88" w:rsidP="00307B33">
            <w:pPr>
              <w:jc w:val="right"/>
            </w:pPr>
            <w:r>
              <w:t xml:space="preserve">     </w:t>
            </w:r>
            <w:r w:rsidR="00B83B09" w:rsidRPr="007346E6">
              <w:t xml:space="preserve"> $</w:t>
            </w:r>
            <w:r w:rsidR="00354686">
              <w:t>(112,536)</w:t>
            </w:r>
          </w:p>
        </w:tc>
        <w:tc>
          <w:tcPr>
            <w:tcW w:w="1750" w:type="dxa"/>
            <w:gridSpan w:val="2"/>
            <w:noWrap/>
            <w:vAlign w:val="bottom"/>
          </w:tcPr>
          <w:p w14:paraId="74E83711" w14:textId="231D2967" w:rsidR="00B83B09" w:rsidRPr="00DA6337" w:rsidRDefault="00B83B09" w:rsidP="00307B33">
            <w:pPr>
              <w:jc w:val="right"/>
            </w:pPr>
            <w:r w:rsidRPr="00DA6337">
              <w:t xml:space="preserve"> $ (</w:t>
            </w:r>
            <w:r w:rsidR="00354686">
              <w:t>71,965</w:t>
            </w:r>
            <w:r w:rsidRPr="00DA6337">
              <w:t>)</w:t>
            </w:r>
          </w:p>
        </w:tc>
      </w:tr>
      <w:tr w:rsidR="00B83B09" w:rsidRPr="001E2DE0" w14:paraId="754156C5" w14:textId="77777777" w:rsidTr="00610C4F">
        <w:trPr>
          <w:trHeight w:val="255"/>
        </w:trPr>
        <w:tc>
          <w:tcPr>
            <w:tcW w:w="516" w:type="dxa"/>
            <w:noWrap/>
            <w:vAlign w:val="bottom"/>
          </w:tcPr>
          <w:p w14:paraId="00947BB7" w14:textId="77777777" w:rsidR="00B83B09" w:rsidRPr="001E2DE0" w:rsidRDefault="00B83B09" w:rsidP="00307B33">
            <w:pPr>
              <w:jc w:val="center"/>
            </w:pPr>
          </w:p>
        </w:tc>
        <w:tc>
          <w:tcPr>
            <w:tcW w:w="2739" w:type="dxa"/>
            <w:noWrap/>
            <w:vAlign w:val="bottom"/>
          </w:tcPr>
          <w:p w14:paraId="5B5AD746" w14:textId="77777777" w:rsidR="00B83B09" w:rsidRPr="001E2DE0" w:rsidRDefault="00B83B09" w:rsidP="00307B33">
            <w:pPr>
              <w:ind w:firstLineChars="100" w:firstLine="220"/>
            </w:pPr>
            <w:r w:rsidRPr="001E2DE0">
              <w:t>(ii) per share ¹</w:t>
            </w:r>
          </w:p>
        </w:tc>
        <w:tc>
          <w:tcPr>
            <w:tcW w:w="516" w:type="dxa"/>
            <w:noWrap/>
            <w:vAlign w:val="bottom"/>
          </w:tcPr>
          <w:p w14:paraId="47017052" w14:textId="77777777" w:rsidR="00B83B09" w:rsidRPr="001E2DE0" w:rsidRDefault="00B83B09" w:rsidP="00307B33">
            <w:pPr>
              <w:ind w:firstLineChars="100" w:firstLine="220"/>
            </w:pPr>
          </w:p>
        </w:tc>
        <w:tc>
          <w:tcPr>
            <w:tcW w:w="1000" w:type="dxa"/>
            <w:noWrap/>
            <w:vAlign w:val="bottom"/>
          </w:tcPr>
          <w:p w14:paraId="1D3EE191" w14:textId="77777777" w:rsidR="00B83B09" w:rsidRPr="001E2DE0" w:rsidRDefault="00B83B09" w:rsidP="00307B33">
            <w:pPr>
              <w:ind w:firstLineChars="100" w:firstLine="220"/>
            </w:pPr>
          </w:p>
        </w:tc>
        <w:tc>
          <w:tcPr>
            <w:tcW w:w="2129" w:type="dxa"/>
            <w:noWrap/>
            <w:vAlign w:val="bottom"/>
          </w:tcPr>
          <w:p w14:paraId="1060411C" w14:textId="25602416" w:rsidR="00B83B09" w:rsidRPr="007346E6" w:rsidRDefault="002E0E09" w:rsidP="000B3A61">
            <w:pPr>
              <w:jc w:val="center"/>
            </w:pPr>
            <w:r>
              <w:t xml:space="preserve">   </w:t>
            </w:r>
            <w:r w:rsidR="00610C4F">
              <w:t xml:space="preserve"> </w:t>
            </w:r>
            <w:r>
              <w:t>($0.00)</w:t>
            </w:r>
          </w:p>
        </w:tc>
        <w:tc>
          <w:tcPr>
            <w:tcW w:w="1538" w:type="dxa"/>
            <w:noWrap/>
            <w:vAlign w:val="bottom"/>
          </w:tcPr>
          <w:p w14:paraId="57AE82F2" w14:textId="77777777" w:rsidR="00B83B09" w:rsidRPr="007346E6" w:rsidRDefault="00B83B09" w:rsidP="00307B33">
            <w:pPr>
              <w:jc w:val="right"/>
            </w:pPr>
            <w:r w:rsidRPr="007346E6">
              <w:t>($0.0</w:t>
            </w:r>
            <w:r w:rsidR="00364FE5">
              <w:t>0</w:t>
            </w:r>
            <w:r w:rsidRPr="007346E6">
              <w:t>)</w:t>
            </w:r>
          </w:p>
        </w:tc>
        <w:tc>
          <w:tcPr>
            <w:tcW w:w="1750" w:type="dxa"/>
            <w:gridSpan w:val="2"/>
            <w:noWrap/>
            <w:vAlign w:val="bottom"/>
          </w:tcPr>
          <w:p w14:paraId="5CE26B75" w14:textId="77777777" w:rsidR="00B83B09" w:rsidRPr="00DA6337" w:rsidRDefault="00B83B09" w:rsidP="00307B33">
            <w:pPr>
              <w:jc w:val="right"/>
            </w:pPr>
            <w:r w:rsidRPr="00DA6337">
              <w:t>($0.</w:t>
            </w:r>
            <w:r w:rsidR="000B3A61">
              <w:t>00</w:t>
            </w:r>
            <w:r w:rsidRPr="00DA6337">
              <w:t>)</w:t>
            </w:r>
          </w:p>
        </w:tc>
      </w:tr>
      <w:tr w:rsidR="00B83B09" w:rsidRPr="001E2DE0" w14:paraId="529AB6D1" w14:textId="77777777" w:rsidTr="00610C4F">
        <w:trPr>
          <w:trHeight w:val="255"/>
        </w:trPr>
        <w:tc>
          <w:tcPr>
            <w:tcW w:w="516" w:type="dxa"/>
            <w:noWrap/>
            <w:vAlign w:val="bottom"/>
          </w:tcPr>
          <w:p w14:paraId="66AAB9A7" w14:textId="77777777" w:rsidR="00B83B09" w:rsidRPr="001E2DE0" w:rsidRDefault="00B83B09" w:rsidP="00307B33">
            <w:pPr>
              <w:jc w:val="center"/>
            </w:pPr>
            <w:r w:rsidRPr="001E2DE0">
              <w:t>(iii</w:t>
            </w:r>
          </w:p>
        </w:tc>
        <w:tc>
          <w:tcPr>
            <w:tcW w:w="2739" w:type="dxa"/>
            <w:noWrap/>
            <w:vAlign w:val="bottom"/>
          </w:tcPr>
          <w:p w14:paraId="3EA11FB3" w14:textId="77777777" w:rsidR="00B83B09" w:rsidRPr="001E2DE0" w:rsidRDefault="00B83B09" w:rsidP="00307B33">
            <w:r w:rsidRPr="001E2DE0">
              <w:t>Total assets</w:t>
            </w:r>
          </w:p>
        </w:tc>
        <w:tc>
          <w:tcPr>
            <w:tcW w:w="516" w:type="dxa"/>
            <w:noWrap/>
            <w:vAlign w:val="bottom"/>
          </w:tcPr>
          <w:p w14:paraId="4649DC4F" w14:textId="77777777" w:rsidR="00B83B09" w:rsidRPr="001E2DE0" w:rsidRDefault="00B83B09" w:rsidP="00307B33">
            <w:pPr>
              <w:ind w:firstLineChars="100" w:firstLine="220"/>
            </w:pPr>
          </w:p>
        </w:tc>
        <w:tc>
          <w:tcPr>
            <w:tcW w:w="1000" w:type="dxa"/>
            <w:noWrap/>
            <w:vAlign w:val="bottom"/>
          </w:tcPr>
          <w:p w14:paraId="1A95AB14" w14:textId="77777777" w:rsidR="00B83B09" w:rsidRPr="001E2DE0" w:rsidRDefault="00B83B09" w:rsidP="00307B33">
            <w:pPr>
              <w:ind w:firstLineChars="100" w:firstLine="220"/>
            </w:pPr>
          </w:p>
        </w:tc>
        <w:tc>
          <w:tcPr>
            <w:tcW w:w="2129" w:type="dxa"/>
            <w:noWrap/>
            <w:vAlign w:val="bottom"/>
          </w:tcPr>
          <w:p w14:paraId="7AD0D2B6" w14:textId="74553795" w:rsidR="00B83B09" w:rsidRPr="007346E6" w:rsidRDefault="002E0E09" w:rsidP="002E0E09">
            <w:pPr>
              <w:jc w:val="center"/>
            </w:pPr>
            <w:r>
              <w:t xml:space="preserve">  </w:t>
            </w:r>
            <w:r w:rsidR="00610C4F">
              <w:t>$992,913</w:t>
            </w:r>
          </w:p>
        </w:tc>
        <w:tc>
          <w:tcPr>
            <w:tcW w:w="1538" w:type="dxa"/>
            <w:noWrap/>
            <w:vAlign w:val="bottom"/>
          </w:tcPr>
          <w:p w14:paraId="38309604" w14:textId="4ECD545C" w:rsidR="00B83B09" w:rsidRPr="00E10315" w:rsidRDefault="00B83B09" w:rsidP="00307B33">
            <w:pPr>
              <w:jc w:val="right"/>
            </w:pPr>
            <w:r w:rsidRPr="00E10315">
              <w:rPr>
                <w:b/>
              </w:rPr>
              <w:t xml:space="preserve"> </w:t>
            </w:r>
            <w:r w:rsidRPr="00E10315">
              <w:t>$</w:t>
            </w:r>
            <w:r w:rsidR="00354686">
              <w:t>622,213</w:t>
            </w:r>
          </w:p>
        </w:tc>
        <w:tc>
          <w:tcPr>
            <w:tcW w:w="1750" w:type="dxa"/>
            <w:gridSpan w:val="2"/>
            <w:noWrap/>
            <w:vAlign w:val="bottom"/>
          </w:tcPr>
          <w:p w14:paraId="3AF7E1B5" w14:textId="2547E72E" w:rsidR="00B83B09" w:rsidRPr="00DA6337" w:rsidRDefault="00B83B09" w:rsidP="00307B33">
            <w:pPr>
              <w:jc w:val="right"/>
            </w:pPr>
            <w:r w:rsidRPr="00DA6337">
              <w:t xml:space="preserve"> $ </w:t>
            </w:r>
            <w:r w:rsidR="00354686">
              <w:t>175,191</w:t>
            </w:r>
          </w:p>
        </w:tc>
      </w:tr>
      <w:tr w:rsidR="00B83B09" w:rsidRPr="001E2DE0" w14:paraId="5F865D4B" w14:textId="77777777" w:rsidTr="00610C4F">
        <w:trPr>
          <w:trHeight w:val="255"/>
        </w:trPr>
        <w:tc>
          <w:tcPr>
            <w:tcW w:w="516" w:type="dxa"/>
            <w:noWrap/>
            <w:vAlign w:val="bottom"/>
          </w:tcPr>
          <w:p w14:paraId="14645681" w14:textId="77777777" w:rsidR="00B83B09" w:rsidRPr="001E2DE0" w:rsidRDefault="00B83B09" w:rsidP="00307B33">
            <w:pPr>
              <w:jc w:val="center"/>
            </w:pPr>
            <w:r w:rsidRPr="001E2DE0">
              <w:t>(iv</w:t>
            </w:r>
          </w:p>
        </w:tc>
        <w:tc>
          <w:tcPr>
            <w:tcW w:w="4255" w:type="dxa"/>
            <w:gridSpan w:val="3"/>
            <w:noWrap/>
            <w:vAlign w:val="bottom"/>
          </w:tcPr>
          <w:p w14:paraId="68575FE3" w14:textId="77777777" w:rsidR="00B83B09" w:rsidRPr="001E2DE0" w:rsidRDefault="00B83B09" w:rsidP="00307B33">
            <w:r w:rsidRPr="001E2DE0">
              <w:t>Total long-term financial liabilities</w:t>
            </w:r>
          </w:p>
        </w:tc>
        <w:tc>
          <w:tcPr>
            <w:tcW w:w="2129" w:type="dxa"/>
            <w:noWrap/>
            <w:vAlign w:val="bottom"/>
          </w:tcPr>
          <w:p w14:paraId="7B067D2D" w14:textId="044235EF" w:rsidR="00B83B09" w:rsidRPr="007346E6" w:rsidRDefault="002E0E09" w:rsidP="000B3A61">
            <w:pPr>
              <w:jc w:val="center"/>
            </w:pPr>
            <w:r>
              <w:t xml:space="preserve">  $</w:t>
            </w:r>
            <w:r w:rsidR="00610C4F">
              <w:t>106,506</w:t>
            </w:r>
          </w:p>
        </w:tc>
        <w:tc>
          <w:tcPr>
            <w:tcW w:w="1538" w:type="dxa"/>
            <w:noWrap/>
            <w:vAlign w:val="bottom"/>
          </w:tcPr>
          <w:p w14:paraId="42FD0EE6" w14:textId="1CEF1A88" w:rsidR="00B83B09" w:rsidRPr="007346E6" w:rsidRDefault="00B83B09" w:rsidP="00307B33">
            <w:pPr>
              <w:jc w:val="right"/>
            </w:pPr>
            <w:r w:rsidRPr="007346E6">
              <w:t>$</w:t>
            </w:r>
            <w:r w:rsidR="00354686">
              <w:t>98,848</w:t>
            </w:r>
            <w:r w:rsidRPr="007346E6">
              <w:t xml:space="preserve"> </w:t>
            </w:r>
          </w:p>
        </w:tc>
        <w:tc>
          <w:tcPr>
            <w:tcW w:w="1750" w:type="dxa"/>
            <w:gridSpan w:val="2"/>
            <w:noWrap/>
            <w:vAlign w:val="bottom"/>
          </w:tcPr>
          <w:p w14:paraId="01316899" w14:textId="77777777" w:rsidR="00B83B09" w:rsidRPr="002C30D2" w:rsidRDefault="00B83B09" w:rsidP="00307B33">
            <w:pPr>
              <w:jc w:val="right"/>
            </w:pPr>
            <w:r w:rsidRPr="002C30D2">
              <w:t xml:space="preserve">$Nil </w:t>
            </w:r>
          </w:p>
        </w:tc>
      </w:tr>
      <w:tr w:rsidR="00B83B09" w:rsidRPr="001E2DE0" w14:paraId="43A9C649" w14:textId="77777777" w:rsidTr="00610C4F">
        <w:trPr>
          <w:trHeight w:val="255"/>
        </w:trPr>
        <w:tc>
          <w:tcPr>
            <w:tcW w:w="516" w:type="dxa"/>
            <w:noWrap/>
            <w:vAlign w:val="bottom"/>
          </w:tcPr>
          <w:p w14:paraId="40B5EA6D" w14:textId="77777777" w:rsidR="00B83B09" w:rsidRPr="001E2DE0" w:rsidRDefault="00B83B09" w:rsidP="00307B33">
            <w:pPr>
              <w:jc w:val="center"/>
            </w:pPr>
            <w:r w:rsidRPr="001E2DE0">
              <w:t>(v)</w:t>
            </w:r>
          </w:p>
        </w:tc>
        <w:tc>
          <w:tcPr>
            <w:tcW w:w="3255" w:type="dxa"/>
            <w:gridSpan w:val="2"/>
            <w:noWrap/>
            <w:vAlign w:val="bottom"/>
          </w:tcPr>
          <w:p w14:paraId="1DEF3749" w14:textId="77777777" w:rsidR="00B83B09" w:rsidRPr="001E2DE0" w:rsidRDefault="00B83B09" w:rsidP="00307B33">
            <w:r w:rsidRPr="001E2DE0">
              <w:t>Cash dividends declared per share</w:t>
            </w:r>
          </w:p>
        </w:tc>
        <w:tc>
          <w:tcPr>
            <w:tcW w:w="1000" w:type="dxa"/>
            <w:noWrap/>
            <w:vAlign w:val="bottom"/>
          </w:tcPr>
          <w:p w14:paraId="7D289D45" w14:textId="77777777" w:rsidR="00B83B09" w:rsidRPr="001E2DE0" w:rsidRDefault="00B83B09" w:rsidP="00307B33">
            <w:pPr>
              <w:ind w:firstLineChars="100" w:firstLine="220"/>
            </w:pPr>
          </w:p>
        </w:tc>
        <w:tc>
          <w:tcPr>
            <w:tcW w:w="2129" w:type="dxa"/>
            <w:noWrap/>
            <w:vAlign w:val="bottom"/>
          </w:tcPr>
          <w:p w14:paraId="1A265149" w14:textId="77777777" w:rsidR="00B83B09" w:rsidRPr="007346E6" w:rsidRDefault="002E0E09" w:rsidP="002E0E09">
            <w:r>
              <w:t xml:space="preserve">                 n/a</w:t>
            </w:r>
          </w:p>
        </w:tc>
        <w:tc>
          <w:tcPr>
            <w:tcW w:w="1538" w:type="dxa"/>
            <w:noWrap/>
            <w:vAlign w:val="bottom"/>
          </w:tcPr>
          <w:p w14:paraId="4B0922AE" w14:textId="77777777" w:rsidR="00B83B09" w:rsidRPr="007346E6" w:rsidRDefault="00B83B09" w:rsidP="00307B33">
            <w:pPr>
              <w:jc w:val="right"/>
            </w:pPr>
            <w:r w:rsidRPr="007346E6">
              <w:t>n/a</w:t>
            </w:r>
          </w:p>
        </w:tc>
        <w:tc>
          <w:tcPr>
            <w:tcW w:w="1750" w:type="dxa"/>
            <w:gridSpan w:val="2"/>
            <w:noWrap/>
            <w:vAlign w:val="bottom"/>
          </w:tcPr>
          <w:p w14:paraId="388439CA" w14:textId="77777777" w:rsidR="00B83B09" w:rsidRPr="00927B2A" w:rsidRDefault="00B83B09" w:rsidP="00307B33">
            <w:pPr>
              <w:jc w:val="right"/>
            </w:pPr>
            <w:r w:rsidRPr="00927B2A">
              <w:t>n/a</w:t>
            </w:r>
          </w:p>
        </w:tc>
      </w:tr>
      <w:tr w:rsidR="00C869B9" w:rsidRPr="001E2DE0" w14:paraId="04607516" w14:textId="77777777" w:rsidTr="00610C4F">
        <w:trPr>
          <w:gridAfter w:val="1"/>
          <w:wAfter w:w="6" w:type="dxa"/>
          <w:trHeight w:val="255"/>
        </w:trPr>
        <w:tc>
          <w:tcPr>
            <w:tcW w:w="516" w:type="dxa"/>
            <w:noWrap/>
            <w:vAlign w:val="bottom"/>
          </w:tcPr>
          <w:p w14:paraId="6328B86F" w14:textId="77777777" w:rsidR="00C869B9" w:rsidRPr="001E2DE0" w:rsidRDefault="00C869B9" w:rsidP="00307B33"/>
        </w:tc>
        <w:tc>
          <w:tcPr>
            <w:tcW w:w="9666" w:type="dxa"/>
            <w:gridSpan w:val="6"/>
            <w:noWrap/>
            <w:vAlign w:val="bottom"/>
          </w:tcPr>
          <w:p w14:paraId="2C3852F7" w14:textId="77777777" w:rsidR="00246EDE" w:rsidRDefault="00C869B9" w:rsidP="00F947B9">
            <w:pPr>
              <w:numPr>
                <w:ilvl w:val="0"/>
                <w:numId w:val="22"/>
              </w:numPr>
            </w:pPr>
            <w:r w:rsidRPr="001E2DE0">
              <w:t>Fully diluted loss per share amounts have not been calculated as they would be anti-dilutive</w:t>
            </w:r>
            <w:r w:rsidR="006B66F7">
              <w:t>.</w:t>
            </w:r>
          </w:p>
          <w:p w14:paraId="07D3A301" w14:textId="77777777" w:rsidR="00F947B9" w:rsidRDefault="00F947B9" w:rsidP="00F947B9">
            <w:pPr>
              <w:ind w:left="720"/>
            </w:pPr>
          </w:p>
          <w:p w14:paraId="5D210599" w14:textId="13C0900D" w:rsidR="00F947B9" w:rsidRDefault="00F947B9" w:rsidP="00F947B9"/>
          <w:p w14:paraId="5D630974" w14:textId="3B6E92F7" w:rsidR="00F47E78" w:rsidRDefault="00F47E78" w:rsidP="00F947B9"/>
          <w:p w14:paraId="51D83FCF" w14:textId="77777777" w:rsidR="00F947B9" w:rsidRDefault="00F947B9" w:rsidP="00F947B9"/>
          <w:p w14:paraId="690B584B" w14:textId="77777777" w:rsidR="00537B93" w:rsidRDefault="00537B93" w:rsidP="00F947B9"/>
          <w:p w14:paraId="093FC37A" w14:textId="77777777" w:rsidR="00537B93" w:rsidRDefault="00537B93" w:rsidP="00F947B9"/>
          <w:p w14:paraId="61E3ABB6" w14:textId="77777777" w:rsidR="00537B93" w:rsidRDefault="00537B93" w:rsidP="00F947B9"/>
          <w:p w14:paraId="74F17C91" w14:textId="77777777" w:rsidR="00537B93" w:rsidRDefault="00537B93" w:rsidP="00F947B9"/>
          <w:p w14:paraId="3C497A97" w14:textId="77777777" w:rsidR="00537B93" w:rsidRDefault="00537B93" w:rsidP="00F947B9"/>
          <w:p w14:paraId="5479AAE4" w14:textId="77777777" w:rsidR="00537B93" w:rsidRDefault="00537B93" w:rsidP="00F947B9"/>
          <w:p w14:paraId="705A311F" w14:textId="77777777" w:rsidR="00537B93" w:rsidRDefault="00537B93" w:rsidP="00F947B9"/>
          <w:p w14:paraId="6776B9D8" w14:textId="77777777" w:rsidR="00537B93" w:rsidRDefault="00537B93" w:rsidP="00F947B9"/>
          <w:p w14:paraId="1B4BD9BE" w14:textId="77777777" w:rsidR="00537B93" w:rsidRDefault="00537B93" w:rsidP="00F947B9"/>
          <w:p w14:paraId="6E1C921B" w14:textId="77777777" w:rsidR="00537B93" w:rsidRDefault="00537B93" w:rsidP="00F947B9"/>
          <w:p w14:paraId="6DBE96C5" w14:textId="77777777" w:rsidR="00537B93" w:rsidRDefault="00537B93" w:rsidP="00F947B9"/>
          <w:p w14:paraId="0F723449" w14:textId="77777777" w:rsidR="00537B93" w:rsidRDefault="00537B93" w:rsidP="00F947B9"/>
          <w:p w14:paraId="56E0AD2D" w14:textId="43AAEDD1" w:rsidR="00537B93" w:rsidRPr="001E2DE0" w:rsidRDefault="00537B93" w:rsidP="00F947B9"/>
        </w:tc>
      </w:tr>
    </w:tbl>
    <w:p w14:paraId="76F69EBF" w14:textId="12AC54A7" w:rsidR="00FA5D36" w:rsidRPr="00364FE5" w:rsidRDefault="005D627B" w:rsidP="00364FE5">
      <w:pPr>
        <w:pStyle w:val="Heading3"/>
        <w:keepNext w:val="0"/>
        <w:widowControl w:val="0"/>
        <w:pBdr>
          <w:top w:val="single" w:sz="4" w:space="1" w:color="auto"/>
          <w:bottom w:val="single" w:sz="4" w:space="1" w:color="auto"/>
        </w:pBdr>
        <w:rPr>
          <w:b/>
          <w:u w:val="none"/>
        </w:rPr>
      </w:pPr>
      <w:bookmarkStart w:id="12" w:name="_Toc379536670"/>
      <w:bookmarkStart w:id="13" w:name="_Toc34057622"/>
      <w:r>
        <w:rPr>
          <w:b/>
          <w:u w:val="none"/>
        </w:rPr>
        <w:lastRenderedPageBreak/>
        <w:t>S</w:t>
      </w:r>
      <w:r w:rsidR="00724E77" w:rsidRPr="005942D3">
        <w:rPr>
          <w:b/>
          <w:u w:val="none"/>
        </w:rPr>
        <w:t>UMMARY OF QUARTERLY RESULTS</w:t>
      </w:r>
      <w:bookmarkEnd w:id="12"/>
      <w:bookmarkEnd w:id="13"/>
    </w:p>
    <w:p w14:paraId="6E3503F0" w14:textId="77777777" w:rsidR="00FA5D36" w:rsidRDefault="00FA5D36" w:rsidP="00724E77">
      <w:pPr>
        <w:jc w:val="both"/>
        <w:rPr>
          <w:szCs w:val="22"/>
        </w:rPr>
      </w:pPr>
    </w:p>
    <w:p w14:paraId="02E50674" w14:textId="77777777" w:rsidR="00F947B9" w:rsidRDefault="002F619F" w:rsidP="00724E77">
      <w:pPr>
        <w:jc w:val="both"/>
        <w:rPr>
          <w:szCs w:val="22"/>
        </w:rPr>
      </w:pPr>
      <w:r>
        <w:rPr>
          <w:szCs w:val="22"/>
        </w:rPr>
        <w:t>T</w:t>
      </w:r>
      <w:r w:rsidR="00724E77" w:rsidRPr="004D37FD">
        <w:rPr>
          <w:szCs w:val="22"/>
        </w:rPr>
        <w:t xml:space="preserve">he following tables summarize information derived from the Company’s financial statements for each of </w:t>
      </w:r>
      <w:r w:rsidR="00246EDE">
        <w:rPr>
          <w:szCs w:val="22"/>
        </w:rPr>
        <w:t>the</w:t>
      </w:r>
      <w:r w:rsidR="00FA5D36">
        <w:rPr>
          <w:szCs w:val="22"/>
        </w:rPr>
        <w:t xml:space="preserve"> eight </w:t>
      </w:r>
    </w:p>
    <w:p w14:paraId="273531C9" w14:textId="2BF96759" w:rsidR="00DD4813" w:rsidRDefault="00F947B9" w:rsidP="00724E77">
      <w:pPr>
        <w:jc w:val="both"/>
        <w:rPr>
          <w:szCs w:val="22"/>
        </w:rPr>
      </w:pPr>
      <w:r>
        <w:rPr>
          <w:szCs w:val="22"/>
        </w:rPr>
        <w:t>most recently completed fiscal quarters.</w:t>
      </w:r>
    </w:p>
    <w:p w14:paraId="3EC3B4DA" w14:textId="19FE8F69" w:rsidR="00DD4813" w:rsidRDefault="00610C4F" w:rsidP="00724E77">
      <w:pPr>
        <w:jc w:val="both"/>
        <w:rPr>
          <w:szCs w:val="22"/>
        </w:rPr>
      </w:pPr>
      <w:r>
        <w:rPr>
          <w:noProof/>
        </w:rPr>
        <w:object w:dxaOrig="0" w:dyaOrig="0" w14:anchorId="688FF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5pt;margin-top:20.25pt;width:490.1pt;height:178.05pt;z-index:251657728;mso-position-horizontal-relative:text;mso-position-vertical-relative:text">
            <v:imagedata r:id="rId9" o:title=""/>
            <o:lock v:ext="edit" aspectratio="f"/>
            <w10:wrap type="topAndBottom"/>
          </v:shape>
          <o:OLEObject Type="Embed" ProgID="Excel.Sheet.12" ShapeID="_x0000_s1026" DrawAspect="Content" ObjectID="_1660412186" r:id="rId10"/>
        </w:object>
      </w:r>
    </w:p>
    <w:p w14:paraId="74FDEEF3" w14:textId="537DB532" w:rsidR="00DD4813" w:rsidRDefault="00DD4813" w:rsidP="00724E77">
      <w:pPr>
        <w:jc w:val="both"/>
        <w:rPr>
          <w:szCs w:val="22"/>
        </w:rPr>
      </w:pPr>
    </w:p>
    <w:p w14:paraId="189D26DE" w14:textId="77777777" w:rsidR="00F47E78" w:rsidRDefault="00F47E78" w:rsidP="00724E77">
      <w:pPr>
        <w:jc w:val="both"/>
        <w:rPr>
          <w:szCs w:val="22"/>
        </w:rPr>
      </w:pPr>
    </w:p>
    <w:p w14:paraId="4CC4E5B9" w14:textId="77777777" w:rsidR="00D71190" w:rsidRPr="002B6FAF" w:rsidRDefault="00D71190" w:rsidP="00724E77">
      <w:pPr>
        <w:rPr>
          <w:sz w:val="8"/>
          <w:szCs w:val="8"/>
        </w:rPr>
      </w:pPr>
    </w:p>
    <w:p w14:paraId="38ADD761" w14:textId="77777777" w:rsidR="00064531" w:rsidRPr="005942D3" w:rsidRDefault="00064531" w:rsidP="005942D3">
      <w:pPr>
        <w:pStyle w:val="Heading3"/>
        <w:pBdr>
          <w:top w:val="single" w:sz="4" w:space="1" w:color="auto"/>
          <w:bottom w:val="single" w:sz="4" w:space="1" w:color="auto"/>
        </w:pBdr>
        <w:rPr>
          <w:b/>
          <w:u w:val="none"/>
        </w:rPr>
      </w:pPr>
      <w:bookmarkStart w:id="14" w:name="_Toc379536671"/>
      <w:bookmarkStart w:id="15" w:name="_Toc34057623"/>
      <w:r w:rsidRPr="005942D3">
        <w:rPr>
          <w:b/>
          <w:u w:val="none"/>
        </w:rPr>
        <w:t>RESULTS OF OPERATIONS</w:t>
      </w:r>
      <w:bookmarkEnd w:id="14"/>
      <w:bookmarkEnd w:id="15"/>
      <w:r w:rsidR="005122C7">
        <w:rPr>
          <w:b/>
          <w:u w:val="none"/>
        </w:rPr>
        <w:t xml:space="preserve"> </w:t>
      </w:r>
    </w:p>
    <w:p w14:paraId="002C70AB" w14:textId="77777777" w:rsidR="00064531" w:rsidRPr="004D37FD" w:rsidRDefault="00064531" w:rsidP="00064531">
      <w:pPr>
        <w:pStyle w:val="BodyText2"/>
        <w:rPr>
          <w:szCs w:val="22"/>
        </w:rPr>
      </w:pPr>
    </w:p>
    <w:p w14:paraId="43EB0E16" w14:textId="566C490D" w:rsidR="00064531" w:rsidRDefault="009C3CC8" w:rsidP="00064531">
      <w:pPr>
        <w:pStyle w:val="BodyText2"/>
        <w:rPr>
          <w:b/>
          <w:szCs w:val="22"/>
          <w:u w:val="single"/>
        </w:rPr>
      </w:pPr>
      <w:r>
        <w:rPr>
          <w:b/>
          <w:szCs w:val="22"/>
          <w:u w:val="single"/>
        </w:rPr>
        <w:t>Nine</w:t>
      </w:r>
      <w:r w:rsidR="00B04A83">
        <w:rPr>
          <w:b/>
          <w:szCs w:val="22"/>
          <w:u w:val="single"/>
        </w:rPr>
        <w:t xml:space="preserve"> months</w:t>
      </w:r>
      <w:r w:rsidR="003B6A82">
        <w:rPr>
          <w:b/>
          <w:szCs w:val="22"/>
          <w:u w:val="single"/>
        </w:rPr>
        <w:t xml:space="preserve"> ended </w:t>
      </w:r>
      <w:r>
        <w:rPr>
          <w:b/>
          <w:szCs w:val="22"/>
          <w:u w:val="single"/>
        </w:rPr>
        <w:t>June 30</w:t>
      </w:r>
      <w:r w:rsidR="003B6A82">
        <w:rPr>
          <w:b/>
          <w:szCs w:val="22"/>
          <w:u w:val="single"/>
        </w:rPr>
        <w:t>, 2020</w:t>
      </w:r>
    </w:p>
    <w:p w14:paraId="2B884427" w14:textId="77777777" w:rsidR="00DD4813" w:rsidRDefault="00DD4813" w:rsidP="00EF241E">
      <w:pPr>
        <w:pStyle w:val="BodyText2"/>
        <w:rPr>
          <w:b/>
          <w:szCs w:val="22"/>
          <w:u w:val="single"/>
        </w:rPr>
      </w:pPr>
    </w:p>
    <w:p w14:paraId="596FE8FF" w14:textId="332C67A1" w:rsidR="009173F8" w:rsidRDefault="00E63467" w:rsidP="00B04A83">
      <w:pPr>
        <w:pStyle w:val="BodyText2"/>
        <w:rPr>
          <w:szCs w:val="22"/>
          <w:lang w:val="en-US" w:eastAsia="en-US"/>
        </w:rPr>
      </w:pPr>
      <w:r>
        <w:rPr>
          <w:bCs/>
          <w:szCs w:val="22"/>
        </w:rPr>
        <w:t xml:space="preserve">The </w:t>
      </w:r>
      <w:r w:rsidR="009C3CC8">
        <w:rPr>
          <w:bCs/>
          <w:szCs w:val="22"/>
        </w:rPr>
        <w:t>nine</w:t>
      </w:r>
      <w:r w:rsidR="00B04A83">
        <w:rPr>
          <w:bCs/>
          <w:szCs w:val="22"/>
        </w:rPr>
        <w:t xml:space="preserve"> months</w:t>
      </w:r>
      <w:r w:rsidR="0032466D">
        <w:rPr>
          <w:bCs/>
          <w:szCs w:val="22"/>
        </w:rPr>
        <w:t xml:space="preserve"> ended </w:t>
      </w:r>
      <w:r w:rsidR="009C3CC8">
        <w:rPr>
          <w:bCs/>
          <w:szCs w:val="22"/>
        </w:rPr>
        <w:t>June 30</w:t>
      </w:r>
      <w:r w:rsidR="003B6A82">
        <w:rPr>
          <w:bCs/>
          <w:szCs w:val="22"/>
        </w:rPr>
        <w:t>, 2020</w:t>
      </w:r>
      <w:r>
        <w:rPr>
          <w:bCs/>
          <w:szCs w:val="22"/>
        </w:rPr>
        <w:t xml:space="preserve"> was </w:t>
      </w:r>
      <w:r w:rsidR="0032466D">
        <w:rPr>
          <w:bCs/>
          <w:szCs w:val="22"/>
        </w:rPr>
        <w:t xml:space="preserve">marked by a continuation of several </w:t>
      </w:r>
      <w:r>
        <w:rPr>
          <w:bCs/>
          <w:szCs w:val="22"/>
        </w:rPr>
        <w:t>major steps forward for Green River Gold Corp</w:t>
      </w:r>
      <w:r w:rsidR="00B04A83">
        <w:rPr>
          <w:bCs/>
          <w:szCs w:val="22"/>
        </w:rPr>
        <w:t>.</w:t>
      </w:r>
      <w:r w:rsidR="00E15742">
        <w:rPr>
          <w:bCs/>
          <w:szCs w:val="22"/>
        </w:rPr>
        <w:t xml:space="preserve"> The Company continued to acquire and explore its properties and </w:t>
      </w:r>
      <w:r w:rsidR="00610C4F">
        <w:rPr>
          <w:bCs/>
          <w:szCs w:val="22"/>
        </w:rPr>
        <w:t>expanded</w:t>
      </w:r>
      <w:r w:rsidR="00E15742">
        <w:rPr>
          <w:bCs/>
          <w:szCs w:val="22"/>
        </w:rPr>
        <w:t xml:space="preserve"> its retail operations.</w:t>
      </w:r>
    </w:p>
    <w:p w14:paraId="29602FDE" w14:textId="77777777" w:rsidR="00425DEC" w:rsidRPr="009173F8" w:rsidRDefault="00425DEC" w:rsidP="009173F8">
      <w:pPr>
        <w:jc w:val="both"/>
        <w:rPr>
          <w:szCs w:val="22"/>
          <w:lang w:val="en-US" w:eastAsia="en-US"/>
        </w:rPr>
      </w:pPr>
    </w:p>
    <w:p w14:paraId="6A191ADB" w14:textId="2890292E" w:rsidR="00732610" w:rsidRDefault="005D0488" w:rsidP="00EF241E">
      <w:pPr>
        <w:pStyle w:val="BodyText2"/>
        <w:rPr>
          <w:szCs w:val="22"/>
        </w:rPr>
      </w:pPr>
      <w:r>
        <w:rPr>
          <w:szCs w:val="22"/>
        </w:rPr>
        <w:t xml:space="preserve"> </w:t>
      </w:r>
      <w:r w:rsidR="00064531" w:rsidRPr="004D37FD">
        <w:rPr>
          <w:szCs w:val="22"/>
        </w:rPr>
        <w:t xml:space="preserve">For the </w:t>
      </w:r>
      <w:r w:rsidR="009C3CC8">
        <w:rPr>
          <w:szCs w:val="22"/>
        </w:rPr>
        <w:t>nine</w:t>
      </w:r>
      <w:r w:rsidR="00CB456C">
        <w:rPr>
          <w:szCs w:val="22"/>
        </w:rPr>
        <w:t xml:space="preserve"> months</w:t>
      </w:r>
      <w:r w:rsidR="00655071">
        <w:rPr>
          <w:szCs w:val="22"/>
        </w:rPr>
        <w:t xml:space="preserve"> </w:t>
      </w:r>
      <w:r w:rsidR="00064531" w:rsidRPr="004D37FD">
        <w:rPr>
          <w:szCs w:val="22"/>
        </w:rPr>
        <w:t xml:space="preserve">ended </w:t>
      </w:r>
      <w:r w:rsidR="00610C4F">
        <w:rPr>
          <w:szCs w:val="22"/>
        </w:rPr>
        <w:t>June 30</w:t>
      </w:r>
      <w:r w:rsidR="00B04A83">
        <w:rPr>
          <w:szCs w:val="22"/>
        </w:rPr>
        <w:t>, 2020</w:t>
      </w:r>
      <w:r w:rsidR="00FD78AE">
        <w:rPr>
          <w:szCs w:val="22"/>
        </w:rPr>
        <w:t>,</w:t>
      </w:r>
      <w:r w:rsidR="001B0E6C">
        <w:rPr>
          <w:szCs w:val="22"/>
        </w:rPr>
        <w:t xml:space="preserve"> </w:t>
      </w:r>
      <w:r w:rsidR="00064531" w:rsidRPr="004D37FD">
        <w:rPr>
          <w:szCs w:val="22"/>
        </w:rPr>
        <w:t xml:space="preserve">the Company recorded a </w:t>
      </w:r>
      <w:r w:rsidR="00983BAF">
        <w:rPr>
          <w:szCs w:val="22"/>
        </w:rPr>
        <w:t>net</w:t>
      </w:r>
      <w:r w:rsidR="00064531" w:rsidRPr="004D37FD">
        <w:rPr>
          <w:szCs w:val="22"/>
        </w:rPr>
        <w:t xml:space="preserve"> loss of </w:t>
      </w:r>
      <w:r w:rsidR="00254DE8">
        <w:rPr>
          <w:szCs w:val="22"/>
        </w:rPr>
        <w:t>$</w:t>
      </w:r>
      <w:r w:rsidR="00610C4F">
        <w:rPr>
          <w:szCs w:val="22"/>
        </w:rPr>
        <w:t>120,850</w:t>
      </w:r>
      <w:r w:rsidR="00454A96">
        <w:rPr>
          <w:szCs w:val="22"/>
        </w:rPr>
        <w:t xml:space="preserve"> </w:t>
      </w:r>
      <w:r w:rsidR="00064531" w:rsidRPr="004D37FD">
        <w:rPr>
          <w:szCs w:val="22"/>
        </w:rPr>
        <w:t>(</w:t>
      </w:r>
      <w:r w:rsidR="001B0E6C" w:rsidRPr="004D37FD">
        <w:rPr>
          <w:szCs w:val="22"/>
        </w:rPr>
        <w:t>20</w:t>
      </w:r>
      <w:r w:rsidR="001B0E6C">
        <w:rPr>
          <w:szCs w:val="22"/>
        </w:rPr>
        <w:t>1</w:t>
      </w:r>
      <w:r w:rsidR="00B04A83">
        <w:rPr>
          <w:szCs w:val="22"/>
        </w:rPr>
        <w:t>9</w:t>
      </w:r>
      <w:r w:rsidR="001B0E6C" w:rsidRPr="004D37FD">
        <w:rPr>
          <w:szCs w:val="22"/>
        </w:rPr>
        <w:t xml:space="preserve"> </w:t>
      </w:r>
      <w:r w:rsidR="00064531">
        <w:rPr>
          <w:szCs w:val="22"/>
        </w:rPr>
        <w:t xml:space="preserve">– </w:t>
      </w:r>
      <w:r w:rsidR="009C3CC8">
        <w:rPr>
          <w:szCs w:val="22"/>
        </w:rPr>
        <w:t>$</w:t>
      </w:r>
      <w:r w:rsidR="00610C4F">
        <w:rPr>
          <w:szCs w:val="22"/>
        </w:rPr>
        <w:t>56,111</w:t>
      </w:r>
      <w:r w:rsidR="00732610">
        <w:rPr>
          <w:szCs w:val="22"/>
        </w:rPr>
        <w:t>)</w:t>
      </w:r>
      <w:r w:rsidR="00064531" w:rsidRPr="004D37FD">
        <w:rPr>
          <w:szCs w:val="22"/>
        </w:rPr>
        <w:t xml:space="preserve"> or $0.</w:t>
      </w:r>
      <w:r w:rsidR="00677F55" w:rsidRPr="004D37FD">
        <w:rPr>
          <w:szCs w:val="22"/>
        </w:rPr>
        <w:t>0</w:t>
      </w:r>
      <w:r w:rsidR="006421FC">
        <w:rPr>
          <w:szCs w:val="22"/>
        </w:rPr>
        <w:t>0</w:t>
      </w:r>
      <w:r w:rsidR="00064531" w:rsidRPr="004D37FD">
        <w:rPr>
          <w:szCs w:val="22"/>
        </w:rPr>
        <w:t xml:space="preserve"> per share (</w:t>
      </w:r>
      <w:r w:rsidR="001B0E6C" w:rsidRPr="004D37FD">
        <w:rPr>
          <w:szCs w:val="22"/>
        </w:rPr>
        <w:t>20</w:t>
      </w:r>
      <w:r w:rsidR="001B0E6C">
        <w:rPr>
          <w:szCs w:val="22"/>
        </w:rPr>
        <w:t>1</w:t>
      </w:r>
      <w:r w:rsidR="00B04A83">
        <w:rPr>
          <w:szCs w:val="22"/>
        </w:rPr>
        <w:t>9</w:t>
      </w:r>
      <w:r w:rsidR="001B0E6C" w:rsidRPr="004D37FD">
        <w:rPr>
          <w:szCs w:val="22"/>
        </w:rPr>
        <w:t xml:space="preserve"> </w:t>
      </w:r>
      <w:r w:rsidR="00677F55">
        <w:rPr>
          <w:szCs w:val="22"/>
        </w:rPr>
        <w:t>–</w:t>
      </w:r>
      <w:r w:rsidR="00064531" w:rsidRPr="004D37FD">
        <w:rPr>
          <w:szCs w:val="22"/>
        </w:rPr>
        <w:t xml:space="preserve"> </w:t>
      </w:r>
      <w:r w:rsidR="001676E7">
        <w:rPr>
          <w:szCs w:val="22"/>
        </w:rPr>
        <w:t>$0</w:t>
      </w:r>
      <w:r w:rsidR="00285FAA">
        <w:rPr>
          <w:szCs w:val="22"/>
        </w:rPr>
        <w:t>.</w:t>
      </w:r>
      <w:r w:rsidR="001676E7">
        <w:rPr>
          <w:szCs w:val="22"/>
        </w:rPr>
        <w:t>00)</w:t>
      </w:r>
      <w:r w:rsidR="00F846C8">
        <w:rPr>
          <w:szCs w:val="22"/>
        </w:rPr>
        <w:t>.</w:t>
      </w:r>
      <w:r w:rsidR="00425DEC">
        <w:rPr>
          <w:szCs w:val="22"/>
        </w:rPr>
        <w:t xml:space="preserve"> The increased loss is the result of the major </w:t>
      </w:r>
      <w:r w:rsidR="003557F9">
        <w:rPr>
          <w:szCs w:val="22"/>
        </w:rPr>
        <w:t>increase in activity</w:t>
      </w:r>
      <w:r w:rsidR="00425DEC">
        <w:rPr>
          <w:szCs w:val="22"/>
        </w:rPr>
        <w:t xml:space="preserve"> </w:t>
      </w:r>
      <w:r w:rsidR="003557F9">
        <w:rPr>
          <w:szCs w:val="22"/>
        </w:rPr>
        <w:t>for</w:t>
      </w:r>
      <w:r w:rsidR="00425DEC">
        <w:rPr>
          <w:szCs w:val="22"/>
        </w:rPr>
        <w:t xml:space="preserve"> the Company in </w:t>
      </w:r>
      <w:r w:rsidR="00454A96">
        <w:rPr>
          <w:szCs w:val="22"/>
        </w:rPr>
        <w:t xml:space="preserve">the </w:t>
      </w:r>
      <w:r w:rsidR="009C3CC8">
        <w:rPr>
          <w:szCs w:val="22"/>
        </w:rPr>
        <w:t>nine</w:t>
      </w:r>
      <w:r w:rsidR="00B04A83">
        <w:rPr>
          <w:szCs w:val="22"/>
        </w:rPr>
        <w:t xml:space="preserve"> </w:t>
      </w:r>
      <w:r w:rsidR="00454A96">
        <w:rPr>
          <w:szCs w:val="22"/>
        </w:rPr>
        <w:t xml:space="preserve">months ended </w:t>
      </w:r>
      <w:r w:rsidR="009C3CC8">
        <w:rPr>
          <w:szCs w:val="22"/>
        </w:rPr>
        <w:t>June 30</w:t>
      </w:r>
      <w:r w:rsidR="00B04A83">
        <w:rPr>
          <w:szCs w:val="22"/>
        </w:rPr>
        <w:t>, 2020,</w:t>
      </w:r>
      <w:r w:rsidR="00672F7F">
        <w:rPr>
          <w:szCs w:val="22"/>
        </w:rPr>
        <w:t xml:space="preserve"> </w:t>
      </w:r>
      <w:r w:rsidR="00425DEC">
        <w:rPr>
          <w:szCs w:val="22"/>
        </w:rPr>
        <w:t>The retail operation started up late in the</w:t>
      </w:r>
      <w:r w:rsidR="00610C4F">
        <w:rPr>
          <w:szCs w:val="22"/>
        </w:rPr>
        <w:t xml:space="preserve"> previous</w:t>
      </w:r>
      <w:r w:rsidR="00425DEC">
        <w:rPr>
          <w:szCs w:val="22"/>
        </w:rPr>
        <w:t xml:space="preserve"> fiscal year, so there was little revenue generated in</w:t>
      </w:r>
      <w:r w:rsidR="002C433B">
        <w:rPr>
          <w:szCs w:val="22"/>
        </w:rPr>
        <w:t xml:space="preserve"> calendar</w:t>
      </w:r>
      <w:r w:rsidR="00425DEC">
        <w:rPr>
          <w:szCs w:val="22"/>
        </w:rPr>
        <w:t xml:space="preserve"> 2019</w:t>
      </w:r>
      <w:r w:rsidR="003557F9">
        <w:rPr>
          <w:szCs w:val="22"/>
        </w:rPr>
        <w:t xml:space="preserve"> as the store </w:t>
      </w:r>
      <w:r w:rsidR="00454A96">
        <w:rPr>
          <w:szCs w:val="22"/>
        </w:rPr>
        <w:t>only had its first full quarter of operations</w:t>
      </w:r>
      <w:r w:rsidR="00610C4F">
        <w:rPr>
          <w:szCs w:val="22"/>
        </w:rPr>
        <w:t>.</w:t>
      </w:r>
      <w:r w:rsidR="00454A96">
        <w:rPr>
          <w:szCs w:val="22"/>
        </w:rPr>
        <w:t xml:space="preserve"> Winter is typically a slow season for sales of mining equipment and supplies</w:t>
      </w:r>
      <w:r w:rsidR="002C433B">
        <w:rPr>
          <w:szCs w:val="22"/>
        </w:rPr>
        <w:t>.</w:t>
      </w:r>
      <w:r w:rsidR="00425DEC">
        <w:rPr>
          <w:szCs w:val="22"/>
        </w:rPr>
        <w:t xml:space="preserve"> </w:t>
      </w:r>
      <w:r w:rsidR="00E62804">
        <w:rPr>
          <w:szCs w:val="22"/>
        </w:rPr>
        <w:t xml:space="preserve"> As a result, the gross profit for</w:t>
      </w:r>
      <w:r w:rsidR="00CA417E">
        <w:rPr>
          <w:szCs w:val="22"/>
        </w:rPr>
        <w:t xml:space="preserve"> the</w:t>
      </w:r>
      <w:r w:rsidR="00E62804">
        <w:rPr>
          <w:szCs w:val="22"/>
        </w:rPr>
        <w:t xml:space="preserve"> </w:t>
      </w:r>
      <w:r w:rsidR="009C3CC8">
        <w:rPr>
          <w:szCs w:val="22"/>
        </w:rPr>
        <w:t>nine</w:t>
      </w:r>
      <w:r w:rsidR="002C433B">
        <w:rPr>
          <w:szCs w:val="22"/>
        </w:rPr>
        <w:t xml:space="preserve"> months ended </w:t>
      </w:r>
      <w:r w:rsidR="009C3CC8">
        <w:rPr>
          <w:szCs w:val="22"/>
        </w:rPr>
        <w:t>June 30</w:t>
      </w:r>
      <w:r w:rsidR="002C433B">
        <w:rPr>
          <w:szCs w:val="22"/>
        </w:rPr>
        <w:t>, 20</w:t>
      </w:r>
      <w:r w:rsidR="00CA417E">
        <w:rPr>
          <w:szCs w:val="22"/>
        </w:rPr>
        <w:t xml:space="preserve">20 </w:t>
      </w:r>
      <w:r w:rsidR="00E62804">
        <w:rPr>
          <w:szCs w:val="22"/>
        </w:rPr>
        <w:t>was only $</w:t>
      </w:r>
      <w:r w:rsidR="00610C4F">
        <w:rPr>
          <w:szCs w:val="22"/>
        </w:rPr>
        <w:t>48,590</w:t>
      </w:r>
      <w:r w:rsidR="00E62804">
        <w:rPr>
          <w:szCs w:val="22"/>
        </w:rPr>
        <w:t xml:space="preserve"> (201</w:t>
      </w:r>
      <w:r w:rsidR="00CA417E">
        <w:rPr>
          <w:szCs w:val="22"/>
        </w:rPr>
        <w:t>9</w:t>
      </w:r>
      <w:r w:rsidR="00E62804">
        <w:rPr>
          <w:szCs w:val="22"/>
        </w:rPr>
        <w:t xml:space="preserve"> - $</w:t>
      </w:r>
      <w:r w:rsidR="002C433B">
        <w:rPr>
          <w:szCs w:val="22"/>
        </w:rPr>
        <w:t>Nil</w:t>
      </w:r>
      <w:r w:rsidR="00E62804">
        <w:rPr>
          <w:szCs w:val="22"/>
        </w:rPr>
        <w:t>).</w:t>
      </w:r>
      <w:r w:rsidR="00CA417E">
        <w:rPr>
          <w:szCs w:val="22"/>
        </w:rPr>
        <w:t xml:space="preserve"> As expected, sales picked up in the latter half of April and have continued to be strong through </w:t>
      </w:r>
      <w:r w:rsidR="00610C4F">
        <w:rPr>
          <w:szCs w:val="22"/>
        </w:rPr>
        <w:t xml:space="preserve">June </w:t>
      </w:r>
      <w:r w:rsidR="00CA417E">
        <w:rPr>
          <w:szCs w:val="22"/>
        </w:rPr>
        <w:t>as the placer miners</w:t>
      </w:r>
      <w:r w:rsidR="00610C4F">
        <w:rPr>
          <w:szCs w:val="22"/>
        </w:rPr>
        <w:t xml:space="preserve"> got</w:t>
      </w:r>
      <w:r w:rsidR="00CA417E">
        <w:rPr>
          <w:szCs w:val="22"/>
        </w:rPr>
        <w:t xml:space="preserve"> </w:t>
      </w:r>
      <w:r w:rsidR="00610C4F">
        <w:rPr>
          <w:szCs w:val="22"/>
        </w:rPr>
        <w:t>started</w:t>
      </w:r>
      <w:r w:rsidR="00CA417E">
        <w:rPr>
          <w:szCs w:val="22"/>
        </w:rPr>
        <w:t xml:space="preserve"> for the season</w:t>
      </w:r>
      <w:r w:rsidR="004206AD">
        <w:rPr>
          <w:szCs w:val="22"/>
        </w:rPr>
        <w:t xml:space="preserve">. It was an unusually late start to the placer mining season in the Cariboo Region. There was an above average amount of snow, followed by a late Spring thaw and above average rainfall.  Despite that, sales activity was stronger than we had </w:t>
      </w:r>
      <w:proofErr w:type="gramStart"/>
      <w:r w:rsidR="00537B93">
        <w:rPr>
          <w:szCs w:val="22"/>
        </w:rPr>
        <w:t>expected</w:t>
      </w:r>
      <w:proofErr w:type="gramEnd"/>
      <w:r w:rsidR="004206AD">
        <w:rPr>
          <w:szCs w:val="22"/>
        </w:rPr>
        <w:t xml:space="preserve"> and it has continued to build throughout the Summer.</w:t>
      </w:r>
      <w:r w:rsidR="00E62804">
        <w:rPr>
          <w:szCs w:val="22"/>
        </w:rPr>
        <w:t xml:space="preserve"> Most of the Company’s operating costs increased in</w:t>
      </w:r>
      <w:r w:rsidR="002C433B">
        <w:rPr>
          <w:szCs w:val="22"/>
        </w:rPr>
        <w:t xml:space="preserve"> the </w:t>
      </w:r>
      <w:r w:rsidR="009C3CC8">
        <w:rPr>
          <w:szCs w:val="22"/>
        </w:rPr>
        <w:t>nine</w:t>
      </w:r>
      <w:r w:rsidR="002C433B">
        <w:rPr>
          <w:szCs w:val="22"/>
        </w:rPr>
        <w:t xml:space="preserve"> months ended </w:t>
      </w:r>
      <w:r w:rsidR="009C3CC8">
        <w:rPr>
          <w:szCs w:val="22"/>
        </w:rPr>
        <w:t>June 30</w:t>
      </w:r>
      <w:r w:rsidR="00CA417E">
        <w:rPr>
          <w:szCs w:val="22"/>
        </w:rPr>
        <w:t>, 2020</w:t>
      </w:r>
      <w:r w:rsidR="00E62804">
        <w:rPr>
          <w:szCs w:val="22"/>
        </w:rPr>
        <w:t>,</w:t>
      </w:r>
      <w:r w:rsidR="002C433B">
        <w:rPr>
          <w:szCs w:val="22"/>
        </w:rPr>
        <w:t xml:space="preserve"> versus the same period in 201</w:t>
      </w:r>
      <w:r w:rsidR="00CA417E">
        <w:rPr>
          <w:szCs w:val="22"/>
        </w:rPr>
        <w:t>9</w:t>
      </w:r>
      <w:r w:rsidR="00E62804">
        <w:rPr>
          <w:szCs w:val="22"/>
        </w:rPr>
        <w:t xml:space="preserve"> as the Company stepped up its operations</w:t>
      </w:r>
      <w:r w:rsidR="002C433B">
        <w:rPr>
          <w:szCs w:val="22"/>
        </w:rPr>
        <w:t xml:space="preserve"> in mining</w:t>
      </w:r>
      <w:r w:rsidR="00610C4F">
        <w:rPr>
          <w:szCs w:val="22"/>
        </w:rPr>
        <w:t xml:space="preserve"> exploration</w:t>
      </w:r>
      <w:r w:rsidR="002C433B">
        <w:rPr>
          <w:szCs w:val="22"/>
        </w:rPr>
        <w:t xml:space="preserve"> and retail.</w:t>
      </w:r>
    </w:p>
    <w:p w14:paraId="65D84749" w14:textId="59AA5C40" w:rsidR="004206AD" w:rsidRDefault="004206AD" w:rsidP="00EF241E">
      <w:pPr>
        <w:pStyle w:val="BodyText2"/>
        <w:rPr>
          <w:szCs w:val="22"/>
        </w:rPr>
      </w:pPr>
    </w:p>
    <w:p w14:paraId="77A1E2DB" w14:textId="63E92BB7" w:rsidR="004206AD" w:rsidRDefault="004206AD" w:rsidP="00EF241E">
      <w:pPr>
        <w:pStyle w:val="BodyText2"/>
        <w:rPr>
          <w:szCs w:val="22"/>
        </w:rPr>
      </w:pPr>
      <w:r>
        <w:rPr>
          <w:szCs w:val="22"/>
        </w:rPr>
        <w:t>The Company began the process of renting out its placer claims during the quarter ended June 30, 2020.  Additional claims were also acquired over the nine-months ended June 30, 2020.</w:t>
      </w:r>
    </w:p>
    <w:p w14:paraId="710EE80D" w14:textId="77777777" w:rsidR="004206AD" w:rsidRDefault="004206AD" w:rsidP="00EF241E">
      <w:pPr>
        <w:pStyle w:val="BodyText2"/>
        <w:rPr>
          <w:szCs w:val="22"/>
        </w:rPr>
      </w:pPr>
    </w:p>
    <w:tbl>
      <w:tblPr>
        <w:tblpPr w:leftFromText="180" w:rightFromText="180" w:horzAnchor="margin" w:tblpXSpec="center" w:tblpY="615"/>
        <w:tblW w:w="10810" w:type="dxa"/>
        <w:tblLayout w:type="fixed"/>
        <w:tblLook w:val="01E0" w:firstRow="1" w:lastRow="1" w:firstColumn="1" w:lastColumn="1" w:noHBand="0" w:noVBand="0"/>
      </w:tblPr>
      <w:tblGrid>
        <w:gridCol w:w="7279"/>
        <w:gridCol w:w="239"/>
        <w:gridCol w:w="1646"/>
        <w:gridCol w:w="1646"/>
      </w:tblGrid>
      <w:tr w:rsidR="00344301" w:rsidRPr="007A3875" w14:paraId="0E59A3FC" w14:textId="77777777" w:rsidTr="00296F58">
        <w:tc>
          <w:tcPr>
            <w:tcW w:w="7279" w:type="dxa"/>
          </w:tcPr>
          <w:p w14:paraId="60284123" w14:textId="77777777" w:rsidR="00344301" w:rsidRPr="007A3875" w:rsidRDefault="00344301" w:rsidP="000C33AA">
            <w:pPr>
              <w:tabs>
                <w:tab w:val="left" w:pos="-1152"/>
                <w:tab w:val="left" w:pos="-720"/>
                <w:tab w:val="left" w:pos="360"/>
                <w:tab w:val="left" w:pos="39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iCs/>
                <w:sz w:val="12"/>
                <w:szCs w:val="12"/>
                <w:highlight w:val="yellow"/>
              </w:rPr>
            </w:pPr>
          </w:p>
        </w:tc>
        <w:tc>
          <w:tcPr>
            <w:tcW w:w="239" w:type="dxa"/>
            <w:vAlign w:val="bottom"/>
          </w:tcPr>
          <w:p w14:paraId="0357C60B" w14:textId="77777777" w:rsidR="00344301" w:rsidRPr="007A3875" w:rsidRDefault="00344301" w:rsidP="000C33AA">
            <w:pPr>
              <w:tabs>
                <w:tab w:val="left" w:pos="-1152"/>
                <w:tab w:val="left" w:pos="-720"/>
                <w:tab w:val="left" w:pos="360"/>
                <w:tab w:val="left" w:pos="39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iCs/>
                <w:sz w:val="12"/>
                <w:szCs w:val="12"/>
                <w:highlight w:val="yellow"/>
              </w:rPr>
            </w:pPr>
          </w:p>
        </w:tc>
        <w:tc>
          <w:tcPr>
            <w:tcW w:w="1646" w:type="dxa"/>
            <w:vAlign w:val="bottom"/>
          </w:tcPr>
          <w:p w14:paraId="59553DCE" w14:textId="77777777" w:rsidR="00344301" w:rsidRPr="007A3875" w:rsidRDefault="00344301" w:rsidP="000C33AA">
            <w:pPr>
              <w:tabs>
                <w:tab w:val="left" w:pos="-1152"/>
                <w:tab w:val="left" w:pos="-720"/>
                <w:tab w:val="left" w:pos="360"/>
                <w:tab w:val="left" w:pos="39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iCs/>
                <w:sz w:val="12"/>
                <w:szCs w:val="12"/>
              </w:rPr>
            </w:pPr>
          </w:p>
        </w:tc>
        <w:tc>
          <w:tcPr>
            <w:tcW w:w="1646" w:type="dxa"/>
          </w:tcPr>
          <w:p w14:paraId="3630EF50" w14:textId="77777777" w:rsidR="00344301" w:rsidRPr="007A3875" w:rsidRDefault="00344301" w:rsidP="000C33AA">
            <w:pPr>
              <w:tabs>
                <w:tab w:val="left" w:pos="360"/>
              </w:tabs>
              <w:rPr>
                <w:sz w:val="12"/>
                <w:szCs w:val="12"/>
              </w:rPr>
            </w:pPr>
          </w:p>
        </w:tc>
      </w:tr>
    </w:tbl>
    <w:p w14:paraId="478C3361" w14:textId="689BF550" w:rsidR="00F47E78" w:rsidRDefault="00F47E78" w:rsidP="00FD78AE">
      <w:pPr>
        <w:jc w:val="both"/>
        <w:rPr>
          <w:szCs w:val="22"/>
        </w:rPr>
      </w:pPr>
    </w:p>
    <w:p w14:paraId="03824519" w14:textId="26CDFB31" w:rsidR="000E2F08" w:rsidRPr="005942D3" w:rsidRDefault="004206AD" w:rsidP="005942D3">
      <w:pPr>
        <w:pStyle w:val="Heading3"/>
        <w:pBdr>
          <w:top w:val="single" w:sz="4" w:space="1" w:color="auto"/>
          <w:bottom w:val="single" w:sz="4" w:space="1" w:color="auto"/>
        </w:pBdr>
        <w:rPr>
          <w:b/>
          <w:u w:val="none"/>
        </w:rPr>
      </w:pPr>
      <w:bookmarkStart w:id="16" w:name="_Toc379536672"/>
      <w:bookmarkStart w:id="17" w:name="_Toc34057624"/>
      <w:r>
        <w:rPr>
          <w:b/>
          <w:u w:val="none"/>
        </w:rPr>
        <w:lastRenderedPageBreak/>
        <w:t>LI</w:t>
      </w:r>
      <w:r w:rsidR="004F36A0" w:rsidRPr="005942D3">
        <w:rPr>
          <w:b/>
          <w:u w:val="none"/>
        </w:rPr>
        <w:t>QUIDITY AND CAPITAL RESOURCES</w:t>
      </w:r>
      <w:bookmarkEnd w:id="16"/>
      <w:bookmarkEnd w:id="17"/>
    </w:p>
    <w:p w14:paraId="37A17F23" w14:textId="77777777" w:rsidR="00491058" w:rsidRDefault="00A07E37" w:rsidP="00281C97">
      <w:pPr>
        <w:pStyle w:val="BodyText3"/>
        <w:rPr>
          <w:szCs w:val="22"/>
        </w:rPr>
      </w:pPr>
      <w:r w:rsidRPr="0022656F">
        <w:rPr>
          <w:szCs w:val="22"/>
        </w:rPr>
        <w:t xml:space="preserve"> </w:t>
      </w:r>
    </w:p>
    <w:p w14:paraId="49973E40" w14:textId="77777777" w:rsidR="00EF241E" w:rsidRPr="0022656F" w:rsidRDefault="00EF241E" w:rsidP="00281C97">
      <w:pPr>
        <w:pStyle w:val="BodyText3"/>
        <w:rPr>
          <w:szCs w:val="22"/>
        </w:rPr>
      </w:pPr>
    </w:p>
    <w:p w14:paraId="4A3C039A" w14:textId="0F6CC1E7" w:rsidR="00582A42" w:rsidRDefault="00A07E37" w:rsidP="004A3A9A">
      <w:pPr>
        <w:pStyle w:val="BodyText3"/>
        <w:rPr>
          <w:szCs w:val="22"/>
        </w:rPr>
      </w:pPr>
      <w:r w:rsidRPr="00364E2D">
        <w:rPr>
          <w:szCs w:val="22"/>
        </w:rPr>
        <w:t>The Company currently finances its activities primarily by the private placement of securitie</w:t>
      </w:r>
      <w:r w:rsidR="00445054">
        <w:rPr>
          <w:szCs w:val="22"/>
        </w:rPr>
        <w:t>s, primarily shares and warrants</w:t>
      </w:r>
      <w:r w:rsidRPr="00364E2D">
        <w:rPr>
          <w:szCs w:val="22"/>
        </w:rPr>
        <w:t>. There is no assurance that equity funding will be accessible to the Company at the times and in the amounts required to fund the Company’s activities. There are many conditions beyond the Company’s control which have a direct bearing on the level of investor interest in the purchase of Company securities.</w:t>
      </w:r>
      <w:r w:rsidR="00445054">
        <w:rPr>
          <w:szCs w:val="22"/>
        </w:rPr>
        <w:t xml:space="preserve">  The Company has taken on some short-term loans to fund our acquisitions and</w:t>
      </w:r>
      <w:r w:rsidR="00CA417E">
        <w:rPr>
          <w:szCs w:val="22"/>
        </w:rPr>
        <w:t xml:space="preserve"> tries to purchase mining claims with shares and warrants, rather than cash.</w:t>
      </w:r>
      <w:r w:rsidRPr="00364E2D">
        <w:rPr>
          <w:szCs w:val="22"/>
        </w:rPr>
        <w:t xml:space="preserve"> The Company does not have “standby” credit facilities, or off-balance sheet arrangements and it does not use hedges or other financial derivatives. The Company has no agreements or understandings with any person as to additional financing. </w:t>
      </w:r>
      <w:r w:rsidR="004206AD">
        <w:rPr>
          <w:szCs w:val="22"/>
        </w:rPr>
        <w:t>The Company has been successful in raising funds by issuing Units consisting of shares and warrants over the past several months.</w:t>
      </w:r>
    </w:p>
    <w:p w14:paraId="7B63096D" w14:textId="77777777" w:rsidR="00A0548D" w:rsidRDefault="00A0548D" w:rsidP="004A3A9A">
      <w:pPr>
        <w:pStyle w:val="BodyText3"/>
        <w:rPr>
          <w:szCs w:val="22"/>
        </w:rPr>
      </w:pPr>
    </w:p>
    <w:p w14:paraId="052058EA" w14:textId="1D6B3C4C" w:rsidR="00F14426" w:rsidRDefault="001B424E" w:rsidP="00405DDC">
      <w:pPr>
        <w:pStyle w:val="BodyText3"/>
        <w:rPr>
          <w:szCs w:val="22"/>
        </w:rPr>
      </w:pPr>
      <w:r w:rsidRPr="006E1125">
        <w:rPr>
          <w:szCs w:val="22"/>
        </w:rPr>
        <w:t xml:space="preserve">At </w:t>
      </w:r>
      <w:r w:rsidR="00D75821">
        <w:rPr>
          <w:szCs w:val="22"/>
        </w:rPr>
        <w:t>June 30</w:t>
      </w:r>
      <w:r w:rsidR="00CA417E">
        <w:rPr>
          <w:szCs w:val="22"/>
        </w:rPr>
        <w:t xml:space="preserve">, 2020 </w:t>
      </w:r>
      <w:r w:rsidRPr="006E1125">
        <w:rPr>
          <w:szCs w:val="22"/>
        </w:rPr>
        <w:t>the Company had cash of $</w:t>
      </w:r>
      <w:r w:rsidR="004206AD">
        <w:rPr>
          <w:szCs w:val="22"/>
        </w:rPr>
        <w:t>27,037</w:t>
      </w:r>
      <w:r w:rsidR="00D75821">
        <w:rPr>
          <w:szCs w:val="22"/>
        </w:rPr>
        <w:t xml:space="preserve"> </w:t>
      </w:r>
      <w:r w:rsidRPr="006E1125">
        <w:rPr>
          <w:szCs w:val="22"/>
        </w:rPr>
        <w:t>(</w:t>
      </w:r>
      <w:r w:rsidR="002D2CDB" w:rsidRPr="006E1125">
        <w:rPr>
          <w:szCs w:val="22"/>
        </w:rPr>
        <w:t>September 30, 201</w:t>
      </w:r>
      <w:r w:rsidR="002C433B">
        <w:rPr>
          <w:szCs w:val="22"/>
        </w:rPr>
        <w:t>9</w:t>
      </w:r>
      <w:r w:rsidR="00677F55" w:rsidRPr="006E1125">
        <w:rPr>
          <w:szCs w:val="22"/>
        </w:rPr>
        <w:t xml:space="preserve"> </w:t>
      </w:r>
      <w:r w:rsidRPr="006E1125">
        <w:rPr>
          <w:szCs w:val="22"/>
        </w:rPr>
        <w:t>- $</w:t>
      </w:r>
      <w:r w:rsidR="002C433B">
        <w:rPr>
          <w:szCs w:val="22"/>
        </w:rPr>
        <w:t>1,381</w:t>
      </w:r>
      <w:r w:rsidRPr="006E1125">
        <w:rPr>
          <w:szCs w:val="22"/>
        </w:rPr>
        <w:t>), working capit</w:t>
      </w:r>
      <w:r w:rsidR="00085102">
        <w:rPr>
          <w:szCs w:val="22"/>
        </w:rPr>
        <w:t>al</w:t>
      </w:r>
      <w:r w:rsidR="004C3395">
        <w:rPr>
          <w:szCs w:val="22"/>
        </w:rPr>
        <w:t xml:space="preserve"> </w:t>
      </w:r>
      <w:r w:rsidRPr="006E1125">
        <w:rPr>
          <w:szCs w:val="22"/>
        </w:rPr>
        <w:t xml:space="preserve">of </w:t>
      </w:r>
      <w:r w:rsidR="004C5032">
        <w:rPr>
          <w:szCs w:val="22"/>
        </w:rPr>
        <w:t>$</w:t>
      </w:r>
      <w:r w:rsidR="004206AD">
        <w:rPr>
          <w:szCs w:val="22"/>
        </w:rPr>
        <w:t>205,778</w:t>
      </w:r>
      <w:r w:rsidR="00D75821">
        <w:rPr>
          <w:szCs w:val="22"/>
        </w:rPr>
        <w:t xml:space="preserve">          </w:t>
      </w:r>
      <w:r w:rsidRPr="006E1125">
        <w:rPr>
          <w:szCs w:val="22"/>
        </w:rPr>
        <w:t xml:space="preserve"> (</w:t>
      </w:r>
      <w:r w:rsidR="002D2CDB" w:rsidRPr="006E1125">
        <w:rPr>
          <w:szCs w:val="22"/>
        </w:rPr>
        <w:t>September 30, 201</w:t>
      </w:r>
      <w:r w:rsidR="002C433B">
        <w:rPr>
          <w:szCs w:val="22"/>
        </w:rPr>
        <w:t>9</w:t>
      </w:r>
      <w:r w:rsidR="00677F55" w:rsidRPr="006E1125">
        <w:rPr>
          <w:szCs w:val="22"/>
        </w:rPr>
        <w:t xml:space="preserve"> </w:t>
      </w:r>
      <w:r w:rsidRPr="006E1125">
        <w:rPr>
          <w:szCs w:val="22"/>
        </w:rPr>
        <w:t>–</w:t>
      </w:r>
      <w:r w:rsidR="002D5439">
        <w:rPr>
          <w:szCs w:val="22"/>
        </w:rPr>
        <w:t xml:space="preserve"> </w:t>
      </w:r>
      <w:r w:rsidR="004C3395">
        <w:rPr>
          <w:szCs w:val="22"/>
        </w:rPr>
        <w:t>$</w:t>
      </w:r>
      <w:r w:rsidR="002C433B">
        <w:rPr>
          <w:szCs w:val="22"/>
        </w:rPr>
        <w:t>130,790</w:t>
      </w:r>
      <w:r w:rsidRPr="006E1125">
        <w:rPr>
          <w:szCs w:val="22"/>
        </w:rPr>
        <w:t>) and an accumulated deficit of $</w:t>
      </w:r>
      <w:r w:rsidR="004206AD">
        <w:rPr>
          <w:szCs w:val="22"/>
        </w:rPr>
        <w:t xml:space="preserve">1,470,999 </w:t>
      </w:r>
      <w:r w:rsidR="002D2CDB" w:rsidRPr="006E1125">
        <w:rPr>
          <w:szCs w:val="22"/>
        </w:rPr>
        <w:t xml:space="preserve"> </w:t>
      </w:r>
      <w:r w:rsidRPr="006E1125">
        <w:rPr>
          <w:szCs w:val="22"/>
        </w:rPr>
        <w:t>(</w:t>
      </w:r>
      <w:r w:rsidR="002D2CDB" w:rsidRPr="006E1125">
        <w:rPr>
          <w:szCs w:val="22"/>
        </w:rPr>
        <w:t>September 30, 201</w:t>
      </w:r>
      <w:r w:rsidR="002C433B">
        <w:rPr>
          <w:szCs w:val="22"/>
        </w:rPr>
        <w:t>9</w:t>
      </w:r>
      <w:r w:rsidR="002D2CDB" w:rsidRPr="006E1125">
        <w:rPr>
          <w:szCs w:val="22"/>
        </w:rPr>
        <w:t xml:space="preserve"> </w:t>
      </w:r>
      <w:r w:rsidRPr="006E1125">
        <w:rPr>
          <w:szCs w:val="22"/>
        </w:rPr>
        <w:t>- $</w:t>
      </w:r>
      <w:r w:rsidR="000F5280">
        <w:rPr>
          <w:szCs w:val="22"/>
        </w:rPr>
        <w:t>1,</w:t>
      </w:r>
      <w:r w:rsidR="002C433B">
        <w:rPr>
          <w:szCs w:val="22"/>
        </w:rPr>
        <w:t>350,149</w:t>
      </w:r>
      <w:r w:rsidRPr="006E1125">
        <w:rPr>
          <w:szCs w:val="22"/>
        </w:rPr>
        <w:t>) and shareholders</w:t>
      </w:r>
      <w:r w:rsidR="002C433B">
        <w:rPr>
          <w:szCs w:val="22"/>
        </w:rPr>
        <w:t xml:space="preserve">’ </w:t>
      </w:r>
      <w:r w:rsidR="00085102">
        <w:rPr>
          <w:szCs w:val="22"/>
        </w:rPr>
        <w:t>equity</w:t>
      </w:r>
      <w:r w:rsidRPr="006E1125">
        <w:rPr>
          <w:szCs w:val="22"/>
        </w:rPr>
        <w:t xml:space="preserve"> of $</w:t>
      </w:r>
      <w:r w:rsidR="004206AD">
        <w:rPr>
          <w:szCs w:val="22"/>
        </w:rPr>
        <w:t>567,518</w:t>
      </w:r>
      <w:r w:rsidR="009D6547" w:rsidRPr="006E1125">
        <w:rPr>
          <w:szCs w:val="22"/>
        </w:rPr>
        <w:t xml:space="preserve"> </w:t>
      </w:r>
      <w:r w:rsidRPr="006E1125">
        <w:rPr>
          <w:szCs w:val="22"/>
        </w:rPr>
        <w:t>(</w:t>
      </w:r>
      <w:r w:rsidR="002D2CDB" w:rsidRPr="006E1125">
        <w:rPr>
          <w:szCs w:val="22"/>
        </w:rPr>
        <w:t>September 30, 201</w:t>
      </w:r>
      <w:r w:rsidR="002C433B">
        <w:rPr>
          <w:szCs w:val="22"/>
        </w:rPr>
        <w:t>9</w:t>
      </w:r>
      <w:r w:rsidR="002D2CDB" w:rsidRPr="006E1125">
        <w:rPr>
          <w:szCs w:val="22"/>
        </w:rPr>
        <w:t xml:space="preserve"> </w:t>
      </w:r>
      <w:r w:rsidRPr="006E1125">
        <w:rPr>
          <w:szCs w:val="22"/>
        </w:rPr>
        <w:t>-</w:t>
      </w:r>
      <w:r w:rsidR="00C516D0">
        <w:rPr>
          <w:szCs w:val="22"/>
        </w:rPr>
        <w:t xml:space="preserve"> </w:t>
      </w:r>
      <w:r w:rsidR="00E2580A">
        <w:rPr>
          <w:szCs w:val="22"/>
        </w:rPr>
        <w:t>$</w:t>
      </w:r>
      <w:r w:rsidR="002C433B">
        <w:rPr>
          <w:szCs w:val="22"/>
        </w:rPr>
        <w:t>334,910</w:t>
      </w:r>
      <w:r w:rsidR="00E2580A">
        <w:rPr>
          <w:szCs w:val="22"/>
        </w:rPr>
        <w:t>)</w:t>
      </w:r>
      <w:r w:rsidRPr="006E1125">
        <w:rPr>
          <w:szCs w:val="22"/>
        </w:rPr>
        <w:t>. As a</w:t>
      </w:r>
      <w:r w:rsidR="00E2580A">
        <w:rPr>
          <w:szCs w:val="22"/>
        </w:rPr>
        <w:t xml:space="preserve">t </w:t>
      </w:r>
      <w:r w:rsidR="00D75821">
        <w:rPr>
          <w:szCs w:val="22"/>
        </w:rPr>
        <w:t>June 30</w:t>
      </w:r>
      <w:r w:rsidRPr="006E1125">
        <w:rPr>
          <w:szCs w:val="22"/>
        </w:rPr>
        <w:t>,</w:t>
      </w:r>
      <w:r w:rsidR="00D75821">
        <w:rPr>
          <w:szCs w:val="22"/>
        </w:rPr>
        <w:t xml:space="preserve"> 2020</w:t>
      </w:r>
      <w:r w:rsidRPr="006E1125">
        <w:rPr>
          <w:szCs w:val="22"/>
        </w:rPr>
        <w:t xml:space="preserve"> the Company </w:t>
      </w:r>
      <w:r w:rsidR="00085102">
        <w:rPr>
          <w:szCs w:val="22"/>
        </w:rPr>
        <w:t>has</w:t>
      </w:r>
      <w:r w:rsidR="006756B7">
        <w:rPr>
          <w:szCs w:val="22"/>
        </w:rPr>
        <w:t xml:space="preserve"> sufficient </w:t>
      </w:r>
      <w:r w:rsidR="00085102">
        <w:rPr>
          <w:szCs w:val="22"/>
        </w:rPr>
        <w:t>workin</w:t>
      </w:r>
      <w:r w:rsidR="006756B7">
        <w:rPr>
          <w:szCs w:val="22"/>
        </w:rPr>
        <w:t>g c</w:t>
      </w:r>
      <w:r w:rsidR="00085102">
        <w:rPr>
          <w:szCs w:val="22"/>
        </w:rPr>
        <w:t>apital</w:t>
      </w:r>
      <w:r w:rsidR="006756B7">
        <w:rPr>
          <w:szCs w:val="22"/>
        </w:rPr>
        <w:t xml:space="preserve"> </w:t>
      </w:r>
      <w:r w:rsidRPr="006E1125">
        <w:rPr>
          <w:szCs w:val="22"/>
        </w:rPr>
        <w:t xml:space="preserve">to meet its obligations for accounts payable and accrued liabilities. Cash outflow </w:t>
      </w:r>
      <w:r w:rsidR="00F14426">
        <w:rPr>
          <w:szCs w:val="22"/>
        </w:rPr>
        <w:t xml:space="preserve">from </w:t>
      </w:r>
      <w:r w:rsidRPr="006E1125">
        <w:rPr>
          <w:szCs w:val="22"/>
        </w:rPr>
        <w:t xml:space="preserve">operations for </w:t>
      </w:r>
      <w:r w:rsidR="002A0166">
        <w:rPr>
          <w:szCs w:val="22"/>
        </w:rPr>
        <w:t>the</w:t>
      </w:r>
      <w:r w:rsidR="00953CB7">
        <w:rPr>
          <w:szCs w:val="22"/>
        </w:rPr>
        <w:t xml:space="preserve"> </w:t>
      </w:r>
      <w:r w:rsidR="00D75821">
        <w:rPr>
          <w:szCs w:val="22"/>
        </w:rPr>
        <w:t>nine</w:t>
      </w:r>
      <w:r w:rsidR="008E5262">
        <w:rPr>
          <w:szCs w:val="22"/>
        </w:rPr>
        <w:t xml:space="preserve"> months ended </w:t>
      </w:r>
      <w:r w:rsidR="00D75821">
        <w:rPr>
          <w:szCs w:val="22"/>
        </w:rPr>
        <w:t>June 30</w:t>
      </w:r>
      <w:r w:rsidR="008E5262">
        <w:rPr>
          <w:szCs w:val="22"/>
        </w:rPr>
        <w:t>, 2020</w:t>
      </w:r>
      <w:r w:rsidRPr="006E1125">
        <w:rPr>
          <w:szCs w:val="22"/>
        </w:rPr>
        <w:t xml:space="preserve"> </w:t>
      </w:r>
      <w:r w:rsidR="00953CB7">
        <w:rPr>
          <w:szCs w:val="22"/>
        </w:rPr>
        <w:t xml:space="preserve">decreased </w:t>
      </w:r>
      <w:r w:rsidR="006756B7">
        <w:rPr>
          <w:szCs w:val="22"/>
        </w:rPr>
        <w:t>to $</w:t>
      </w:r>
      <w:r w:rsidR="004206AD">
        <w:rPr>
          <w:szCs w:val="22"/>
        </w:rPr>
        <w:t>225,5</w:t>
      </w:r>
      <w:r w:rsidR="00704301">
        <w:rPr>
          <w:szCs w:val="22"/>
        </w:rPr>
        <w:t>65</w:t>
      </w:r>
      <w:r w:rsidR="00D75821">
        <w:rPr>
          <w:szCs w:val="22"/>
        </w:rPr>
        <w:t xml:space="preserve"> </w:t>
      </w:r>
      <w:r w:rsidR="006756B7">
        <w:rPr>
          <w:szCs w:val="22"/>
        </w:rPr>
        <w:t>(201</w:t>
      </w:r>
      <w:r w:rsidR="008E5262">
        <w:rPr>
          <w:szCs w:val="22"/>
        </w:rPr>
        <w:t>9</w:t>
      </w:r>
      <w:r w:rsidR="006756B7">
        <w:rPr>
          <w:szCs w:val="22"/>
        </w:rPr>
        <w:t xml:space="preserve"> - $</w:t>
      </w:r>
      <w:r w:rsidR="004206AD">
        <w:rPr>
          <w:szCs w:val="22"/>
        </w:rPr>
        <w:t>325</w:t>
      </w:r>
      <w:r w:rsidR="00704301">
        <w:rPr>
          <w:szCs w:val="22"/>
        </w:rPr>
        <w:t>,</w:t>
      </w:r>
      <w:r w:rsidR="004206AD">
        <w:rPr>
          <w:szCs w:val="22"/>
        </w:rPr>
        <w:t>955</w:t>
      </w:r>
      <w:r w:rsidR="006756B7">
        <w:rPr>
          <w:szCs w:val="22"/>
        </w:rPr>
        <w:t>)</w:t>
      </w:r>
      <w:r w:rsidR="004C3395">
        <w:rPr>
          <w:szCs w:val="22"/>
        </w:rPr>
        <w:t>.</w:t>
      </w:r>
      <w:r w:rsidR="006756B7">
        <w:rPr>
          <w:szCs w:val="22"/>
        </w:rPr>
        <w:t xml:space="preserve">  This </w:t>
      </w:r>
      <w:r w:rsidR="00953CB7">
        <w:rPr>
          <w:szCs w:val="22"/>
        </w:rPr>
        <w:t>decrease</w:t>
      </w:r>
      <w:r w:rsidR="006756B7">
        <w:rPr>
          <w:szCs w:val="22"/>
        </w:rPr>
        <w:t xml:space="preserve"> in cash </w:t>
      </w:r>
      <w:r w:rsidR="003942BB">
        <w:rPr>
          <w:szCs w:val="22"/>
        </w:rPr>
        <w:t>outflow from operating activities was primarily due</w:t>
      </w:r>
      <w:r w:rsidR="00445054">
        <w:rPr>
          <w:szCs w:val="22"/>
        </w:rPr>
        <w:t xml:space="preserve"> to the purchase of </w:t>
      </w:r>
      <w:r w:rsidR="004206AD">
        <w:rPr>
          <w:szCs w:val="22"/>
        </w:rPr>
        <w:t xml:space="preserve">less equipment and retail inventory </w:t>
      </w:r>
      <w:r w:rsidR="00704301">
        <w:rPr>
          <w:szCs w:val="22"/>
        </w:rPr>
        <w:t>in the current nine-month period as the initial inventory purchases were made in the prior year.</w:t>
      </w:r>
      <w:r w:rsidR="003942BB">
        <w:rPr>
          <w:szCs w:val="22"/>
        </w:rPr>
        <w:t xml:space="preserve"> The Company had a significant</w:t>
      </w:r>
      <w:r w:rsidR="007C4295">
        <w:rPr>
          <w:szCs w:val="22"/>
        </w:rPr>
        <w:t xml:space="preserve"> cash</w:t>
      </w:r>
      <w:r w:rsidR="003942BB">
        <w:rPr>
          <w:szCs w:val="22"/>
        </w:rPr>
        <w:t xml:space="preserve"> </w:t>
      </w:r>
      <w:r w:rsidR="00FB626F">
        <w:rPr>
          <w:szCs w:val="22"/>
        </w:rPr>
        <w:t>outflow</w:t>
      </w:r>
      <w:r w:rsidR="005A2C35">
        <w:rPr>
          <w:szCs w:val="22"/>
        </w:rPr>
        <w:t xml:space="preserve"> from investing activities</w:t>
      </w:r>
      <w:r w:rsidR="00953CB7">
        <w:rPr>
          <w:szCs w:val="22"/>
        </w:rPr>
        <w:t xml:space="preserve"> in the </w:t>
      </w:r>
      <w:r w:rsidR="00D75821">
        <w:rPr>
          <w:szCs w:val="22"/>
        </w:rPr>
        <w:t>nine</w:t>
      </w:r>
      <w:r w:rsidR="00953CB7">
        <w:rPr>
          <w:szCs w:val="22"/>
        </w:rPr>
        <w:t xml:space="preserve"> months ended</w:t>
      </w:r>
      <w:r w:rsidR="008E5262">
        <w:rPr>
          <w:szCs w:val="22"/>
        </w:rPr>
        <w:t xml:space="preserve"> </w:t>
      </w:r>
      <w:r w:rsidR="00D75821">
        <w:rPr>
          <w:szCs w:val="22"/>
        </w:rPr>
        <w:t>June 30</w:t>
      </w:r>
      <w:r w:rsidR="008E5262">
        <w:rPr>
          <w:szCs w:val="22"/>
        </w:rPr>
        <w:t>, 2020 as the Company spent money acquiring mining claims and doing and planning exploration work</w:t>
      </w:r>
      <w:r w:rsidR="00953CB7">
        <w:rPr>
          <w:szCs w:val="22"/>
        </w:rPr>
        <w:t>,</w:t>
      </w:r>
      <w:r w:rsidR="00C02945">
        <w:rPr>
          <w:szCs w:val="22"/>
        </w:rPr>
        <w:t xml:space="preserve"> </w:t>
      </w:r>
      <w:r w:rsidR="00FB626F">
        <w:rPr>
          <w:szCs w:val="22"/>
        </w:rPr>
        <w:t>specifically $</w:t>
      </w:r>
      <w:r w:rsidR="00704301">
        <w:rPr>
          <w:szCs w:val="22"/>
        </w:rPr>
        <w:t>170.165</w:t>
      </w:r>
      <w:r w:rsidR="00D75821">
        <w:rPr>
          <w:szCs w:val="22"/>
        </w:rPr>
        <w:t xml:space="preserve"> </w:t>
      </w:r>
      <w:r w:rsidR="00C02945">
        <w:rPr>
          <w:szCs w:val="22"/>
        </w:rPr>
        <w:t>(2019-$</w:t>
      </w:r>
      <w:r w:rsidR="00704301">
        <w:rPr>
          <w:szCs w:val="22"/>
        </w:rPr>
        <w:t>92,049</w:t>
      </w:r>
      <w:r w:rsidR="00C02945">
        <w:rPr>
          <w:szCs w:val="22"/>
        </w:rPr>
        <w:t>)</w:t>
      </w:r>
      <w:r w:rsidR="00FB626F">
        <w:rPr>
          <w:szCs w:val="22"/>
        </w:rPr>
        <w:t xml:space="preserve"> for </w:t>
      </w:r>
      <w:r w:rsidR="00953CB7">
        <w:rPr>
          <w:szCs w:val="22"/>
        </w:rPr>
        <w:t xml:space="preserve">exploration and evaluation work on the </w:t>
      </w:r>
      <w:r w:rsidR="00704301">
        <w:rPr>
          <w:szCs w:val="22"/>
        </w:rPr>
        <w:t xml:space="preserve">Company’s </w:t>
      </w:r>
      <w:r w:rsidR="00953CB7">
        <w:rPr>
          <w:szCs w:val="22"/>
        </w:rPr>
        <w:t>mining claims</w:t>
      </w:r>
      <w:r w:rsidR="00C02945">
        <w:rPr>
          <w:szCs w:val="22"/>
        </w:rPr>
        <w:t>.</w:t>
      </w:r>
      <w:r w:rsidR="00F14426">
        <w:rPr>
          <w:szCs w:val="22"/>
        </w:rPr>
        <w:t xml:space="preserve"> </w:t>
      </w:r>
      <w:r w:rsidR="005A2C35">
        <w:rPr>
          <w:szCs w:val="22"/>
        </w:rPr>
        <w:t xml:space="preserve">The Company’s financing activities had a significant positive impact on the Company’s cash and working capital in the </w:t>
      </w:r>
      <w:r w:rsidR="00D75821">
        <w:rPr>
          <w:szCs w:val="22"/>
        </w:rPr>
        <w:t>nine</w:t>
      </w:r>
      <w:r w:rsidR="00C02945">
        <w:rPr>
          <w:szCs w:val="22"/>
        </w:rPr>
        <w:t xml:space="preserve"> months ended </w:t>
      </w:r>
      <w:r w:rsidR="00D75821">
        <w:rPr>
          <w:szCs w:val="22"/>
        </w:rPr>
        <w:t>June 30</w:t>
      </w:r>
      <w:r w:rsidR="00C02945">
        <w:rPr>
          <w:szCs w:val="22"/>
        </w:rPr>
        <w:t>, 2020</w:t>
      </w:r>
      <w:r w:rsidR="0025694B">
        <w:rPr>
          <w:szCs w:val="22"/>
        </w:rPr>
        <w:t xml:space="preserve">. </w:t>
      </w:r>
      <w:r w:rsidR="007C4295">
        <w:rPr>
          <w:szCs w:val="22"/>
        </w:rPr>
        <w:t>T</w:t>
      </w:r>
      <w:r w:rsidR="00F14426">
        <w:rPr>
          <w:szCs w:val="22"/>
        </w:rPr>
        <w:t xml:space="preserve">he </w:t>
      </w:r>
      <w:r w:rsidR="0025694B">
        <w:rPr>
          <w:szCs w:val="22"/>
        </w:rPr>
        <w:t>Company cl</w:t>
      </w:r>
      <w:r w:rsidR="00A97BA2">
        <w:rPr>
          <w:szCs w:val="22"/>
        </w:rPr>
        <w:t xml:space="preserve">osed </w:t>
      </w:r>
      <w:r w:rsidR="00704301">
        <w:rPr>
          <w:szCs w:val="22"/>
        </w:rPr>
        <w:t>equity</w:t>
      </w:r>
      <w:r w:rsidR="00A97BA2">
        <w:rPr>
          <w:szCs w:val="22"/>
        </w:rPr>
        <w:t xml:space="preserve"> financing</w:t>
      </w:r>
      <w:r w:rsidR="00704301">
        <w:rPr>
          <w:szCs w:val="22"/>
        </w:rPr>
        <w:t>s</w:t>
      </w:r>
      <w:r w:rsidR="00A97BA2">
        <w:rPr>
          <w:szCs w:val="22"/>
        </w:rPr>
        <w:t xml:space="preserve"> for net proceeds of $</w:t>
      </w:r>
      <w:r w:rsidR="00704301">
        <w:rPr>
          <w:szCs w:val="22"/>
        </w:rPr>
        <w:t>353,458 (2019-$136,163</w:t>
      </w:r>
      <w:r w:rsidR="00C02945">
        <w:rPr>
          <w:szCs w:val="22"/>
        </w:rPr>
        <w:t xml:space="preserve"> and </w:t>
      </w:r>
      <w:r w:rsidR="006E3A49">
        <w:rPr>
          <w:szCs w:val="22"/>
        </w:rPr>
        <w:t>increased its short</w:t>
      </w:r>
      <w:r w:rsidR="00704301">
        <w:rPr>
          <w:szCs w:val="22"/>
        </w:rPr>
        <w:t>-</w:t>
      </w:r>
      <w:r w:rsidR="006E3A49">
        <w:rPr>
          <w:szCs w:val="22"/>
        </w:rPr>
        <w:t xml:space="preserve"> term loans </w:t>
      </w:r>
      <w:r w:rsidR="00704301">
        <w:rPr>
          <w:szCs w:val="22"/>
        </w:rPr>
        <w:t>by</w:t>
      </w:r>
      <w:r w:rsidR="006E3A49">
        <w:rPr>
          <w:szCs w:val="22"/>
        </w:rPr>
        <w:t xml:space="preserve"> the amount of $</w:t>
      </w:r>
      <w:r w:rsidR="00D75821">
        <w:rPr>
          <w:szCs w:val="22"/>
        </w:rPr>
        <w:t xml:space="preserve"> </w:t>
      </w:r>
      <w:r w:rsidR="00704301">
        <w:rPr>
          <w:szCs w:val="22"/>
        </w:rPr>
        <w:t>85,078</w:t>
      </w:r>
      <w:r w:rsidR="006E3A49">
        <w:rPr>
          <w:szCs w:val="22"/>
        </w:rPr>
        <w:t xml:space="preserve"> (2019-$</w:t>
      </w:r>
      <w:r w:rsidR="00D75821">
        <w:rPr>
          <w:szCs w:val="22"/>
        </w:rPr>
        <w:t xml:space="preserve"> </w:t>
      </w:r>
      <w:r w:rsidR="00704301">
        <w:rPr>
          <w:szCs w:val="22"/>
        </w:rPr>
        <w:t>47,904</w:t>
      </w:r>
      <w:r w:rsidR="00D75821">
        <w:rPr>
          <w:szCs w:val="22"/>
        </w:rPr>
        <w:t>).</w:t>
      </w:r>
    </w:p>
    <w:p w14:paraId="7ACADE37" w14:textId="77777777" w:rsidR="00704301" w:rsidRDefault="00704301" w:rsidP="00405DDC">
      <w:pPr>
        <w:pStyle w:val="BodyText3"/>
        <w:rPr>
          <w:szCs w:val="22"/>
        </w:rPr>
      </w:pPr>
    </w:p>
    <w:p w14:paraId="44FFC819" w14:textId="35F4DF44" w:rsidR="00294A26" w:rsidRDefault="001B424E" w:rsidP="00405DDC">
      <w:pPr>
        <w:pStyle w:val="BodyText3"/>
        <w:rPr>
          <w:szCs w:val="22"/>
        </w:rPr>
      </w:pPr>
      <w:r w:rsidRPr="006E1125">
        <w:rPr>
          <w:szCs w:val="22"/>
        </w:rPr>
        <w:t xml:space="preserve"> The Company</w:t>
      </w:r>
      <w:r w:rsidR="00FB626F">
        <w:rPr>
          <w:szCs w:val="22"/>
        </w:rPr>
        <w:t>’s long-term debt consists of a vehicle loan and convertible debentures</w:t>
      </w:r>
      <w:r w:rsidR="006E3A49">
        <w:rPr>
          <w:szCs w:val="22"/>
        </w:rPr>
        <w:t xml:space="preserve"> with a combined total of $</w:t>
      </w:r>
      <w:r w:rsidR="00704301">
        <w:rPr>
          <w:szCs w:val="22"/>
        </w:rPr>
        <w:t>106,506</w:t>
      </w:r>
      <w:r w:rsidR="006E3A49">
        <w:rPr>
          <w:szCs w:val="22"/>
        </w:rPr>
        <w:t xml:space="preserve"> (September 30. 2019-$98,848)</w:t>
      </w:r>
      <w:r w:rsidRPr="006E1125">
        <w:rPr>
          <w:szCs w:val="22"/>
        </w:rPr>
        <w:t xml:space="preserve"> </w:t>
      </w:r>
      <w:r w:rsidR="0066519F">
        <w:rPr>
          <w:szCs w:val="22"/>
        </w:rPr>
        <w:t>C</w:t>
      </w:r>
      <w:r w:rsidRPr="006E1125">
        <w:rPr>
          <w:szCs w:val="22"/>
        </w:rPr>
        <w:t xml:space="preserve">urrent liabilities at </w:t>
      </w:r>
      <w:r w:rsidR="00AA1D28">
        <w:rPr>
          <w:szCs w:val="22"/>
        </w:rPr>
        <w:t>June 30,</w:t>
      </w:r>
      <w:r w:rsidR="006E3A49">
        <w:rPr>
          <w:szCs w:val="22"/>
        </w:rPr>
        <w:t xml:space="preserve"> 2020</w:t>
      </w:r>
      <w:r w:rsidR="00BB1EC4" w:rsidRPr="006E1125">
        <w:rPr>
          <w:szCs w:val="22"/>
        </w:rPr>
        <w:t xml:space="preserve"> </w:t>
      </w:r>
      <w:r w:rsidRPr="006E1125">
        <w:rPr>
          <w:szCs w:val="22"/>
        </w:rPr>
        <w:t>were $</w:t>
      </w:r>
      <w:r w:rsidR="006A642F">
        <w:rPr>
          <w:szCs w:val="22"/>
        </w:rPr>
        <w:t>318,889</w:t>
      </w:r>
      <w:r w:rsidR="00AA1D28">
        <w:rPr>
          <w:szCs w:val="22"/>
        </w:rPr>
        <w:t xml:space="preserve"> </w:t>
      </w:r>
      <w:r w:rsidRPr="006E1125">
        <w:rPr>
          <w:szCs w:val="22"/>
        </w:rPr>
        <w:t>(</w:t>
      </w:r>
      <w:r w:rsidR="002D2CDB" w:rsidRPr="006E1125">
        <w:rPr>
          <w:szCs w:val="22"/>
        </w:rPr>
        <w:t>September 30, 201</w:t>
      </w:r>
      <w:r w:rsidR="00A97BA2">
        <w:rPr>
          <w:szCs w:val="22"/>
        </w:rPr>
        <w:t>9</w:t>
      </w:r>
      <w:r w:rsidR="00677F55" w:rsidRPr="006E1125">
        <w:rPr>
          <w:szCs w:val="22"/>
        </w:rPr>
        <w:t xml:space="preserve"> </w:t>
      </w:r>
      <w:r w:rsidRPr="006E1125">
        <w:rPr>
          <w:szCs w:val="22"/>
        </w:rPr>
        <w:t>- $</w:t>
      </w:r>
      <w:r w:rsidR="00A97BA2">
        <w:rPr>
          <w:szCs w:val="22"/>
        </w:rPr>
        <w:t>188,455</w:t>
      </w:r>
      <w:r w:rsidRPr="006E1125">
        <w:rPr>
          <w:szCs w:val="22"/>
        </w:rPr>
        <w:t>).</w:t>
      </w:r>
      <w:r w:rsidRPr="00283891">
        <w:rPr>
          <w:szCs w:val="22"/>
        </w:rPr>
        <w:t xml:space="preserve"> </w:t>
      </w:r>
    </w:p>
    <w:p w14:paraId="23AC3EAD" w14:textId="77777777" w:rsidR="00F14426" w:rsidRDefault="00F14426" w:rsidP="00405DDC">
      <w:pPr>
        <w:pStyle w:val="BodyText3"/>
        <w:rPr>
          <w:b/>
          <w:color w:val="000000"/>
          <w:szCs w:val="22"/>
        </w:rPr>
      </w:pPr>
    </w:p>
    <w:p w14:paraId="21ED334A" w14:textId="77777777" w:rsidR="001B424E" w:rsidRPr="00283891" w:rsidRDefault="001B424E" w:rsidP="005942D3">
      <w:pPr>
        <w:pStyle w:val="Heading5"/>
      </w:pPr>
      <w:r w:rsidRPr="00283891">
        <w:t>Cash Flow</w:t>
      </w:r>
    </w:p>
    <w:p w14:paraId="23D55974" w14:textId="77777777" w:rsidR="001B424E" w:rsidRPr="00283891" w:rsidRDefault="001B424E" w:rsidP="001B424E">
      <w:pPr>
        <w:pStyle w:val="BodyText2"/>
        <w:rPr>
          <w:i/>
          <w:szCs w:val="22"/>
        </w:rPr>
      </w:pPr>
    </w:p>
    <w:p w14:paraId="4AD57A20" w14:textId="36E7DC4A" w:rsidR="005B6D47" w:rsidRDefault="001B424E" w:rsidP="008832D2">
      <w:pPr>
        <w:jc w:val="both"/>
        <w:rPr>
          <w:szCs w:val="22"/>
        </w:rPr>
      </w:pPr>
      <w:r w:rsidRPr="006E1125">
        <w:rPr>
          <w:i/>
          <w:szCs w:val="22"/>
        </w:rPr>
        <w:t>Operating activities</w:t>
      </w:r>
      <w:r w:rsidRPr="006E1125">
        <w:rPr>
          <w:b/>
          <w:szCs w:val="22"/>
        </w:rPr>
        <w:t>:</w:t>
      </w:r>
      <w:r w:rsidRPr="006E1125">
        <w:rPr>
          <w:b/>
          <w:szCs w:val="22"/>
        </w:rPr>
        <w:tab/>
      </w:r>
      <w:r w:rsidRPr="006E1125">
        <w:rPr>
          <w:szCs w:val="22"/>
        </w:rPr>
        <w:t xml:space="preserve">The Company’s cash </w:t>
      </w:r>
      <w:r w:rsidR="004277B5">
        <w:rPr>
          <w:szCs w:val="22"/>
        </w:rPr>
        <w:t xml:space="preserve">used in </w:t>
      </w:r>
      <w:r w:rsidR="0092047B">
        <w:rPr>
          <w:szCs w:val="22"/>
        </w:rPr>
        <w:t>opera</w:t>
      </w:r>
      <w:r w:rsidRPr="006E1125">
        <w:rPr>
          <w:szCs w:val="22"/>
        </w:rPr>
        <w:t>ting activities was $</w:t>
      </w:r>
      <w:r w:rsidR="006A642F">
        <w:rPr>
          <w:szCs w:val="22"/>
        </w:rPr>
        <w:t>225,565</w:t>
      </w:r>
      <w:r w:rsidR="00141C3C">
        <w:rPr>
          <w:szCs w:val="22"/>
        </w:rPr>
        <w:t xml:space="preserve"> </w:t>
      </w:r>
      <w:r w:rsidR="00A63A06">
        <w:rPr>
          <w:szCs w:val="22"/>
        </w:rPr>
        <w:t>in the</w:t>
      </w:r>
      <w:r w:rsidR="006E3A49">
        <w:rPr>
          <w:szCs w:val="22"/>
        </w:rPr>
        <w:t xml:space="preserve"> </w:t>
      </w:r>
      <w:r w:rsidR="00BC27C3">
        <w:rPr>
          <w:szCs w:val="22"/>
        </w:rPr>
        <w:t>nine</w:t>
      </w:r>
      <w:r w:rsidR="00AE75EC">
        <w:rPr>
          <w:szCs w:val="22"/>
        </w:rPr>
        <w:t xml:space="preserve"> months</w:t>
      </w:r>
      <w:r w:rsidR="00F14426">
        <w:rPr>
          <w:szCs w:val="22"/>
        </w:rPr>
        <w:t xml:space="preserve"> </w:t>
      </w:r>
      <w:r w:rsidR="00F155F8">
        <w:rPr>
          <w:szCs w:val="22"/>
        </w:rPr>
        <w:t>ended</w:t>
      </w:r>
      <w:r w:rsidR="00977A50">
        <w:rPr>
          <w:szCs w:val="22"/>
        </w:rPr>
        <w:t xml:space="preserve"> </w:t>
      </w:r>
      <w:r w:rsidR="00BC27C3">
        <w:rPr>
          <w:szCs w:val="22"/>
        </w:rPr>
        <w:t>June 30</w:t>
      </w:r>
      <w:r w:rsidR="006E3A49">
        <w:rPr>
          <w:szCs w:val="22"/>
        </w:rPr>
        <w:t>, 2020</w:t>
      </w:r>
      <w:r w:rsidR="0066519F">
        <w:rPr>
          <w:szCs w:val="22"/>
        </w:rPr>
        <w:t xml:space="preserve"> </w:t>
      </w:r>
      <w:r w:rsidRPr="006E1125">
        <w:rPr>
          <w:szCs w:val="22"/>
        </w:rPr>
        <w:t>(</w:t>
      </w:r>
      <w:r w:rsidR="009D6547" w:rsidRPr="006E1125">
        <w:rPr>
          <w:szCs w:val="22"/>
        </w:rPr>
        <w:t>201</w:t>
      </w:r>
      <w:r w:rsidR="006E3A49">
        <w:rPr>
          <w:szCs w:val="22"/>
        </w:rPr>
        <w:t>9</w:t>
      </w:r>
      <w:r w:rsidR="00793C2A">
        <w:rPr>
          <w:szCs w:val="22"/>
        </w:rPr>
        <w:t xml:space="preserve"> </w:t>
      </w:r>
      <w:r w:rsidR="00A63A06">
        <w:rPr>
          <w:szCs w:val="22"/>
        </w:rPr>
        <w:t>-</w:t>
      </w:r>
      <w:r w:rsidR="00C61200">
        <w:rPr>
          <w:szCs w:val="22"/>
        </w:rPr>
        <w:t>$</w:t>
      </w:r>
      <w:r w:rsidR="006A642F">
        <w:rPr>
          <w:szCs w:val="22"/>
        </w:rPr>
        <w:t>325,955</w:t>
      </w:r>
      <w:r w:rsidRPr="006E1125">
        <w:rPr>
          <w:szCs w:val="22"/>
        </w:rPr>
        <w:t>)</w:t>
      </w:r>
      <w:r w:rsidR="00A63A06">
        <w:rPr>
          <w:szCs w:val="22"/>
        </w:rPr>
        <w:t>.</w:t>
      </w:r>
      <w:r w:rsidR="000D5DBC">
        <w:rPr>
          <w:szCs w:val="22"/>
        </w:rPr>
        <w:t xml:space="preserve">  </w:t>
      </w:r>
      <w:r w:rsidR="00FA3B9E">
        <w:rPr>
          <w:szCs w:val="22"/>
        </w:rPr>
        <w:t xml:space="preserve">The significant </w:t>
      </w:r>
      <w:r w:rsidR="00AE75EC">
        <w:rPr>
          <w:szCs w:val="22"/>
        </w:rPr>
        <w:t>decrease</w:t>
      </w:r>
      <w:r w:rsidR="00FA3B9E">
        <w:rPr>
          <w:szCs w:val="22"/>
        </w:rPr>
        <w:t xml:space="preserve"> in cash used in operating activities was primarily due to </w:t>
      </w:r>
      <w:r w:rsidR="006A642F">
        <w:rPr>
          <w:szCs w:val="22"/>
        </w:rPr>
        <w:t>incremental inventory purchases in the current year, versus purchasing the Company’s initial equipment and retail inventory in the prior year</w:t>
      </w:r>
      <w:r w:rsidR="0025694B">
        <w:rPr>
          <w:szCs w:val="22"/>
        </w:rPr>
        <w:t xml:space="preserve"> </w:t>
      </w:r>
      <w:r w:rsidR="00872AD0">
        <w:rPr>
          <w:szCs w:val="22"/>
        </w:rPr>
        <w:t xml:space="preserve">  </w:t>
      </w:r>
    </w:p>
    <w:p w14:paraId="7ABB064C" w14:textId="77777777" w:rsidR="000D5DBC" w:rsidRDefault="000D5DBC" w:rsidP="008832D2">
      <w:pPr>
        <w:jc w:val="both"/>
        <w:rPr>
          <w:szCs w:val="22"/>
        </w:rPr>
      </w:pPr>
    </w:p>
    <w:p w14:paraId="73ED884B" w14:textId="4ABB66D5" w:rsidR="00F155F8" w:rsidRDefault="00510F11" w:rsidP="008832D2">
      <w:pPr>
        <w:jc w:val="both"/>
        <w:rPr>
          <w:szCs w:val="22"/>
        </w:rPr>
      </w:pPr>
      <w:r w:rsidRPr="00510F11">
        <w:rPr>
          <w:i/>
          <w:szCs w:val="22"/>
        </w:rPr>
        <w:t>Financing activities:</w:t>
      </w:r>
      <w:r>
        <w:rPr>
          <w:szCs w:val="22"/>
        </w:rPr>
        <w:t xml:space="preserve"> </w:t>
      </w:r>
      <w:r w:rsidR="00F155F8">
        <w:rPr>
          <w:szCs w:val="22"/>
        </w:rPr>
        <w:t xml:space="preserve">Cash generated </w:t>
      </w:r>
      <w:r w:rsidR="0062625E">
        <w:rPr>
          <w:szCs w:val="22"/>
        </w:rPr>
        <w:t>in financing activities in</w:t>
      </w:r>
      <w:r w:rsidR="00F40141">
        <w:rPr>
          <w:szCs w:val="22"/>
        </w:rPr>
        <w:t xml:space="preserve"> the </w:t>
      </w:r>
      <w:r w:rsidR="00BC27C3">
        <w:rPr>
          <w:szCs w:val="22"/>
        </w:rPr>
        <w:t>nine</w:t>
      </w:r>
      <w:r w:rsidR="00F40141">
        <w:rPr>
          <w:szCs w:val="22"/>
        </w:rPr>
        <w:t xml:space="preserve"> months ended</w:t>
      </w:r>
      <w:r w:rsidR="008F10D9">
        <w:rPr>
          <w:szCs w:val="22"/>
        </w:rPr>
        <w:t xml:space="preserve"> </w:t>
      </w:r>
      <w:r w:rsidR="00BC27C3">
        <w:rPr>
          <w:szCs w:val="22"/>
        </w:rPr>
        <w:t>June 30</w:t>
      </w:r>
      <w:r w:rsidR="00C61200">
        <w:rPr>
          <w:szCs w:val="22"/>
        </w:rPr>
        <w:t>, 2020</w:t>
      </w:r>
      <w:r w:rsidR="006A642F">
        <w:rPr>
          <w:szCs w:val="22"/>
        </w:rPr>
        <w:t xml:space="preserve"> increased</w:t>
      </w:r>
      <w:r w:rsidR="008F10D9">
        <w:rPr>
          <w:szCs w:val="22"/>
        </w:rPr>
        <w:t xml:space="preserve"> to $</w:t>
      </w:r>
      <w:r w:rsidR="006A642F">
        <w:rPr>
          <w:szCs w:val="22"/>
        </w:rPr>
        <w:t>421,386</w:t>
      </w:r>
      <w:r w:rsidR="00BC27C3">
        <w:rPr>
          <w:szCs w:val="22"/>
        </w:rPr>
        <w:t xml:space="preserve"> </w:t>
      </w:r>
      <w:r w:rsidR="008F10D9">
        <w:rPr>
          <w:szCs w:val="22"/>
        </w:rPr>
        <w:t>(201</w:t>
      </w:r>
      <w:r w:rsidR="00BC27C3">
        <w:rPr>
          <w:szCs w:val="22"/>
        </w:rPr>
        <w:t>9</w:t>
      </w:r>
      <w:r w:rsidR="008F10D9">
        <w:rPr>
          <w:szCs w:val="22"/>
        </w:rPr>
        <w:t xml:space="preserve"> -$</w:t>
      </w:r>
      <w:r w:rsidR="00BC27C3">
        <w:rPr>
          <w:szCs w:val="22"/>
        </w:rPr>
        <w:t xml:space="preserve"> </w:t>
      </w:r>
      <w:r w:rsidR="006A642F">
        <w:rPr>
          <w:szCs w:val="22"/>
        </w:rPr>
        <w:t>244,140</w:t>
      </w:r>
      <w:r w:rsidR="008F10D9">
        <w:rPr>
          <w:szCs w:val="22"/>
        </w:rPr>
        <w:t xml:space="preserve">). </w:t>
      </w:r>
      <w:r w:rsidR="00FA3B9E">
        <w:rPr>
          <w:szCs w:val="22"/>
        </w:rPr>
        <w:t>The Company</w:t>
      </w:r>
      <w:r w:rsidR="006A642F">
        <w:rPr>
          <w:szCs w:val="22"/>
        </w:rPr>
        <w:t xml:space="preserve"> was successful in raising more equity capital in the first nine months of 2020 versus the same period in 2019.</w:t>
      </w:r>
      <w:r w:rsidR="00FA3B9E">
        <w:rPr>
          <w:szCs w:val="22"/>
        </w:rPr>
        <w:t xml:space="preserve"> </w:t>
      </w:r>
    </w:p>
    <w:p w14:paraId="7A929AA8" w14:textId="77777777" w:rsidR="0025694B" w:rsidRDefault="0025694B" w:rsidP="008832D2">
      <w:pPr>
        <w:jc w:val="both"/>
        <w:rPr>
          <w:szCs w:val="22"/>
        </w:rPr>
      </w:pPr>
    </w:p>
    <w:p w14:paraId="310A3ED2" w14:textId="77777777" w:rsidR="00537B93" w:rsidRDefault="0025694B" w:rsidP="008832D2">
      <w:pPr>
        <w:jc w:val="both"/>
        <w:rPr>
          <w:szCs w:val="22"/>
        </w:rPr>
      </w:pPr>
      <w:r w:rsidRPr="0025694B">
        <w:rPr>
          <w:i/>
          <w:szCs w:val="22"/>
        </w:rPr>
        <w:t>Investing activities</w:t>
      </w:r>
      <w:r w:rsidRPr="00F80AF8">
        <w:rPr>
          <w:szCs w:val="22"/>
        </w:rPr>
        <w:t>:  Cas</w:t>
      </w:r>
      <w:r w:rsidR="00F80AF8" w:rsidRPr="00F80AF8">
        <w:rPr>
          <w:szCs w:val="22"/>
        </w:rPr>
        <w:t xml:space="preserve">h </w:t>
      </w:r>
      <w:r w:rsidR="00FA3B9E">
        <w:rPr>
          <w:szCs w:val="22"/>
        </w:rPr>
        <w:t>used</w:t>
      </w:r>
      <w:r w:rsidR="00F80AF8" w:rsidRPr="00F80AF8">
        <w:rPr>
          <w:szCs w:val="22"/>
        </w:rPr>
        <w:t xml:space="preserve"> in investing activities increased in the </w:t>
      </w:r>
      <w:r w:rsidR="00541269">
        <w:rPr>
          <w:szCs w:val="22"/>
        </w:rPr>
        <w:t xml:space="preserve">three months ended </w:t>
      </w:r>
      <w:r w:rsidR="00B02F01">
        <w:rPr>
          <w:szCs w:val="22"/>
        </w:rPr>
        <w:t>June 30</w:t>
      </w:r>
      <w:r w:rsidR="00E15742">
        <w:rPr>
          <w:szCs w:val="22"/>
        </w:rPr>
        <w:t>, 2020</w:t>
      </w:r>
      <w:r w:rsidR="00F80AF8" w:rsidRPr="00F80AF8">
        <w:rPr>
          <w:szCs w:val="22"/>
        </w:rPr>
        <w:t xml:space="preserve"> to $</w:t>
      </w:r>
      <w:r w:rsidR="006A642F">
        <w:rPr>
          <w:szCs w:val="22"/>
        </w:rPr>
        <w:t xml:space="preserve">170,165                   </w:t>
      </w:r>
      <w:proofErr w:type="gramStart"/>
      <w:r w:rsidR="00B02F01">
        <w:rPr>
          <w:szCs w:val="22"/>
        </w:rPr>
        <w:t xml:space="preserve">   </w:t>
      </w:r>
      <w:r w:rsidR="00F80AF8" w:rsidRPr="00F80AF8">
        <w:rPr>
          <w:szCs w:val="22"/>
        </w:rPr>
        <w:t>(</w:t>
      </w:r>
      <w:proofErr w:type="gramEnd"/>
      <w:r w:rsidR="00F80AF8" w:rsidRPr="00F80AF8">
        <w:rPr>
          <w:szCs w:val="22"/>
        </w:rPr>
        <w:t>201</w:t>
      </w:r>
      <w:r w:rsidR="00E15742">
        <w:rPr>
          <w:szCs w:val="22"/>
        </w:rPr>
        <w:t>9</w:t>
      </w:r>
      <w:r w:rsidR="00F80AF8" w:rsidRPr="00F80AF8">
        <w:rPr>
          <w:szCs w:val="22"/>
        </w:rPr>
        <w:t xml:space="preserve"> </w:t>
      </w:r>
      <w:r w:rsidR="00F80AF8">
        <w:rPr>
          <w:szCs w:val="22"/>
        </w:rPr>
        <w:t>–</w:t>
      </w:r>
      <w:r w:rsidR="00F80AF8" w:rsidRPr="00F80AF8">
        <w:rPr>
          <w:szCs w:val="22"/>
        </w:rPr>
        <w:t xml:space="preserve"> </w:t>
      </w:r>
      <w:r w:rsidR="006A642F">
        <w:rPr>
          <w:szCs w:val="22"/>
        </w:rPr>
        <w:t>$92,049</w:t>
      </w:r>
      <w:r w:rsidR="00F80AF8" w:rsidRPr="00F80AF8">
        <w:rPr>
          <w:szCs w:val="22"/>
        </w:rPr>
        <w:t>).</w:t>
      </w:r>
      <w:r w:rsidR="00821639">
        <w:rPr>
          <w:szCs w:val="22"/>
        </w:rPr>
        <w:t xml:space="preserve">  </w:t>
      </w:r>
      <w:r w:rsidR="00541269">
        <w:rPr>
          <w:szCs w:val="22"/>
        </w:rPr>
        <w:t>T</w:t>
      </w:r>
      <w:r w:rsidR="00821639">
        <w:rPr>
          <w:szCs w:val="22"/>
        </w:rPr>
        <w:t>he Company</w:t>
      </w:r>
      <w:r w:rsidR="00E15742">
        <w:rPr>
          <w:szCs w:val="22"/>
        </w:rPr>
        <w:t xml:space="preserve"> acquired claims and</w:t>
      </w:r>
      <w:r w:rsidR="006A642F">
        <w:rPr>
          <w:szCs w:val="22"/>
        </w:rPr>
        <w:t xml:space="preserve"> </w:t>
      </w:r>
      <w:r w:rsidR="00821639">
        <w:rPr>
          <w:szCs w:val="22"/>
        </w:rPr>
        <w:t xml:space="preserve">invested </w:t>
      </w:r>
      <w:r w:rsidR="00F47E78">
        <w:rPr>
          <w:szCs w:val="22"/>
        </w:rPr>
        <w:t>in</w:t>
      </w:r>
      <w:r w:rsidR="00821639">
        <w:rPr>
          <w:szCs w:val="22"/>
        </w:rPr>
        <w:t xml:space="preserve"> exploration and</w:t>
      </w:r>
      <w:r w:rsidR="00541269">
        <w:rPr>
          <w:szCs w:val="22"/>
        </w:rPr>
        <w:t xml:space="preserve"> evaluation on </w:t>
      </w:r>
      <w:r w:rsidR="006A642F">
        <w:rPr>
          <w:szCs w:val="22"/>
        </w:rPr>
        <w:t>its existing placer and</w:t>
      </w:r>
      <w:r w:rsidR="00541269">
        <w:rPr>
          <w:szCs w:val="22"/>
        </w:rPr>
        <w:t xml:space="preserve"> mineral claims.</w:t>
      </w:r>
      <w:r w:rsidR="00FA3B9E">
        <w:rPr>
          <w:szCs w:val="22"/>
        </w:rPr>
        <w:t xml:space="preserve"> </w:t>
      </w:r>
    </w:p>
    <w:p w14:paraId="65441125" w14:textId="2B4C8154" w:rsidR="0025694B" w:rsidRPr="00F80AF8" w:rsidRDefault="00FA3B9E" w:rsidP="008832D2">
      <w:pPr>
        <w:jc w:val="both"/>
        <w:rPr>
          <w:szCs w:val="22"/>
        </w:rPr>
      </w:pPr>
      <w:r>
        <w:rPr>
          <w:szCs w:val="22"/>
        </w:rPr>
        <w:t xml:space="preserve">  </w:t>
      </w:r>
    </w:p>
    <w:p w14:paraId="7F52AADA" w14:textId="77777777" w:rsidR="008832D2" w:rsidRPr="0025694B" w:rsidRDefault="008832D2" w:rsidP="00F067D0">
      <w:pPr>
        <w:jc w:val="both"/>
        <w:rPr>
          <w:b/>
          <w:i/>
          <w:szCs w:val="22"/>
        </w:rPr>
      </w:pPr>
    </w:p>
    <w:p w14:paraId="21717B69" w14:textId="77777777" w:rsidR="00240F71" w:rsidRPr="00641E16" w:rsidRDefault="00240F71" w:rsidP="005942D3">
      <w:pPr>
        <w:pStyle w:val="Heading5"/>
      </w:pPr>
      <w:r w:rsidRPr="00641E16">
        <w:lastRenderedPageBreak/>
        <w:t>Dividends</w:t>
      </w:r>
    </w:p>
    <w:p w14:paraId="19983BB2" w14:textId="77777777" w:rsidR="00872B53" w:rsidRDefault="00872B53" w:rsidP="004A3A9A">
      <w:pPr>
        <w:pStyle w:val="BodyText2"/>
        <w:rPr>
          <w:szCs w:val="22"/>
        </w:rPr>
      </w:pPr>
    </w:p>
    <w:p w14:paraId="0036D942" w14:textId="77777777" w:rsidR="00240F71" w:rsidRDefault="00240F71" w:rsidP="004A3A9A">
      <w:pPr>
        <w:pStyle w:val="BodyText2"/>
        <w:rPr>
          <w:szCs w:val="22"/>
        </w:rPr>
      </w:pPr>
      <w:r>
        <w:rPr>
          <w:szCs w:val="22"/>
        </w:rPr>
        <w:t xml:space="preserve">The Company has neither declared nor paid any dividends on its Common stock. The Company intends to retain its earnings to finance growth and expand its operations and does not anticipate paying any dividends on its Common shares </w:t>
      </w:r>
      <w:proofErr w:type="gramStart"/>
      <w:r>
        <w:rPr>
          <w:szCs w:val="22"/>
        </w:rPr>
        <w:t xml:space="preserve">in the </w:t>
      </w:r>
      <w:r w:rsidR="003E7299">
        <w:rPr>
          <w:szCs w:val="22"/>
        </w:rPr>
        <w:t xml:space="preserve">near </w:t>
      </w:r>
      <w:r>
        <w:rPr>
          <w:szCs w:val="22"/>
        </w:rPr>
        <w:t>future</w:t>
      </w:r>
      <w:proofErr w:type="gramEnd"/>
      <w:r>
        <w:rPr>
          <w:szCs w:val="22"/>
        </w:rPr>
        <w:t>.</w:t>
      </w:r>
    </w:p>
    <w:p w14:paraId="5339784A" w14:textId="77777777" w:rsidR="004B362A" w:rsidRDefault="004B362A" w:rsidP="004B362A">
      <w:pPr>
        <w:widowControl w:val="0"/>
        <w:autoSpaceDE w:val="0"/>
        <w:autoSpaceDN w:val="0"/>
        <w:adjustRightInd w:val="0"/>
        <w:jc w:val="both"/>
        <w:rPr>
          <w:b/>
          <w:bCs/>
          <w:color w:val="000000"/>
          <w:szCs w:val="22"/>
          <w:lang w:val="en-US" w:eastAsia="en-US"/>
        </w:rPr>
      </w:pPr>
      <w:bookmarkStart w:id="18" w:name="_Hlk29749023"/>
      <w:bookmarkStart w:id="19" w:name="_Hlk30595775"/>
    </w:p>
    <w:bookmarkEnd w:id="18"/>
    <w:p w14:paraId="5EC89B61" w14:textId="77777777" w:rsidR="004B362A" w:rsidRPr="004B362A" w:rsidRDefault="00810CED" w:rsidP="004B362A">
      <w:pPr>
        <w:widowControl w:val="0"/>
        <w:autoSpaceDE w:val="0"/>
        <w:autoSpaceDN w:val="0"/>
        <w:adjustRightInd w:val="0"/>
        <w:jc w:val="both"/>
        <w:rPr>
          <w:bCs/>
          <w:caps/>
          <w:color w:val="000000"/>
          <w:szCs w:val="22"/>
          <w:lang w:val="en-US" w:eastAsia="en-US"/>
        </w:rPr>
      </w:pPr>
      <w:r>
        <w:rPr>
          <w:b/>
          <w:bCs/>
          <w:color w:val="000000"/>
          <w:szCs w:val="22"/>
          <w:lang w:val="en-US" w:eastAsia="en-US"/>
        </w:rPr>
        <w:t>Financial instruments</w:t>
      </w:r>
      <w:r w:rsidR="004B362A" w:rsidRPr="004B362A">
        <w:rPr>
          <w:rFonts w:ascii="Arial" w:hAnsi="Arial" w:cs="Arial"/>
          <w:b/>
          <w:bCs/>
          <w:color w:val="000000"/>
          <w:szCs w:val="22"/>
          <w:lang w:val="en-US" w:eastAsia="en-US"/>
        </w:rPr>
        <w:t xml:space="preserve">  </w:t>
      </w:r>
    </w:p>
    <w:bookmarkEnd w:id="19"/>
    <w:p w14:paraId="50FDC110" w14:textId="77777777" w:rsidR="004B362A" w:rsidRPr="004B362A" w:rsidRDefault="004B362A" w:rsidP="004B362A">
      <w:pPr>
        <w:jc w:val="both"/>
        <w:rPr>
          <w:b/>
          <w:sz w:val="16"/>
          <w:szCs w:val="16"/>
          <w:lang w:val="en-US" w:eastAsia="en-US"/>
        </w:rPr>
      </w:pPr>
    </w:p>
    <w:p w14:paraId="31E46113" w14:textId="77777777" w:rsidR="004B362A" w:rsidRPr="004B362A" w:rsidRDefault="004B362A" w:rsidP="004B362A">
      <w:pPr>
        <w:jc w:val="both"/>
        <w:rPr>
          <w:szCs w:val="22"/>
          <w:lang w:val="en-US" w:eastAsia="en-US"/>
        </w:rPr>
      </w:pPr>
      <w:r w:rsidRPr="004B362A">
        <w:rPr>
          <w:szCs w:val="22"/>
          <w:lang w:val="en-US" w:eastAsia="en-US"/>
        </w:rPr>
        <w:t>The Company’s risk exposures and the impact on the Company’s financial instruments are summarized below:</w:t>
      </w:r>
    </w:p>
    <w:p w14:paraId="216CDCB6" w14:textId="77777777" w:rsidR="004B362A" w:rsidRPr="004B362A" w:rsidRDefault="004B362A" w:rsidP="004B362A">
      <w:pPr>
        <w:jc w:val="both"/>
        <w:rPr>
          <w:b/>
          <w:sz w:val="16"/>
          <w:szCs w:val="16"/>
          <w:lang w:val="en-US" w:eastAsia="en-US"/>
        </w:rPr>
      </w:pPr>
    </w:p>
    <w:p w14:paraId="685BFE8B" w14:textId="77777777" w:rsidR="004B362A" w:rsidRPr="004B362A" w:rsidRDefault="004B362A" w:rsidP="004B362A">
      <w:pPr>
        <w:jc w:val="both"/>
        <w:rPr>
          <w:b/>
          <w:szCs w:val="22"/>
          <w:lang w:val="en-US" w:eastAsia="en-US"/>
        </w:rPr>
      </w:pPr>
      <w:r w:rsidRPr="004B362A">
        <w:rPr>
          <w:b/>
          <w:szCs w:val="22"/>
          <w:lang w:val="en-US" w:eastAsia="en-US"/>
        </w:rPr>
        <w:t>Credit Risk</w:t>
      </w:r>
    </w:p>
    <w:p w14:paraId="2C40FED4" w14:textId="77777777" w:rsidR="004B362A" w:rsidRPr="004B362A" w:rsidRDefault="004B362A" w:rsidP="004B362A">
      <w:pPr>
        <w:jc w:val="both"/>
        <w:rPr>
          <w:szCs w:val="22"/>
          <w:lang w:val="en-US" w:eastAsia="en-US"/>
        </w:rPr>
      </w:pPr>
      <w:r w:rsidRPr="004B362A">
        <w:rPr>
          <w:szCs w:val="22"/>
          <w:lang w:val="en-US" w:eastAsia="en-US"/>
        </w:rPr>
        <w:t xml:space="preserve">The Company's credit risk is primarily attributable to cash. The Company has no significant concentration of credit risk arising from operations. </w:t>
      </w:r>
    </w:p>
    <w:p w14:paraId="547CC6CF" w14:textId="77777777" w:rsidR="004B362A" w:rsidRPr="004B362A" w:rsidRDefault="004B362A" w:rsidP="004B362A">
      <w:pPr>
        <w:autoSpaceDE w:val="0"/>
        <w:autoSpaceDN w:val="0"/>
        <w:adjustRightInd w:val="0"/>
        <w:rPr>
          <w:b/>
          <w:bCs/>
          <w:sz w:val="16"/>
          <w:szCs w:val="16"/>
          <w:lang w:val="en-US" w:eastAsia="en-US"/>
        </w:rPr>
      </w:pPr>
    </w:p>
    <w:p w14:paraId="51E3CB17" w14:textId="77777777" w:rsidR="004B362A" w:rsidRPr="004B362A" w:rsidRDefault="004B362A" w:rsidP="004B362A">
      <w:pPr>
        <w:jc w:val="both"/>
        <w:rPr>
          <w:szCs w:val="22"/>
          <w:lang w:val="en-US" w:eastAsia="en-US"/>
        </w:rPr>
      </w:pPr>
      <w:r w:rsidRPr="004B362A">
        <w:rPr>
          <w:szCs w:val="22"/>
          <w:lang w:val="en-US" w:eastAsia="en-US"/>
        </w:rPr>
        <w:t xml:space="preserve">The Company's current policy is to invest excess cash in investment-grade short-term deposit certificates issued by its banking institutions. </w:t>
      </w:r>
    </w:p>
    <w:p w14:paraId="2AF30DAB" w14:textId="77777777" w:rsidR="004B362A" w:rsidRPr="004B362A" w:rsidRDefault="004B362A" w:rsidP="004B362A">
      <w:pPr>
        <w:jc w:val="both"/>
        <w:rPr>
          <w:b/>
          <w:szCs w:val="22"/>
          <w:lang w:val="en-US" w:eastAsia="en-US"/>
        </w:rPr>
      </w:pPr>
    </w:p>
    <w:p w14:paraId="49602A91" w14:textId="77777777" w:rsidR="004B362A" w:rsidRPr="004B362A" w:rsidRDefault="004B362A" w:rsidP="004B362A">
      <w:pPr>
        <w:jc w:val="both"/>
        <w:rPr>
          <w:b/>
          <w:szCs w:val="22"/>
          <w:lang w:val="en-US" w:eastAsia="en-US"/>
        </w:rPr>
      </w:pPr>
      <w:r w:rsidRPr="004B362A">
        <w:rPr>
          <w:b/>
          <w:szCs w:val="22"/>
          <w:lang w:val="en-US" w:eastAsia="en-US"/>
        </w:rPr>
        <w:t>Interest Rate Risk</w:t>
      </w:r>
    </w:p>
    <w:p w14:paraId="094DE787" w14:textId="3075B20D" w:rsidR="004B362A" w:rsidRDefault="004B362A" w:rsidP="004B362A">
      <w:pPr>
        <w:autoSpaceDE w:val="0"/>
        <w:autoSpaceDN w:val="0"/>
        <w:adjustRightInd w:val="0"/>
        <w:rPr>
          <w:szCs w:val="22"/>
          <w:lang w:val="en-US" w:eastAsia="en-US"/>
        </w:rPr>
      </w:pPr>
      <w:r w:rsidRPr="004B362A">
        <w:rPr>
          <w:szCs w:val="22"/>
          <w:lang w:val="en-US" w:eastAsia="en-US"/>
        </w:rPr>
        <w:t>The Company’s interest rate risk is primarily related to potential interest rate increases on its financial liabilities on maturity.  The Company intends to mitigate this risk by paying off the short</w:t>
      </w:r>
      <w:r>
        <w:rPr>
          <w:szCs w:val="22"/>
          <w:lang w:val="en-US" w:eastAsia="en-US"/>
        </w:rPr>
        <w:t>-</w:t>
      </w:r>
      <w:r w:rsidRPr="004B362A">
        <w:rPr>
          <w:szCs w:val="22"/>
          <w:lang w:val="en-US" w:eastAsia="en-US"/>
        </w:rPr>
        <w:t>term interes</w:t>
      </w:r>
      <w:r>
        <w:rPr>
          <w:szCs w:val="22"/>
          <w:lang w:val="en-US" w:eastAsia="en-US"/>
        </w:rPr>
        <w:t>t-</w:t>
      </w:r>
      <w:r w:rsidRPr="004B362A">
        <w:rPr>
          <w:szCs w:val="22"/>
          <w:lang w:val="en-US" w:eastAsia="en-US"/>
        </w:rPr>
        <w:t>bearing loans on maturity using available current assets.  The long</w:t>
      </w:r>
      <w:r>
        <w:rPr>
          <w:szCs w:val="22"/>
          <w:lang w:val="en-US" w:eastAsia="en-US"/>
        </w:rPr>
        <w:t>-</w:t>
      </w:r>
      <w:r w:rsidRPr="004B362A">
        <w:rPr>
          <w:szCs w:val="22"/>
          <w:lang w:val="en-US" w:eastAsia="en-US"/>
        </w:rPr>
        <w:t xml:space="preserve">term debt has a fixed rate for the duration of the loan, at which point it will be completely paid off.  The convertible debentures mature in three years, assuming they are not converted prior to that.  The Company intends to pay off the face value of the debentures on </w:t>
      </w:r>
      <w:proofErr w:type="gramStart"/>
      <w:r w:rsidRPr="004B362A">
        <w:rPr>
          <w:szCs w:val="22"/>
          <w:lang w:val="en-US" w:eastAsia="en-US"/>
        </w:rPr>
        <w:t>maturity, unless</w:t>
      </w:r>
      <w:proofErr w:type="gramEnd"/>
      <w:r w:rsidRPr="004B362A">
        <w:rPr>
          <w:szCs w:val="22"/>
          <w:lang w:val="en-US" w:eastAsia="en-US"/>
        </w:rPr>
        <w:t xml:space="preserve"> interest rates make refinancing a more attractive alternative.</w:t>
      </w:r>
    </w:p>
    <w:p w14:paraId="0CB7DA45" w14:textId="77777777" w:rsidR="004B362A" w:rsidRPr="004B362A" w:rsidRDefault="004B362A" w:rsidP="004B362A">
      <w:pPr>
        <w:autoSpaceDE w:val="0"/>
        <w:autoSpaceDN w:val="0"/>
        <w:adjustRightInd w:val="0"/>
        <w:rPr>
          <w:b/>
          <w:bCs/>
          <w:sz w:val="16"/>
          <w:szCs w:val="16"/>
          <w:lang w:val="en-US" w:eastAsia="en-US"/>
        </w:rPr>
      </w:pPr>
    </w:p>
    <w:p w14:paraId="043D53B3" w14:textId="77777777" w:rsidR="004B362A" w:rsidRPr="004B362A" w:rsidRDefault="004B362A" w:rsidP="004B362A">
      <w:pPr>
        <w:jc w:val="both"/>
        <w:rPr>
          <w:b/>
          <w:szCs w:val="22"/>
          <w:lang w:val="en-US" w:eastAsia="en-US"/>
        </w:rPr>
      </w:pPr>
      <w:r w:rsidRPr="004B362A">
        <w:rPr>
          <w:b/>
          <w:szCs w:val="22"/>
          <w:lang w:val="en-US" w:eastAsia="en-US"/>
        </w:rPr>
        <w:t>Liquidity Risk</w:t>
      </w:r>
    </w:p>
    <w:p w14:paraId="5D4E8539" w14:textId="7E7DCF05" w:rsidR="001552F7" w:rsidRPr="00F00B31" w:rsidRDefault="004B362A" w:rsidP="00F00B31">
      <w:pPr>
        <w:jc w:val="both"/>
        <w:rPr>
          <w:b/>
          <w:szCs w:val="22"/>
          <w:lang w:val="en-US" w:eastAsia="en-US"/>
        </w:rPr>
      </w:pPr>
      <w:r w:rsidRPr="004B362A">
        <w:rPr>
          <w:szCs w:val="22"/>
          <w:lang w:val="en-US" w:eastAsia="en-US"/>
        </w:rPr>
        <w:t>The Company’s approach to managing liquidity risk is to ensure that it will have sufficient liquidity to meet liabilities when due. As at</w:t>
      </w:r>
      <w:r w:rsidR="00191176">
        <w:rPr>
          <w:szCs w:val="22"/>
          <w:lang w:val="en-US" w:eastAsia="en-US"/>
        </w:rPr>
        <w:t xml:space="preserve"> June 30</w:t>
      </w:r>
      <w:r w:rsidR="00E15742">
        <w:rPr>
          <w:szCs w:val="22"/>
          <w:lang w:val="en-US" w:eastAsia="en-US"/>
        </w:rPr>
        <w:t>, 2020</w:t>
      </w:r>
      <w:r w:rsidRPr="004B362A">
        <w:rPr>
          <w:szCs w:val="22"/>
          <w:lang w:val="en-US" w:eastAsia="en-US"/>
        </w:rPr>
        <w:t>, the Company had current assets of $</w:t>
      </w:r>
      <w:r w:rsidR="005403BD">
        <w:rPr>
          <w:szCs w:val="22"/>
          <w:lang w:val="en-US" w:eastAsia="en-US"/>
        </w:rPr>
        <w:t>524,667</w:t>
      </w:r>
      <w:r w:rsidRPr="004B362A">
        <w:rPr>
          <w:szCs w:val="22"/>
          <w:lang w:val="en-US" w:eastAsia="en-US"/>
        </w:rPr>
        <w:t xml:space="preserve"> (</w:t>
      </w:r>
      <w:r w:rsidR="00541269">
        <w:rPr>
          <w:szCs w:val="22"/>
          <w:lang w:val="en-US" w:eastAsia="en-US"/>
        </w:rPr>
        <w:t>September 30, 2019</w:t>
      </w:r>
      <w:r w:rsidRPr="004B362A">
        <w:rPr>
          <w:szCs w:val="22"/>
          <w:lang w:val="en-US" w:eastAsia="en-US"/>
        </w:rPr>
        <w:t xml:space="preserve"> - $</w:t>
      </w:r>
      <w:r w:rsidR="00F00B31">
        <w:rPr>
          <w:szCs w:val="22"/>
          <w:lang w:val="en-US" w:eastAsia="en-US"/>
        </w:rPr>
        <w:t>319,245</w:t>
      </w:r>
      <w:r w:rsidRPr="004B362A">
        <w:rPr>
          <w:szCs w:val="22"/>
          <w:lang w:val="en-US" w:eastAsia="en-US"/>
        </w:rPr>
        <w:t>) and current liabilities of $</w:t>
      </w:r>
      <w:r w:rsidR="005403BD">
        <w:rPr>
          <w:szCs w:val="22"/>
          <w:lang w:val="en-US" w:eastAsia="en-US"/>
        </w:rPr>
        <w:t>318,889</w:t>
      </w:r>
      <w:r w:rsidR="00191176">
        <w:rPr>
          <w:szCs w:val="22"/>
          <w:lang w:val="en-US" w:eastAsia="en-US"/>
        </w:rPr>
        <w:t xml:space="preserve"> </w:t>
      </w:r>
      <w:r w:rsidRPr="004B362A">
        <w:rPr>
          <w:szCs w:val="22"/>
          <w:lang w:val="en-US" w:eastAsia="en-US"/>
        </w:rPr>
        <w:t>(</w:t>
      </w:r>
      <w:r w:rsidR="00F00B31">
        <w:rPr>
          <w:szCs w:val="22"/>
          <w:lang w:val="en-US" w:eastAsia="en-US"/>
        </w:rPr>
        <w:t>September 30, 2019</w:t>
      </w:r>
      <w:r w:rsidRPr="004B362A">
        <w:rPr>
          <w:szCs w:val="22"/>
          <w:lang w:val="en-US" w:eastAsia="en-US"/>
        </w:rPr>
        <w:t xml:space="preserve"> - </w:t>
      </w:r>
      <w:r w:rsidR="00F00B31">
        <w:rPr>
          <w:szCs w:val="22"/>
          <w:lang w:val="en-US" w:eastAsia="en-US"/>
        </w:rPr>
        <w:t>$188,455</w:t>
      </w:r>
      <w:r w:rsidRPr="004B362A">
        <w:rPr>
          <w:szCs w:val="22"/>
          <w:lang w:val="en-US" w:eastAsia="en-US"/>
        </w:rPr>
        <w:t>). The Company’s financial liabilities and receivables are all subject to normal trade terms. The Company had current working capital of $</w:t>
      </w:r>
      <w:r w:rsidR="005403BD">
        <w:rPr>
          <w:szCs w:val="22"/>
          <w:lang w:val="en-US" w:eastAsia="en-US"/>
        </w:rPr>
        <w:t>205,778</w:t>
      </w:r>
      <w:r w:rsidRPr="004B362A">
        <w:rPr>
          <w:szCs w:val="22"/>
          <w:lang w:val="en-US" w:eastAsia="en-US"/>
        </w:rPr>
        <w:t xml:space="preserve"> as of </w:t>
      </w:r>
      <w:r w:rsidR="00191176">
        <w:rPr>
          <w:szCs w:val="22"/>
          <w:lang w:val="en-US" w:eastAsia="en-US"/>
        </w:rPr>
        <w:t>June 30</w:t>
      </w:r>
      <w:r w:rsidR="00E15742">
        <w:rPr>
          <w:szCs w:val="22"/>
          <w:lang w:val="en-US" w:eastAsia="en-US"/>
        </w:rPr>
        <w:t>, 2020</w:t>
      </w:r>
      <w:r w:rsidRPr="004B362A">
        <w:rPr>
          <w:szCs w:val="22"/>
          <w:lang w:val="en-US" w:eastAsia="en-US"/>
        </w:rPr>
        <w:t xml:space="preserve"> (</w:t>
      </w:r>
      <w:r w:rsidR="00F00B31">
        <w:rPr>
          <w:szCs w:val="22"/>
          <w:lang w:val="en-US" w:eastAsia="en-US"/>
        </w:rPr>
        <w:t>September 30, 2019</w:t>
      </w:r>
      <w:r w:rsidRPr="004B362A">
        <w:rPr>
          <w:szCs w:val="22"/>
          <w:lang w:val="en-US" w:eastAsia="en-US"/>
        </w:rPr>
        <w:t xml:space="preserve"> - $1</w:t>
      </w:r>
      <w:r w:rsidR="00F00B31">
        <w:rPr>
          <w:szCs w:val="22"/>
          <w:lang w:val="en-US" w:eastAsia="en-US"/>
        </w:rPr>
        <w:t>30,790</w:t>
      </w:r>
      <w:r w:rsidRPr="004B362A">
        <w:rPr>
          <w:szCs w:val="22"/>
          <w:lang w:val="en-US" w:eastAsia="en-US"/>
        </w:rPr>
        <w:t>).</w:t>
      </w:r>
    </w:p>
    <w:p w14:paraId="2859D0F9" w14:textId="77777777" w:rsidR="001552F7" w:rsidRDefault="001552F7" w:rsidP="004A3A9A">
      <w:pPr>
        <w:pStyle w:val="BodyText2"/>
        <w:rPr>
          <w:szCs w:val="22"/>
        </w:rPr>
      </w:pPr>
    </w:p>
    <w:p w14:paraId="18B29E33" w14:textId="77777777" w:rsidR="009B27B2" w:rsidRPr="00283891" w:rsidRDefault="009B27B2" w:rsidP="009B27B2">
      <w:pPr>
        <w:suppressAutoHyphens/>
        <w:jc w:val="both"/>
        <w:rPr>
          <w:szCs w:val="22"/>
        </w:rPr>
      </w:pPr>
      <w:r w:rsidRPr="00283891">
        <w:rPr>
          <w:szCs w:val="22"/>
        </w:rPr>
        <w:t xml:space="preserve">The Company may, or may not, establish from time to time active policies to manage these risks.  The Company does not currently have in place any active hedging or derivative trading policies to manage these risks since the Company’s management does not believe that the current size, </w:t>
      </w:r>
      <w:proofErr w:type="gramStart"/>
      <w:r w:rsidRPr="00283891">
        <w:rPr>
          <w:szCs w:val="22"/>
        </w:rPr>
        <w:t>scale</w:t>
      </w:r>
      <w:proofErr w:type="gramEnd"/>
      <w:r w:rsidRPr="00283891">
        <w:rPr>
          <w:szCs w:val="22"/>
        </w:rPr>
        <w:t xml:space="preserve"> and pattern of its operations would warrant such hedging activities.</w:t>
      </w:r>
    </w:p>
    <w:p w14:paraId="176BD7C8" w14:textId="77777777" w:rsidR="00191EE4" w:rsidRDefault="00191EE4" w:rsidP="009B27B2">
      <w:pPr>
        <w:jc w:val="both"/>
        <w:rPr>
          <w:szCs w:val="22"/>
        </w:rPr>
      </w:pPr>
    </w:p>
    <w:p w14:paraId="1F41D18D" w14:textId="77777777" w:rsidR="003E5F79" w:rsidRPr="005942D3" w:rsidRDefault="00742A1A" w:rsidP="005942D3">
      <w:pPr>
        <w:pStyle w:val="Heading3"/>
        <w:pBdr>
          <w:top w:val="single" w:sz="4" w:space="1" w:color="auto"/>
          <w:bottom w:val="single" w:sz="4" w:space="1" w:color="auto"/>
        </w:pBdr>
        <w:rPr>
          <w:b/>
          <w:u w:val="none"/>
        </w:rPr>
      </w:pPr>
      <w:bookmarkStart w:id="20" w:name="_Toc379536673"/>
      <w:bookmarkStart w:id="21" w:name="_Toc34057625"/>
      <w:r>
        <w:rPr>
          <w:b/>
          <w:u w:val="none"/>
        </w:rPr>
        <w:t>S</w:t>
      </w:r>
      <w:r w:rsidR="003E5F79" w:rsidRPr="005942D3">
        <w:rPr>
          <w:b/>
          <w:u w:val="none"/>
        </w:rPr>
        <w:t>HARE CAPITAL</w:t>
      </w:r>
      <w:bookmarkEnd w:id="20"/>
      <w:bookmarkEnd w:id="21"/>
    </w:p>
    <w:p w14:paraId="3B10C30C" w14:textId="77777777" w:rsidR="003E5F79" w:rsidRPr="004D37FD" w:rsidRDefault="003E5F79" w:rsidP="004A3A9A">
      <w:pPr>
        <w:ind w:firstLine="720"/>
        <w:jc w:val="both"/>
        <w:rPr>
          <w:szCs w:val="22"/>
        </w:rPr>
      </w:pPr>
    </w:p>
    <w:p w14:paraId="0D177F60" w14:textId="047981FE" w:rsidR="003E5F79" w:rsidRPr="007E54EB" w:rsidRDefault="003E5F79" w:rsidP="004A3A9A">
      <w:pPr>
        <w:jc w:val="both"/>
        <w:rPr>
          <w:color w:val="000000"/>
          <w:szCs w:val="22"/>
        </w:rPr>
      </w:pPr>
      <w:r w:rsidRPr="00471178">
        <w:rPr>
          <w:color w:val="000000"/>
          <w:szCs w:val="22"/>
        </w:rPr>
        <w:t xml:space="preserve">At </w:t>
      </w:r>
      <w:proofErr w:type="gramStart"/>
      <w:r w:rsidR="00927762">
        <w:rPr>
          <w:color w:val="000000"/>
          <w:szCs w:val="22"/>
        </w:rPr>
        <w:t>June 30</w:t>
      </w:r>
      <w:r w:rsidR="005403BD">
        <w:rPr>
          <w:color w:val="000000"/>
          <w:szCs w:val="22"/>
        </w:rPr>
        <w:t>,</w:t>
      </w:r>
      <w:r w:rsidR="00E15742">
        <w:rPr>
          <w:color w:val="000000"/>
          <w:szCs w:val="22"/>
        </w:rPr>
        <w:t xml:space="preserve"> 2020</w:t>
      </w:r>
      <w:proofErr w:type="gramEnd"/>
      <w:r w:rsidRPr="00471178">
        <w:rPr>
          <w:color w:val="000000"/>
          <w:szCs w:val="22"/>
        </w:rPr>
        <w:t xml:space="preserve"> the Company had:</w:t>
      </w:r>
    </w:p>
    <w:p w14:paraId="597E3B73" w14:textId="77777777" w:rsidR="003E5F79" w:rsidRPr="007116DA" w:rsidRDefault="003E5F79" w:rsidP="004A3A9A">
      <w:pPr>
        <w:jc w:val="both"/>
        <w:rPr>
          <w:color w:val="000000"/>
          <w:szCs w:val="22"/>
          <w:highlight w:val="yellow"/>
        </w:rPr>
      </w:pPr>
    </w:p>
    <w:p w14:paraId="5ABB7FBF" w14:textId="77777777" w:rsidR="003E5F79" w:rsidRPr="006E1125" w:rsidRDefault="003E5F79" w:rsidP="004A3A9A">
      <w:pPr>
        <w:jc w:val="both"/>
        <w:rPr>
          <w:color w:val="000000"/>
          <w:szCs w:val="22"/>
        </w:rPr>
      </w:pPr>
      <w:r w:rsidRPr="006E1125">
        <w:rPr>
          <w:color w:val="000000"/>
          <w:szCs w:val="22"/>
        </w:rPr>
        <w:t>◦</w:t>
      </w:r>
      <w:r w:rsidRPr="006E1125">
        <w:rPr>
          <w:color w:val="000000"/>
          <w:szCs w:val="22"/>
        </w:rPr>
        <w:tab/>
      </w:r>
      <w:r w:rsidR="00240F71" w:rsidRPr="006E1125">
        <w:rPr>
          <w:color w:val="000000"/>
          <w:szCs w:val="22"/>
        </w:rPr>
        <w:t>A</w:t>
      </w:r>
      <w:r w:rsidRPr="006E1125">
        <w:rPr>
          <w:color w:val="000000"/>
          <w:szCs w:val="22"/>
        </w:rPr>
        <w:t xml:space="preserve">uthorized capital stock consists of an unlimited number of common shares </w:t>
      </w:r>
      <w:r w:rsidR="007E5EE4" w:rsidRPr="006E1125">
        <w:rPr>
          <w:color w:val="000000"/>
          <w:szCs w:val="22"/>
        </w:rPr>
        <w:t xml:space="preserve">with no </w:t>
      </w:r>
      <w:r w:rsidRPr="006E1125">
        <w:rPr>
          <w:color w:val="000000"/>
          <w:szCs w:val="22"/>
        </w:rPr>
        <w:t xml:space="preserve">par value. </w:t>
      </w:r>
    </w:p>
    <w:p w14:paraId="66209B79" w14:textId="77777777" w:rsidR="003E5F79" w:rsidRPr="006E1125" w:rsidRDefault="003E5F79" w:rsidP="004A3A9A">
      <w:pPr>
        <w:ind w:left="284" w:hanging="284"/>
        <w:jc w:val="both"/>
        <w:rPr>
          <w:color w:val="000000"/>
          <w:szCs w:val="22"/>
        </w:rPr>
      </w:pPr>
    </w:p>
    <w:p w14:paraId="0BF9700A" w14:textId="32609D8D" w:rsidR="004F5ACD" w:rsidRDefault="003E5F79" w:rsidP="00BD471E">
      <w:pPr>
        <w:ind w:left="284" w:hanging="284"/>
        <w:jc w:val="both"/>
        <w:rPr>
          <w:color w:val="000000"/>
          <w:szCs w:val="22"/>
        </w:rPr>
      </w:pPr>
      <w:r w:rsidRPr="006E1125">
        <w:rPr>
          <w:color w:val="000000"/>
          <w:szCs w:val="22"/>
        </w:rPr>
        <w:t>◦</w:t>
      </w:r>
      <w:r w:rsidRPr="006E1125">
        <w:rPr>
          <w:color w:val="000000"/>
          <w:szCs w:val="22"/>
        </w:rPr>
        <w:tab/>
      </w:r>
      <w:r w:rsidR="005403BD">
        <w:rPr>
          <w:color w:val="000000"/>
          <w:szCs w:val="22"/>
        </w:rPr>
        <w:t>30,114,749</w:t>
      </w:r>
      <w:r w:rsidRPr="006E1125">
        <w:rPr>
          <w:color w:val="000000"/>
          <w:szCs w:val="22"/>
        </w:rPr>
        <w:t xml:space="preserve"> common shares issued and outstanding</w:t>
      </w:r>
      <w:r w:rsidR="001A4389">
        <w:rPr>
          <w:color w:val="000000"/>
          <w:szCs w:val="22"/>
        </w:rPr>
        <w:t xml:space="preserve"> (</w:t>
      </w:r>
      <w:r w:rsidR="002D1FB4">
        <w:rPr>
          <w:color w:val="000000"/>
          <w:szCs w:val="22"/>
        </w:rPr>
        <w:t>September 30, 201</w:t>
      </w:r>
      <w:r w:rsidR="00F00B31">
        <w:rPr>
          <w:color w:val="000000"/>
          <w:szCs w:val="22"/>
        </w:rPr>
        <w:t>9</w:t>
      </w:r>
      <w:r w:rsidR="002D1FB4">
        <w:rPr>
          <w:color w:val="000000"/>
          <w:szCs w:val="22"/>
        </w:rPr>
        <w:t xml:space="preserve"> – </w:t>
      </w:r>
      <w:r w:rsidR="00F00B31">
        <w:rPr>
          <w:color w:val="000000"/>
          <w:szCs w:val="22"/>
        </w:rPr>
        <w:t>23,454,749</w:t>
      </w:r>
      <w:r w:rsidR="002D1FB4">
        <w:rPr>
          <w:color w:val="000000"/>
          <w:szCs w:val="22"/>
        </w:rPr>
        <w:t>).</w:t>
      </w:r>
    </w:p>
    <w:p w14:paraId="02447170" w14:textId="16C07622" w:rsidR="00F47E78" w:rsidRDefault="00F47E78" w:rsidP="00BD471E">
      <w:pPr>
        <w:ind w:left="284" w:hanging="284"/>
        <w:jc w:val="both"/>
        <w:rPr>
          <w:color w:val="000000"/>
          <w:szCs w:val="22"/>
        </w:rPr>
      </w:pPr>
    </w:p>
    <w:p w14:paraId="7080C2C7" w14:textId="16BD47A1" w:rsidR="00F47E78" w:rsidRDefault="00F47E78" w:rsidP="00BD471E">
      <w:pPr>
        <w:ind w:left="284" w:hanging="284"/>
        <w:jc w:val="both"/>
        <w:rPr>
          <w:color w:val="000000"/>
          <w:szCs w:val="22"/>
        </w:rPr>
      </w:pPr>
    </w:p>
    <w:p w14:paraId="76719E5D" w14:textId="7FD53C6F" w:rsidR="00F47E78" w:rsidRDefault="00F47E78" w:rsidP="00BD471E">
      <w:pPr>
        <w:ind w:left="284" w:hanging="284"/>
        <w:jc w:val="both"/>
        <w:rPr>
          <w:color w:val="000000"/>
          <w:szCs w:val="22"/>
        </w:rPr>
      </w:pPr>
    </w:p>
    <w:p w14:paraId="327C68D5" w14:textId="69CE8C9E" w:rsidR="00F47E78" w:rsidRDefault="00F47E78" w:rsidP="00BD471E">
      <w:pPr>
        <w:ind w:left="284" w:hanging="284"/>
        <w:jc w:val="both"/>
        <w:rPr>
          <w:color w:val="000000"/>
          <w:szCs w:val="22"/>
        </w:rPr>
      </w:pPr>
    </w:p>
    <w:p w14:paraId="33F5700D" w14:textId="77777777" w:rsidR="00F47E78" w:rsidRPr="00BD471E" w:rsidRDefault="00F47E78" w:rsidP="00BD471E">
      <w:pPr>
        <w:ind w:left="284" w:hanging="284"/>
        <w:jc w:val="both"/>
        <w:rPr>
          <w:color w:val="000000"/>
          <w:szCs w:val="22"/>
        </w:rPr>
      </w:pPr>
    </w:p>
    <w:p w14:paraId="7B4BE581" w14:textId="77777777" w:rsidR="000B2D7F" w:rsidRDefault="000B2D7F" w:rsidP="00B40328">
      <w:pPr>
        <w:tabs>
          <w:tab w:val="left" w:pos="0"/>
        </w:tabs>
        <w:jc w:val="both"/>
        <w:rPr>
          <w:szCs w:val="22"/>
        </w:rPr>
      </w:pPr>
    </w:p>
    <w:p w14:paraId="49D48327" w14:textId="77777777" w:rsidR="0061495C" w:rsidRPr="005942D3" w:rsidRDefault="0061495C" w:rsidP="005942D3">
      <w:pPr>
        <w:pStyle w:val="Heading3"/>
        <w:pBdr>
          <w:top w:val="single" w:sz="4" w:space="1" w:color="auto"/>
          <w:bottom w:val="single" w:sz="4" w:space="1" w:color="auto"/>
        </w:pBdr>
        <w:rPr>
          <w:b/>
          <w:u w:val="none"/>
        </w:rPr>
      </w:pPr>
      <w:bookmarkStart w:id="22" w:name="_Toc379536674"/>
      <w:bookmarkStart w:id="23" w:name="_Toc34057626"/>
      <w:r w:rsidRPr="005942D3">
        <w:rPr>
          <w:b/>
          <w:u w:val="none"/>
        </w:rPr>
        <w:t>OUTLOOK</w:t>
      </w:r>
      <w:bookmarkEnd w:id="22"/>
      <w:bookmarkEnd w:id="23"/>
    </w:p>
    <w:p w14:paraId="78B85D4F" w14:textId="77777777" w:rsidR="0061495C" w:rsidRPr="002C30D2" w:rsidRDefault="0061495C" w:rsidP="0061495C">
      <w:pPr>
        <w:jc w:val="both"/>
        <w:rPr>
          <w:sz w:val="16"/>
          <w:szCs w:val="16"/>
        </w:rPr>
      </w:pPr>
    </w:p>
    <w:p w14:paraId="53E0A05A" w14:textId="77777777" w:rsidR="004277B5" w:rsidRDefault="0061495C" w:rsidP="0061495C">
      <w:pPr>
        <w:jc w:val="both"/>
        <w:rPr>
          <w:szCs w:val="22"/>
        </w:rPr>
      </w:pPr>
      <w:r w:rsidRPr="00283891">
        <w:rPr>
          <w:szCs w:val="22"/>
        </w:rPr>
        <w:t>The information below is in addition to the disclosure concerning specific operations included in the Review of Operations section of this MD&amp;A.</w:t>
      </w:r>
    </w:p>
    <w:p w14:paraId="6B7471E3" w14:textId="77777777" w:rsidR="004277B5" w:rsidRPr="00283891" w:rsidRDefault="004277B5" w:rsidP="0061495C">
      <w:pPr>
        <w:jc w:val="both"/>
        <w:rPr>
          <w:szCs w:val="22"/>
        </w:rPr>
      </w:pPr>
    </w:p>
    <w:p w14:paraId="6D41FF75" w14:textId="334C0E01" w:rsidR="0061495C" w:rsidRDefault="0061495C" w:rsidP="001A4389">
      <w:pPr>
        <w:pStyle w:val="Heading5"/>
      </w:pPr>
      <w:r w:rsidRPr="00283891">
        <w:t>General Economic Conditions</w:t>
      </w:r>
    </w:p>
    <w:p w14:paraId="7211FF1B" w14:textId="77777777" w:rsidR="001A62E1" w:rsidRDefault="001A62E1" w:rsidP="0061495C">
      <w:pPr>
        <w:jc w:val="both"/>
      </w:pPr>
    </w:p>
    <w:p w14:paraId="4A7AC0E7" w14:textId="7CB1E94F" w:rsidR="001A62E1" w:rsidRDefault="009A3645" w:rsidP="0061495C">
      <w:pPr>
        <w:jc w:val="both"/>
        <w:rPr>
          <w:szCs w:val="22"/>
        </w:rPr>
      </w:pPr>
      <w:r>
        <w:rPr>
          <w:szCs w:val="22"/>
        </w:rPr>
        <w:t xml:space="preserve"> The closing price</w:t>
      </w:r>
      <w:r w:rsidR="000766F6">
        <w:rPr>
          <w:szCs w:val="22"/>
        </w:rPr>
        <w:t xml:space="preserve"> of gold</w:t>
      </w:r>
      <w:r>
        <w:rPr>
          <w:szCs w:val="22"/>
        </w:rPr>
        <w:t xml:space="preserve"> </w:t>
      </w:r>
      <w:r w:rsidR="001A4389">
        <w:rPr>
          <w:szCs w:val="22"/>
        </w:rPr>
        <w:t xml:space="preserve">at </w:t>
      </w:r>
      <w:r w:rsidR="00F81300">
        <w:rPr>
          <w:szCs w:val="22"/>
        </w:rPr>
        <w:t>June 30</w:t>
      </w:r>
      <w:r w:rsidR="006C6049">
        <w:rPr>
          <w:szCs w:val="22"/>
        </w:rPr>
        <w:t>, 2020</w:t>
      </w:r>
      <w:r w:rsidR="001A4389">
        <w:rPr>
          <w:szCs w:val="22"/>
        </w:rPr>
        <w:t xml:space="preserve"> was</w:t>
      </w:r>
      <w:r>
        <w:rPr>
          <w:szCs w:val="22"/>
        </w:rPr>
        <w:t xml:space="preserve"> $</w:t>
      </w:r>
      <w:r w:rsidR="006C6049">
        <w:rPr>
          <w:szCs w:val="22"/>
        </w:rPr>
        <w:t>2,</w:t>
      </w:r>
      <w:r w:rsidR="009D2E83">
        <w:rPr>
          <w:szCs w:val="22"/>
        </w:rPr>
        <w:t>417</w:t>
      </w:r>
      <w:r w:rsidR="00B32939">
        <w:rPr>
          <w:szCs w:val="22"/>
        </w:rPr>
        <w:t xml:space="preserve"> per</w:t>
      </w:r>
      <w:r w:rsidR="00E7532F">
        <w:rPr>
          <w:szCs w:val="22"/>
        </w:rPr>
        <w:t xml:space="preserve"> ounce</w:t>
      </w:r>
      <w:r w:rsidR="00B32939">
        <w:rPr>
          <w:szCs w:val="22"/>
        </w:rPr>
        <w:t xml:space="preserve"> in Canadian dollars</w:t>
      </w:r>
      <w:r w:rsidR="001528FE">
        <w:rPr>
          <w:szCs w:val="22"/>
        </w:rPr>
        <w:t xml:space="preserve">. </w:t>
      </w:r>
      <w:r w:rsidR="002C24EF">
        <w:rPr>
          <w:szCs w:val="22"/>
        </w:rPr>
        <w:t xml:space="preserve">Until this year, gold had been </w:t>
      </w:r>
      <w:r w:rsidR="001528FE">
        <w:rPr>
          <w:szCs w:val="22"/>
        </w:rPr>
        <w:t>trading within a narrow range for several years since gold hit an all time high of over $1,800 Canadian in September of 2011.</w:t>
      </w:r>
    </w:p>
    <w:p w14:paraId="3A635948" w14:textId="77777777" w:rsidR="006C6049" w:rsidRDefault="006C6049" w:rsidP="0061495C">
      <w:pPr>
        <w:jc w:val="both"/>
        <w:rPr>
          <w:szCs w:val="22"/>
        </w:rPr>
      </w:pPr>
    </w:p>
    <w:p w14:paraId="61F00950" w14:textId="732625A3" w:rsidR="000766F6" w:rsidRDefault="001528FE" w:rsidP="0061495C">
      <w:pPr>
        <w:jc w:val="both"/>
        <w:rPr>
          <w:szCs w:val="22"/>
        </w:rPr>
      </w:pPr>
      <w:r>
        <w:rPr>
          <w:szCs w:val="22"/>
        </w:rPr>
        <w:t xml:space="preserve"> </w:t>
      </w:r>
      <w:r w:rsidR="002C24EF">
        <w:rPr>
          <w:szCs w:val="22"/>
        </w:rPr>
        <w:t>In August 2019, the gold price finally broke out to over $2,000 Canadian</w:t>
      </w:r>
      <w:r w:rsidR="001A62E1">
        <w:rPr>
          <w:szCs w:val="22"/>
        </w:rPr>
        <w:t xml:space="preserve"> and it traded over $1,900 Canadian consistently until the end of 2019.  In </w:t>
      </w:r>
      <w:r w:rsidR="009D2E83">
        <w:rPr>
          <w:szCs w:val="22"/>
        </w:rPr>
        <w:t>the first six months of</w:t>
      </w:r>
      <w:r w:rsidR="001A62E1">
        <w:rPr>
          <w:szCs w:val="22"/>
        </w:rPr>
        <w:t xml:space="preserve"> 2020, it has broken out to new highs over $2,</w:t>
      </w:r>
      <w:r w:rsidR="006C6049">
        <w:rPr>
          <w:szCs w:val="22"/>
        </w:rPr>
        <w:t>400</w:t>
      </w:r>
      <w:r w:rsidR="001A62E1">
        <w:rPr>
          <w:szCs w:val="22"/>
        </w:rPr>
        <w:t xml:space="preserve"> Canadian</w:t>
      </w:r>
      <w:r w:rsidR="006C6049">
        <w:rPr>
          <w:szCs w:val="22"/>
        </w:rPr>
        <w:t>.</w:t>
      </w:r>
    </w:p>
    <w:p w14:paraId="12765753" w14:textId="77777777" w:rsidR="001A62E1" w:rsidRDefault="001A62E1" w:rsidP="0061495C">
      <w:pPr>
        <w:jc w:val="both"/>
        <w:rPr>
          <w:szCs w:val="22"/>
        </w:rPr>
      </w:pPr>
    </w:p>
    <w:p w14:paraId="6AC06676" w14:textId="77777777" w:rsidR="00F47E78" w:rsidRDefault="002C24EF" w:rsidP="0061495C">
      <w:pPr>
        <w:jc w:val="both"/>
        <w:rPr>
          <w:szCs w:val="22"/>
        </w:rPr>
      </w:pPr>
      <w:r>
        <w:rPr>
          <w:szCs w:val="22"/>
        </w:rPr>
        <w:t xml:space="preserve">The price increase </w:t>
      </w:r>
      <w:r w:rsidR="00810CED">
        <w:rPr>
          <w:szCs w:val="22"/>
        </w:rPr>
        <w:t>created significant</w:t>
      </w:r>
      <w:r>
        <w:rPr>
          <w:szCs w:val="22"/>
        </w:rPr>
        <w:t xml:space="preserve"> interest in the sector.</w:t>
      </w:r>
      <w:r w:rsidR="001528FE">
        <w:rPr>
          <w:szCs w:val="22"/>
        </w:rPr>
        <w:t xml:space="preserve"> </w:t>
      </w:r>
      <w:r>
        <w:rPr>
          <w:szCs w:val="22"/>
        </w:rPr>
        <w:t>Even during the range bound trading of the past few years</w:t>
      </w:r>
      <w:r w:rsidR="002E2D6A">
        <w:rPr>
          <w:szCs w:val="22"/>
        </w:rPr>
        <w:t xml:space="preserve">, there </w:t>
      </w:r>
      <w:r>
        <w:rPr>
          <w:szCs w:val="22"/>
        </w:rPr>
        <w:t>was</w:t>
      </w:r>
      <w:r w:rsidR="002E2D6A">
        <w:rPr>
          <w:szCs w:val="22"/>
        </w:rPr>
        <w:t xml:space="preserve"> a noticeable pick up in the activity level and the interest level in placer mining in the Cariboo region of B.C.  Interested parties from offshore, notably China, have been acquiring claims and investing significant capital in relatively large placer mining operations.  Domestic interest in placer mining also appears to be on the rise, based on observations on the ground in the region and conversations with consulting geologists and permitting specialists.</w:t>
      </w:r>
    </w:p>
    <w:p w14:paraId="3FF4B240" w14:textId="515558B4" w:rsidR="002E2D6A" w:rsidRDefault="002E2D6A" w:rsidP="0061495C">
      <w:pPr>
        <w:jc w:val="both"/>
        <w:rPr>
          <w:szCs w:val="22"/>
        </w:rPr>
      </w:pPr>
    </w:p>
    <w:p w14:paraId="296723C8" w14:textId="4270FF30" w:rsidR="002E2D6A" w:rsidRDefault="002E2D6A" w:rsidP="0061495C">
      <w:pPr>
        <w:jc w:val="both"/>
        <w:rPr>
          <w:szCs w:val="22"/>
        </w:rPr>
      </w:pPr>
      <w:r>
        <w:rPr>
          <w:szCs w:val="22"/>
        </w:rPr>
        <w:t>Management’s own experience with placer mining in the area</w:t>
      </w:r>
      <w:r w:rsidR="00E945E3">
        <w:rPr>
          <w:szCs w:val="22"/>
        </w:rPr>
        <w:t xml:space="preserve"> </w:t>
      </w:r>
      <w:r>
        <w:rPr>
          <w:szCs w:val="22"/>
        </w:rPr>
        <w:t>and interactions with other miners identified a lack of services</w:t>
      </w:r>
      <w:r w:rsidR="00E945E3">
        <w:rPr>
          <w:szCs w:val="22"/>
        </w:rPr>
        <w:t xml:space="preserve"> that are</w:t>
      </w:r>
      <w:r>
        <w:rPr>
          <w:szCs w:val="22"/>
        </w:rPr>
        <w:t xml:space="preserve"> aimed directly at the local mining community.  </w:t>
      </w:r>
      <w:r w:rsidR="00E945E3">
        <w:rPr>
          <w:szCs w:val="22"/>
        </w:rPr>
        <w:t>For example, despite</w:t>
      </w:r>
      <w:r>
        <w:rPr>
          <w:szCs w:val="22"/>
        </w:rPr>
        <w:t xml:space="preserve"> low industrial real estate prices, relatively low labour costs, and low power costs, </w:t>
      </w:r>
      <w:proofErr w:type="gramStart"/>
      <w:r>
        <w:rPr>
          <w:szCs w:val="22"/>
        </w:rPr>
        <w:t>very little</w:t>
      </w:r>
      <w:proofErr w:type="gramEnd"/>
      <w:r>
        <w:rPr>
          <w:szCs w:val="22"/>
        </w:rPr>
        <w:t xml:space="preserve"> specialized mining equipment is being produced</w:t>
      </w:r>
      <w:r w:rsidR="002C24EF">
        <w:rPr>
          <w:szCs w:val="22"/>
        </w:rPr>
        <w:t xml:space="preserve"> in the Cariboo region.  Likewise, it is often difficult to find mining supplies and small equipment.  That was behind our decision to acquire office space that would also allow us to profit from retail operations.</w:t>
      </w:r>
      <w:r>
        <w:rPr>
          <w:szCs w:val="22"/>
        </w:rPr>
        <w:t xml:space="preserve"> </w:t>
      </w:r>
      <w:r w:rsidR="00C40799">
        <w:rPr>
          <w:szCs w:val="22"/>
        </w:rPr>
        <w:t>The results of the retail operation have greatly exceeded our expectations</w:t>
      </w:r>
      <w:r w:rsidR="0028360D">
        <w:rPr>
          <w:szCs w:val="22"/>
        </w:rPr>
        <w:t xml:space="preserve"> thus far.</w:t>
      </w:r>
      <w:r w:rsidR="00E945E3">
        <w:rPr>
          <w:szCs w:val="22"/>
        </w:rPr>
        <w:t xml:space="preserve"> </w:t>
      </w:r>
    </w:p>
    <w:p w14:paraId="74D48406" w14:textId="77777777" w:rsidR="001528FE" w:rsidRDefault="001528FE" w:rsidP="0061495C">
      <w:pPr>
        <w:jc w:val="both"/>
        <w:rPr>
          <w:szCs w:val="22"/>
        </w:rPr>
      </w:pPr>
    </w:p>
    <w:p w14:paraId="17D9C841" w14:textId="0E780351" w:rsidR="004C263D" w:rsidRPr="006E1125" w:rsidRDefault="00B63CC6" w:rsidP="0061495C">
      <w:pPr>
        <w:jc w:val="both"/>
        <w:rPr>
          <w:szCs w:val="22"/>
        </w:rPr>
      </w:pPr>
      <w:r>
        <w:rPr>
          <w:szCs w:val="22"/>
        </w:rPr>
        <w:t xml:space="preserve">While gold prices have been </w:t>
      </w:r>
      <w:r w:rsidR="002C24EF">
        <w:rPr>
          <w:szCs w:val="22"/>
        </w:rPr>
        <w:t>breaking out to new highs in Canadian dollars,</w:t>
      </w:r>
      <w:r w:rsidR="00D4078B">
        <w:rPr>
          <w:szCs w:val="22"/>
        </w:rPr>
        <w:t xml:space="preserve"> d</w:t>
      </w:r>
      <w:r w:rsidR="004C263D">
        <w:rPr>
          <w:szCs w:val="22"/>
        </w:rPr>
        <w:t>iesel and gasoline prices</w:t>
      </w:r>
      <w:r>
        <w:rPr>
          <w:szCs w:val="22"/>
        </w:rPr>
        <w:t xml:space="preserve"> have</w:t>
      </w:r>
      <w:r w:rsidR="004C263D">
        <w:rPr>
          <w:szCs w:val="22"/>
        </w:rPr>
        <w:t xml:space="preserve"> </w:t>
      </w:r>
      <w:r w:rsidR="006C6049">
        <w:rPr>
          <w:szCs w:val="22"/>
        </w:rPr>
        <w:t>continued</w:t>
      </w:r>
      <w:r w:rsidR="004C263D">
        <w:rPr>
          <w:szCs w:val="22"/>
        </w:rPr>
        <w:t xml:space="preserve"> </w:t>
      </w:r>
      <w:r w:rsidR="0028360D">
        <w:rPr>
          <w:szCs w:val="22"/>
        </w:rPr>
        <w:t>to remain low</w:t>
      </w:r>
      <w:r w:rsidR="004C263D">
        <w:rPr>
          <w:szCs w:val="22"/>
        </w:rPr>
        <w:t xml:space="preserve"> in Western Canada</w:t>
      </w:r>
      <w:r w:rsidR="00D4078B">
        <w:rPr>
          <w:szCs w:val="22"/>
        </w:rPr>
        <w:t>,</w:t>
      </w:r>
      <w:r w:rsidR="004C263D">
        <w:rPr>
          <w:szCs w:val="22"/>
        </w:rPr>
        <w:t xml:space="preserve"> which is beneficial to companies exploring for and/or developing and operating gold mines.  Historically, a high gold price relative to the oil price is </w:t>
      </w:r>
      <w:r w:rsidR="00D4078B">
        <w:rPr>
          <w:szCs w:val="22"/>
        </w:rPr>
        <w:t xml:space="preserve">a primary driver for the success of gold mines.  This </w:t>
      </w:r>
      <w:r w:rsidR="004521DA">
        <w:rPr>
          <w:szCs w:val="22"/>
        </w:rPr>
        <w:t>has been</w:t>
      </w:r>
      <w:r w:rsidR="00D4078B">
        <w:rPr>
          <w:szCs w:val="22"/>
        </w:rPr>
        <w:t xml:space="preserve"> especially true in Western Canada where low energy prices tend to increase the supply of available manpower and equipment.  While global oil price</w:t>
      </w:r>
      <w:r w:rsidR="006C6049">
        <w:rPr>
          <w:szCs w:val="22"/>
        </w:rPr>
        <w:t xml:space="preserve">s </w:t>
      </w:r>
      <w:r w:rsidR="001B0524">
        <w:rPr>
          <w:szCs w:val="22"/>
        </w:rPr>
        <w:t xml:space="preserve">as low as they </w:t>
      </w:r>
      <w:r w:rsidR="006C6049">
        <w:rPr>
          <w:szCs w:val="22"/>
        </w:rPr>
        <w:t>are</w:t>
      </w:r>
      <w:r w:rsidR="00D4078B">
        <w:rPr>
          <w:szCs w:val="22"/>
        </w:rPr>
        <w:t>, the Western Canadian oil price remains</w:t>
      </w:r>
      <w:r w:rsidR="006C6049">
        <w:rPr>
          <w:szCs w:val="22"/>
        </w:rPr>
        <w:t xml:space="preserve"> even more</w:t>
      </w:r>
      <w:r w:rsidR="00D4078B">
        <w:rPr>
          <w:szCs w:val="22"/>
        </w:rPr>
        <w:t xml:space="preserve"> constrained by excess supply and restricted pipeline access to global markets.  Management believes that this situation may persist for some time into the future.  Combined with management’s positive outlook for Canadian dollar gold prices, the Company is optimistic on the outlook for </w:t>
      </w:r>
      <w:r w:rsidR="001B0524">
        <w:rPr>
          <w:szCs w:val="22"/>
        </w:rPr>
        <w:t>gold</w:t>
      </w:r>
      <w:r w:rsidR="00D4078B">
        <w:rPr>
          <w:szCs w:val="22"/>
        </w:rPr>
        <w:t xml:space="preserve"> mining in B.C. over the next several years.  However, we remain aware of the extreme volatility of commodity prices in general, so </w:t>
      </w:r>
      <w:r w:rsidR="004521DA">
        <w:rPr>
          <w:szCs w:val="22"/>
        </w:rPr>
        <w:t>the Company intends</w:t>
      </w:r>
      <w:r w:rsidR="00D4078B">
        <w:rPr>
          <w:szCs w:val="22"/>
        </w:rPr>
        <w:t xml:space="preserve"> to proceed in a manner that will allow flexibility should conditions change abruptly.</w:t>
      </w:r>
    </w:p>
    <w:p w14:paraId="18E412A6" w14:textId="77777777" w:rsidR="0061495C" w:rsidRPr="006E1125" w:rsidRDefault="0061495C" w:rsidP="0061495C">
      <w:pPr>
        <w:pStyle w:val="BodyText2"/>
        <w:rPr>
          <w:sz w:val="16"/>
          <w:szCs w:val="16"/>
        </w:rPr>
      </w:pPr>
    </w:p>
    <w:p w14:paraId="00AC2427" w14:textId="2D23F625" w:rsidR="001B6F8C" w:rsidRDefault="0061495C" w:rsidP="00E7532F">
      <w:pPr>
        <w:pStyle w:val="BodyText2"/>
        <w:rPr>
          <w:szCs w:val="22"/>
        </w:rPr>
      </w:pPr>
      <w:r w:rsidRPr="006E1125">
        <w:rPr>
          <w:szCs w:val="22"/>
        </w:rPr>
        <w:t xml:space="preserve">It is anticipated that </w:t>
      </w:r>
      <w:r w:rsidR="00E54020">
        <w:rPr>
          <w:szCs w:val="22"/>
        </w:rPr>
        <w:t>for the time being</w:t>
      </w:r>
      <w:r w:rsidRPr="006E1125">
        <w:rPr>
          <w:szCs w:val="22"/>
        </w:rPr>
        <w:t>, the Company will rely on the equities markets to meet its financing need</w:t>
      </w:r>
      <w:r w:rsidR="004C263D">
        <w:rPr>
          <w:szCs w:val="22"/>
        </w:rPr>
        <w:t>s</w:t>
      </w:r>
      <w:r w:rsidRPr="006E1125">
        <w:rPr>
          <w:szCs w:val="22"/>
        </w:rPr>
        <w:t xml:space="preserve">. The Company </w:t>
      </w:r>
      <w:r w:rsidR="00E54020">
        <w:rPr>
          <w:szCs w:val="22"/>
        </w:rPr>
        <w:t>also hopes to generate positive cash flow from</w:t>
      </w:r>
      <w:r w:rsidR="006C6049">
        <w:rPr>
          <w:szCs w:val="22"/>
        </w:rPr>
        <w:t xml:space="preserve"> renting</w:t>
      </w:r>
      <w:r w:rsidR="00E54020">
        <w:rPr>
          <w:szCs w:val="22"/>
        </w:rPr>
        <w:t xml:space="preserve"> </w:t>
      </w:r>
      <w:r w:rsidR="001B0524">
        <w:rPr>
          <w:szCs w:val="22"/>
        </w:rPr>
        <w:t>its placer mining claims and its retail operation.</w:t>
      </w:r>
    </w:p>
    <w:p w14:paraId="57A6BA5D" w14:textId="32486238" w:rsidR="0028360D" w:rsidRDefault="0028360D" w:rsidP="00E7532F">
      <w:pPr>
        <w:pStyle w:val="BodyText2"/>
        <w:rPr>
          <w:szCs w:val="22"/>
        </w:rPr>
      </w:pPr>
    </w:p>
    <w:p w14:paraId="1DECCF6B" w14:textId="20DE03E1" w:rsidR="0028360D" w:rsidRDefault="0028360D" w:rsidP="00E7532F">
      <w:pPr>
        <w:pStyle w:val="BodyText2"/>
        <w:rPr>
          <w:szCs w:val="22"/>
        </w:rPr>
      </w:pPr>
    </w:p>
    <w:p w14:paraId="00479793" w14:textId="558E84CB" w:rsidR="0028360D" w:rsidRDefault="0028360D" w:rsidP="00E7532F">
      <w:pPr>
        <w:pStyle w:val="BodyText2"/>
        <w:rPr>
          <w:szCs w:val="22"/>
        </w:rPr>
      </w:pPr>
    </w:p>
    <w:p w14:paraId="578947E6" w14:textId="489816D9" w:rsidR="0028360D" w:rsidRDefault="0028360D" w:rsidP="00E7532F">
      <w:pPr>
        <w:pStyle w:val="BodyText2"/>
        <w:rPr>
          <w:szCs w:val="22"/>
        </w:rPr>
      </w:pPr>
    </w:p>
    <w:p w14:paraId="0DB169F0" w14:textId="6A39CD43" w:rsidR="0028360D" w:rsidRDefault="0028360D" w:rsidP="00E7532F">
      <w:pPr>
        <w:pStyle w:val="BodyText2"/>
        <w:rPr>
          <w:szCs w:val="22"/>
        </w:rPr>
      </w:pPr>
    </w:p>
    <w:p w14:paraId="46848291" w14:textId="77777777" w:rsidR="0028360D" w:rsidRDefault="0028360D" w:rsidP="00E7532F">
      <w:pPr>
        <w:pStyle w:val="BodyText2"/>
        <w:rPr>
          <w:szCs w:val="22"/>
        </w:rPr>
      </w:pPr>
    </w:p>
    <w:p w14:paraId="66F3A855" w14:textId="77777777" w:rsidR="004532F8" w:rsidRDefault="004532F8" w:rsidP="00E7532F">
      <w:pPr>
        <w:pStyle w:val="BodyText2"/>
        <w:rPr>
          <w:szCs w:val="22"/>
        </w:rPr>
      </w:pPr>
    </w:p>
    <w:p w14:paraId="2C8DBF9D" w14:textId="77777777" w:rsidR="0061495C" w:rsidRPr="00283891" w:rsidRDefault="00AA6549" w:rsidP="005942D3">
      <w:pPr>
        <w:pStyle w:val="Heading5"/>
      </w:pPr>
      <w:r>
        <w:lastRenderedPageBreak/>
        <w:t>C</w:t>
      </w:r>
      <w:r w:rsidR="0061495C" w:rsidRPr="00283891">
        <w:t>apital and Exploration Expenditures</w:t>
      </w:r>
    </w:p>
    <w:p w14:paraId="54FCBD34" w14:textId="77777777" w:rsidR="008E207A" w:rsidRPr="002C30D2" w:rsidRDefault="008E207A" w:rsidP="008E207A">
      <w:pPr>
        <w:jc w:val="both"/>
        <w:rPr>
          <w:sz w:val="16"/>
          <w:szCs w:val="16"/>
        </w:rPr>
      </w:pPr>
    </w:p>
    <w:p w14:paraId="62B4306F" w14:textId="20141557" w:rsidR="00646908" w:rsidRDefault="00646908" w:rsidP="00646908">
      <w:pPr>
        <w:jc w:val="both"/>
        <w:rPr>
          <w:szCs w:val="22"/>
          <w:lang w:val="en-US" w:eastAsia="en-US"/>
        </w:rPr>
      </w:pPr>
      <w:r w:rsidRPr="00646908">
        <w:rPr>
          <w:szCs w:val="22"/>
          <w:lang w:val="en-US" w:eastAsia="en-US"/>
        </w:rPr>
        <w:t xml:space="preserve">On August 23, 2019, the Company announced that it had completed the acquisition of over 8,200 hectares of mineral rights and 640 hectares of placer rights situated 12 </w:t>
      </w:r>
      <w:proofErr w:type="spellStart"/>
      <w:r w:rsidRPr="00646908">
        <w:rPr>
          <w:szCs w:val="22"/>
          <w:lang w:val="en-US" w:eastAsia="en-US"/>
        </w:rPr>
        <w:t>kilometres</w:t>
      </w:r>
      <w:proofErr w:type="spellEnd"/>
      <w:r w:rsidRPr="00646908">
        <w:rPr>
          <w:szCs w:val="22"/>
          <w:lang w:val="en-US" w:eastAsia="en-US"/>
        </w:rPr>
        <w:t xml:space="preserve"> southwest of </w:t>
      </w:r>
      <w:proofErr w:type="spellStart"/>
      <w:r w:rsidRPr="00646908">
        <w:rPr>
          <w:szCs w:val="22"/>
          <w:lang w:val="en-US" w:eastAsia="en-US"/>
        </w:rPr>
        <w:t>Barkerville</w:t>
      </w:r>
      <w:proofErr w:type="spellEnd"/>
      <w:r w:rsidRPr="00646908">
        <w:rPr>
          <w:szCs w:val="22"/>
          <w:lang w:val="en-US" w:eastAsia="en-US"/>
        </w:rPr>
        <w:t xml:space="preserve"> in the Cariboo Mining District of British Columbia. The claims, known as the Fontaine </w:t>
      </w:r>
      <w:proofErr w:type="gramStart"/>
      <w:r w:rsidRPr="00646908">
        <w:rPr>
          <w:szCs w:val="22"/>
          <w:lang w:val="en-US" w:eastAsia="en-US"/>
        </w:rPr>
        <w:t>claims</w:t>
      </w:r>
      <w:proofErr w:type="gramEnd"/>
      <w:r w:rsidRPr="00646908">
        <w:rPr>
          <w:szCs w:val="22"/>
          <w:lang w:val="en-US" w:eastAsia="en-US"/>
        </w:rPr>
        <w:t xml:space="preserve"> were acquired from an unrelated third party.</w:t>
      </w:r>
    </w:p>
    <w:p w14:paraId="3DC89553" w14:textId="5315716F" w:rsidR="00646908" w:rsidRDefault="00646908" w:rsidP="00646908">
      <w:pPr>
        <w:jc w:val="both"/>
        <w:rPr>
          <w:szCs w:val="22"/>
          <w:lang w:val="en-US" w:eastAsia="en-US"/>
        </w:rPr>
      </w:pPr>
    </w:p>
    <w:p w14:paraId="49D630CC" w14:textId="53E75B25" w:rsidR="00646908" w:rsidRPr="00646908" w:rsidRDefault="00646908" w:rsidP="00646908">
      <w:pPr>
        <w:jc w:val="both"/>
        <w:rPr>
          <w:szCs w:val="22"/>
          <w:lang w:val="en-US" w:eastAsia="en-US"/>
        </w:rPr>
      </w:pPr>
      <w:r w:rsidRPr="00646908">
        <w:rPr>
          <w:szCs w:val="22"/>
          <w:lang w:val="en-US" w:eastAsia="en-US"/>
        </w:rPr>
        <w:t xml:space="preserve">Several </w:t>
      </w:r>
      <w:proofErr w:type="spellStart"/>
      <w:r w:rsidRPr="00646908">
        <w:rPr>
          <w:szCs w:val="22"/>
          <w:lang w:val="en-US" w:eastAsia="en-US"/>
        </w:rPr>
        <w:t>hardrock</w:t>
      </w:r>
      <w:proofErr w:type="spellEnd"/>
      <w:r w:rsidRPr="00646908">
        <w:rPr>
          <w:szCs w:val="22"/>
          <w:lang w:val="en-US" w:eastAsia="en-US"/>
        </w:rPr>
        <w:t xml:space="preserve"> and placer </w:t>
      </w:r>
      <w:proofErr w:type="spellStart"/>
      <w:r w:rsidRPr="00646908">
        <w:rPr>
          <w:szCs w:val="22"/>
          <w:lang w:val="en-US" w:eastAsia="en-US"/>
        </w:rPr>
        <w:t>Minfiles</w:t>
      </w:r>
      <w:proofErr w:type="spellEnd"/>
      <w:r w:rsidRPr="00646908">
        <w:rPr>
          <w:szCs w:val="22"/>
          <w:lang w:val="en-US" w:eastAsia="en-US"/>
        </w:rPr>
        <w:t xml:space="preserve"> are recognized at the properties, ranging from showing, developed prospects and past producers and encompass at least four placer gold producing creeks.  The total purchase price, including staking costs, was $260,888.  The Company paid for the properties with a combination of $119,049 in cash and 2,000,000 units of the Company at a deemed value of $0.06 per unit.  Each unit consists of one Common Share of the Company and one-half of one Common Share purchase warrant.  Each full warrant will be exercisable to acquire one Common Share of the Company for a period of 24 months following the issue date at an exercise price of $0.15 per Common Share. The value of the warrants issued was calculated at $31,839 using the Black-Scholes option-pricing model. The Common Shares were trading at $0.055 at the time that the 2,000,000 units were issued, resulting in an addition to share capital of $110,000. The total of cash and non-cash consideration for the property was $260,888. During the remainder of the 2019 fiscal year, the Company spent an additional $9,500 on planning and early stage exploration on the properties.</w:t>
      </w:r>
    </w:p>
    <w:p w14:paraId="391AD7C1" w14:textId="77777777" w:rsidR="00646908" w:rsidRPr="00646908" w:rsidRDefault="00646908" w:rsidP="00646908">
      <w:pPr>
        <w:jc w:val="both"/>
        <w:rPr>
          <w:szCs w:val="22"/>
          <w:lang w:val="en-US" w:eastAsia="en-US"/>
        </w:rPr>
      </w:pPr>
    </w:p>
    <w:p w14:paraId="5371D5BB" w14:textId="6C25B061" w:rsidR="00F47E78" w:rsidRDefault="00646908" w:rsidP="00646908">
      <w:pPr>
        <w:jc w:val="both"/>
        <w:rPr>
          <w:szCs w:val="22"/>
          <w:lang w:val="en-US" w:eastAsia="en-US"/>
        </w:rPr>
      </w:pPr>
      <w:r w:rsidRPr="00646908">
        <w:rPr>
          <w:szCs w:val="22"/>
          <w:lang w:val="en-US" w:eastAsia="en-US"/>
        </w:rPr>
        <w:t xml:space="preserve"> On </w:t>
      </w:r>
      <w:proofErr w:type="gramStart"/>
      <w:r w:rsidRPr="00646908">
        <w:rPr>
          <w:szCs w:val="22"/>
          <w:lang w:val="en-US" w:eastAsia="en-US"/>
        </w:rPr>
        <w:t>March 3, 2020</w:t>
      </w:r>
      <w:proofErr w:type="gramEnd"/>
      <w:r w:rsidRPr="00646908">
        <w:rPr>
          <w:szCs w:val="22"/>
          <w:lang w:val="en-US" w:eastAsia="en-US"/>
        </w:rPr>
        <w:t xml:space="preserve"> the Company issued 320,000 units at a deemed price of $0.06 per unit in payment for placer mining claims on the Little Swift River and Sovereign Creek.  Each unit consists of one Common Share of the Company and one half of one Common Share purchase warrant.  Each full warrant is exercisable to acquire one Common Share at a price of $0.10 for a period of 24 months following the closing of the offering. The value of the warrants </w:t>
      </w:r>
      <w:proofErr w:type="gramStart"/>
      <w:r w:rsidRPr="00646908">
        <w:rPr>
          <w:szCs w:val="22"/>
          <w:lang w:val="en-US" w:eastAsia="en-US"/>
        </w:rPr>
        <w:t>were</w:t>
      </w:r>
      <w:proofErr w:type="gramEnd"/>
      <w:r w:rsidRPr="00646908">
        <w:rPr>
          <w:szCs w:val="22"/>
          <w:lang w:val="en-US" w:eastAsia="en-US"/>
        </w:rPr>
        <w:t xml:space="preserve"> calculated as $4,552 using the Black-Scholes p</w:t>
      </w:r>
      <w:r w:rsidR="0028360D">
        <w:rPr>
          <w:szCs w:val="22"/>
          <w:lang w:val="en-US" w:eastAsia="en-US"/>
        </w:rPr>
        <w:t>r</w:t>
      </w:r>
      <w:r w:rsidRPr="00646908">
        <w:rPr>
          <w:szCs w:val="22"/>
          <w:lang w:val="en-US" w:eastAsia="en-US"/>
        </w:rPr>
        <w:t>icing model as described more fully in Note 15 below.  The remaining $14,648 was added to share capital</w:t>
      </w:r>
      <w:r w:rsidR="0028360D">
        <w:rPr>
          <w:szCs w:val="22"/>
          <w:lang w:val="en-US" w:eastAsia="en-US"/>
        </w:rPr>
        <w:t>.</w:t>
      </w:r>
    </w:p>
    <w:p w14:paraId="11A02F78" w14:textId="77777777" w:rsidR="00F47E78" w:rsidRDefault="00F47E78" w:rsidP="00646908">
      <w:pPr>
        <w:jc w:val="both"/>
        <w:rPr>
          <w:szCs w:val="22"/>
          <w:lang w:val="en-US" w:eastAsia="en-US"/>
        </w:rPr>
      </w:pPr>
    </w:p>
    <w:p w14:paraId="6420D3FD" w14:textId="3F24A1FF" w:rsidR="00646908" w:rsidRPr="00646908" w:rsidRDefault="00646908" w:rsidP="00646908">
      <w:pPr>
        <w:jc w:val="both"/>
        <w:rPr>
          <w:szCs w:val="22"/>
          <w:lang w:val="en-US" w:eastAsia="en-US"/>
        </w:rPr>
      </w:pPr>
      <w:r w:rsidRPr="00646908">
        <w:rPr>
          <w:szCs w:val="22"/>
          <w:lang w:val="en-US" w:eastAsia="en-US"/>
        </w:rPr>
        <w:t xml:space="preserve">The Little Swift River project consists of 15 contiguous claim cells totaling 292.27 hectares located 7 </w:t>
      </w:r>
      <w:proofErr w:type="spellStart"/>
      <w:r w:rsidRPr="00646908">
        <w:rPr>
          <w:szCs w:val="22"/>
          <w:lang w:val="en-US" w:eastAsia="en-US"/>
        </w:rPr>
        <w:t>kilometres</w:t>
      </w:r>
      <w:proofErr w:type="spellEnd"/>
      <w:r w:rsidRPr="00646908">
        <w:rPr>
          <w:szCs w:val="22"/>
          <w:lang w:val="en-US" w:eastAsia="en-US"/>
        </w:rPr>
        <w:t xml:space="preserve"> from the Company’s Fontaine project. </w:t>
      </w:r>
      <w:r w:rsidR="0028360D">
        <w:rPr>
          <w:szCs w:val="22"/>
          <w:lang w:val="en-US" w:eastAsia="en-US"/>
        </w:rPr>
        <w:t>One claim has been rented to a miner on the Little Swift property.</w:t>
      </w:r>
    </w:p>
    <w:p w14:paraId="5A71886B" w14:textId="77777777" w:rsidR="00646908" w:rsidRPr="00646908" w:rsidRDefault="00646908" w:rsidP="00646908">
      <w:pPr>
        <w:jc w:val="both"/>
        <w:rPr>
          <w:szCs w:val="22"/>
          <w:lang w:val="en-US" w:eastAsia="en-US"/>
        </w:rPr>
      </w:pPr>
    </w:p>
    <w:p w14:paraId="508B6635" w14:textId="68EB65D6" w:rsidR="00646908" w:rsidRPr="00646908" w:rsidRDefault="00646908" w:rsidP="00646908">
      <w:pPr>
        <w:jc w:val="both"/>
        <w:rPr>
          <w:szCs w:val="22"/>
          <w:lang w:val="en-US" w:eastAsia="en-US"/>
        </w:rPr>
      </w:pPr>
      <w:r w:rsidRPr="00646908">
        <w:rPr>
          <w:szCs w:val="22"/>
          <w:lang w:val="en-US" w:eastAsia="en-US"/>
        </w:rPr>
        <w:t>The Sovereign Project consists of 2 contiguous claims total</w:t>
      </w:r>
      <w:r w:rsidR="0028360D">
        <w:rPr>
          <w:szCs w:val="22"/>
          <w:lang w:val="en-US" w:eastAsia="en-US"/>
        </w:rPr>
        <w:t>i</w:t>
      </w:r>
      <w:r w:rsidRPr="00646908">
        <w:rPr>
          <w:szCs w:val="22"/>
          <w:lang w:val="en-US" w:eastAsia="en-US"/>
        </w:rPr>
        <w:t xml:space="preserve">ng 38.96 hectares located 3 </w:t>
      </w:r>
      <w:proofErr w:type="spellStart"/>
      <w:r w:rsidRPr="00646908">
        <w:rPr>
          <w:szCs w:val="22"/>
          <w:lang w:val="en-US" w:eastAsia="en-US"/>
        </w:rPr>
        <w:t>kilometres</w:t>
      </w:r>
      <w:proofErr w:type="spellEnd"/>
      <w:r w:rsidRPr="00646908">
        <w:rPr>
          <w:szCs w:val="22"/>
          <w:lang w:val="en-US" w:eastAsia="en-US"/>
        </w:rPr>
        <w:t xml:space="preserve"> from the Fontaine Placer Gold Project. Permits have been submitted to test the property with 9 test pits and 4 auger drill sites to determine the gold values in the 13 predetermined target areas identified.</w:t>
      </w:r>
    </w:p>
    <w:p w14:paraId="0EDCEA54" w14:textId="77777777" w:rsidR="00646908" w:rsidRPr="00646908" w:rsidRDefault="00646908" w:rsidP="00646908">
      <w:pPr>
        <w:jc w:val="both"/>
        <w:rPr>
          <w:szCs w:val="22"/>
          <w:lang w:val="en-US" w:eastAsia="en-US"/>
        </w:rPr>
      </w:pPr>
    </w:p>
    <w:p w14:paraId="4C1661A5" w14:textId="77777777" w:rsidR="00646908" w:rsidRPr="00646908" w:rsidRDefault="00646908" w:rsidP="00646908">
      <w:pPr>
        <w:jc w:val="both"/>
        <w:rPr>
          <w:szCs w:val="22"/>
          <w:lang w:val="en-US" w:eastAsia="en-US"/>
        </w:rPr>
      </w:pPr>
      <w:r w:rsidRPr="00646908">
        <w:rPr>
          <w:szCs w:val="22"/>
          <w:lang w:val="en-US" w:eastAsia="en-US"/>
        </w:rPr>
        <w:t>On March 23, 2020, the Company staked an additional 603.75 hectares of placer claims contiguous to the existing claims on the Little Swift River for a total cost of $4,090.</w:t>
      </w:r>
    </w:p>
    <w:p w14:paraId="11ACDB93" w14:textId="77777777" w:rsidR="00646908" w:rsidRPr="00646908" w:rsidRDefault="00646908" w:rsidP="00646908">
      <w:pPr>
        <w:jc w:val="both"/>
        <w:rPr>
          <w:szCs w:val="22"/>
          <w:lang w:val="en-US" w:eastAsia="en-US"/>
        </w:rPr>
      </w:pPr>
    </w:p>
    <w:p w14:paraId="2F7047B5" w14:textId="1BB24142" w:rsidR="00646908" w:rsidRDefault="00646908" w:rsidP="00646908">
      <w:pPr>
        <w:jc w:val="both"/>
        <w:rPr>
          <w:szCs w:val="22"/>
          <w:lang w:val="en-US" w:eastAsia="en-US"/>
        </w:rPr>
      </w:pPr>
      <w:r w:rsidRPr="00646908">
        <w:rPr>
          <w:szCs w:val="22"/>
          <w:lang w:val="en-US" w:eastAsia="en-US"/>
        </w:rPr>
        <w:t>On March 24, 2020, the Company added to its Fontaine Placer Gold property with the acquisition of an</w:t>
      </w:r>
      <w:r w:rsidR="0028360D">
        <w:rPr>
          <w:szCs w:val="22"/>
          <w:lang w:val="en-US" w:eastAsia="en-US"/>
        </w:rPr>
        <w:t xml:space="preserve"> </w:t>
      </w:r>
      <w:r w:rsidRPr="00646908">
        <w:rPr>
          <w:szCs w:val="22"/>
          <w:lang w:val="en-US" w:eastAsia="en-US"/>
        </w:rPr>
        <w:t>additional 38.97 hectares of claims for $10,000 cash.</w:t>
      </w:r>
    </w:p>
    <w:p w14:paraId="207E4324" w14:textId="26E27E77" w:rsidR="0028360D" w:rsidRDefault="0028360D" w:rsidP="00646908">
      <w:pPr>
        <w:jc w:val="both"/>
        <w:rPr>
          <w:szCs w:val="22"/>
          <w:lang w:val="en-US" w:eastAsia="en-US"/>
        </w:rPr>
      </w:pPr>
    </w:p>
    <w:p w14:paraId="29DAEE0F" w14:textId="77777777" w:rsidR="0028360D" w:rsidRPr="0028360D" w:rsidRDefault="0028360D" w:rsidP="0028360D">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bookmarkStart w:id="24" w:name="_Hlk49766315"/>
      <w:r w:rsidRPr="0028360D">
        <w:rPr>
          <w:szCs w:val="22"/>
          <w:lang w:eastAsia="en-US"/>
        </w:rPr>
        <w:t>On April 21, 2020, the Company announced that it has acquired the placer rights to 135.87 hectares along the Willow River. The claims are located approximately 12km by road from the town of Wells, B.C.</w:t>
      </w:r>
    </w:p>
    <w:p w14:paraId="4EEB85D9" w14:textId="77777777" w:rsidR="0028360D" w:rsidRPr="0028360D" w:rsidRDefault="0028360D" w:rsidP="0028360D">
      <w:pPr>
        <w:tabs>
          <w:tab w:val="left" w:pos="567"/>
        </w:tabs>
        <w:jc w:val="both"/>
        <w:rPr>
          <w:szCs w:val="22"/>
          <w:lang w:val="en-US" w:eastAsia="en-US"/>
        </w:rPr>
      </w:pPr>
      <w:r w:rsidRPr="0028360D">
        <w:rPr>
          <w:szCs w:val="22"/>
          <w:lang w:eastAsia="en-US"/>
        </w:rPr>
        <w:t>The Company issued 330,000 units at a deemed value of $0.06 to acquire the placer rights.</w:t>
      </w:r>
      <w:r w:rsidRPr="0028360D">
        <w:rPr>
          <w:szCs w:val="22"/>
          <w:lang w:val="en-US" w:eastAsia="en-US"/>
        </w:rPr>
        <w:t xml:space="preserve"> Each unit consists of one Common Share of the Company and one half of one Common Share purchase warrant.</w:t>
      </w:r>
    </w:p>
    <w:p w14:paraId="3C7AABDA" w14:textId="77777777" w:rsidR="0028360D" w:rsidRPr="0028360D" w:rsidRDefault="0028360D" w:rsidP="0028360D">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Cs w:val="22"/>
          <w:lang w:eastAsia="en-US"/>
        </w:rPr>
      </w:pPr>
      <w:r w:rsidRPr="0028360D">
        <w:rPr>
          <w:szCs w:val="22"/>
          <w:lang w:val="en-US" w:eastAsia="en-US"/>
        </w:rPr>
        <w:t>Each full warrant is exercisable to purchase one Common Share of the Company at a price of $0.10 for a period of 24 months following the issuance date. The Company also acquired the mining equipment already located on the property for $20,000 cash.</w:t>
      </w:r>
    </w:p>
    <w:p w14:paraId="491F91C0" w14:textId="77777777" w:rsidR="0028360D" w:rsidRPr="0028360D" w:rsidRDefault="0028360D" w:rsidP="0028360D">
      <w:pPr>
        <w:tabs>
          <w:tab w:val="left" w:pos="567"/>
        </w:tabs>
        <w:jc w:val="both"/>
        <w:rPr>
          <w:szCs w:val="22"/>
          <w:lang w:val="en-US" w:eastAsia="en-US"/>
        </w:rPr>
      </w:pPr>
    </w:p>
    <w:p w14:paraId="5B275E7F" w14:textId="77777777" w:rsidR="0028360D" w:rsidRPr="0028360D" w:rsidRDefault="0028360D" w:rsidP="0028360D">
      <w:pPr>
        <w:tabs>
          <w:tab w:val="left" w:pos="567"/>
        </w:tabs>
        <w:jc w:val="both"/>
        <w:rPr>
          <w:szCs w:val="22"/>
          <w:lang w:val="en-US" w:eastAsia="en-US"/>
        </w:rPr>
      </w:pPr>
      <w:r w:rsidRPr="0028360D">
        <w:rPr>
          <w:szCs w:val="22"/>
          <w:lang w:val="en-US" w:eastAsia="en-US"/>
        </w:rPr>
        <w:t xml:space="preserve">On </w:t>
      </w:r>
      <w:proofErr w:type="gramStart"/>
      <w:r w:rsidRPr="0028360D">
        <w:rPr>
          <w:szCs w:val="22"/>
          <w:lang w:val="en-US" w:eastAsia="en-US"/>
        </w:rPr>
        <w:t>May 7, 2020</w:t>
      </w:r>
      <w:proofErr w:type="gramEnd"/>
      <w:r w:rsidRPr="0028360D">
        <w:rPr>
          <w:szCs w:val="22"/>
          <w:lang w:val="en-US" w:eastAsia="en-US"/>
        </w:rPr>
        <w:t xml:space="preserve"> the Company announced that it has acquired placer mining claims on the Swift River for $8,000 cash and 500,000 units of the Company.  The units were issued at a deemed price of $0.06.  Each unit consists of one Common Share of the Company and one half of one Common Share purchase warrant.</w:t>
      </w:r>
    </w:p>
    <w:p w14:paraId="10610F9F" w14:textId="77777777" w:rsidR="0028360D" w:rsidRPr="0028360D" w:rsidRDefault="0028360D" w:rsidP="0028360D">
      <w:pPr>
        <w:tabs>
          <w:tab w:val="left" w:pos="567"/>
        </w:tabs>
        <w:jc w:val="both"/>
        <w:rPr>
          <w:szCs w:val="22"/>
          <w:lang w:val="en-US" w:eastAsia="en-US"/>
        </w:rPr>
      </w:pPr>
      <w:r w:rsidRPr="0028360D">
        <w:rPr>
          <w:szCs w:val="22"/>
          <w:lang w:val="en-US" w:eastAsia="en-US"/>
        </w:rPr>
        <w:lastRenderedPageBreak/>
        <w:t xml:space="preserve">Each full warrant is exercisable to purchase one Common Share of the Company at a price of $0.10 for a period of 24 months following the issuance date. </w:t>
      </w:r>
    </w:p>
    <w:bookmarkEnd w:id="24"/>
    <w:p w14:paraId="76A1064C" w14:textId="77777777" w:rsidR="0028360D" w:rsidRPr="0028360D" w:rsidRDefault="0028360D" w:rsidP="0028360D">
      <w:pPr>
        <w:tabs>
          <w:tab w:val="left" w:pos="567"/>
        </w:tabs>
        <w:jc w:val="both"/>
        <w:rPr>
          <w:szCs w:val="22"/>
          <w:lang w:val="en-US" w:eastAsia="en-US"/>
        </w:rPr>
      </w:pPr>
    </w:p>
    <w:p w14:paraId="1A7B9303" w14:textId="77777777" w:rsidR="0028360D" w:rsidRPr="0028360D" w:rsidRDefault="0028360D" w:rsidP="0028360D">
      <w:pPr>
        <w:tabs>
          <w:tab w:val="left" w:pos="567"/>
        </w:tabs>
        <w:jc w:val="both"/>
        <w:rPr>
          <w:szCs w:val="22"/>
          <w:lang w:val="en-US" w:eastAsia="en-US"/>
        </w:rPr>
      </w:pPr>
      <w:r w:rsidRPr="0028360D">
        <w:rPr>
          <w:szCs w:val="22"/>
          <w:lang w:val="en-US" w:eastAsia="en-US"/>
        </w:rPr>
        <w:t>On May 20, 2020, the Company announced that it has staked an additional 720.6 hectares of mineral rights expanding the 100% owned Fontaine Lode Gold Project to 8,920 hectares. The Company also announced that it has commenced its 2020 exploration on the Fontaine Lode Gold Project.</w:t>
      </w:r>
    </w:p>
    <w:p w14:paraId="11C3A83E" w14:textId="77777777" w:rsidR="0028360D" w:rsidRPr="0028360D" w:rsidRDefault="0028360D" w:rsidP="0028360D">
      <w:pPr>
        <w:jc w:val="both"/>
        <w:rPr>
          <w:b/>
          <w:szCs w:val="22"/>
          <w:lang w:val="en-US" w:eastAsia="en-US"/>
        </w:rPr>
      </w:pPr>
      <w:r w:rsidRPr="0028360D" w:rsidDel="003B3C77">
        <w:rPr>
          <w:szCs w:val="22"/>
          <w:lang w:val="en-US" w:eastAsia="en-US"/>
        </w:rPr>
        <w:t xml:space="preserve"> </w:t>
      </w:r>
    </w:p>
    <w:p w14:paraId="1A1A174F" w14:textId="0AF701EE" w:rsidR="0028360D" w:rsidRPr="0028360D" w:rsidRDefault="0028360D" w:rsidP="0028360D">
      <w:pPr>
        <w:tabs>
          <w:tab w:val="left" w:pos="567"/>
        </w:tabs>
        <w:jc w:val="both"/>
        <w:rPr>
          <w:szCs w:val="22"/>
          <w:lang w:val="en-US" w:eastAsia="en-US"/>
        </w:rPr>
      </w:pPr>
      <w:r w:rsidRPr="0028360D">
        <w:rPr>
          <w:szCs w:val="22"/>
          <w:lang w:val="en-US" w:eastAsia="en-US"/>
        </w:rPr>
        <w:t>During the nine months ended June 30, 2020</w:t>
      </w:r>
      <w:r>
        <w:rPr>
          <w:szCs w:val="22"/>
          <w:lang w:val="en-US" w:eastAsia="en-US"/>
        </w:rPr>
        <w:t>,</w:t>
      </w:r>
      <w:r w:rsidRPr="0028360D">
        <w:rPr>
          <w:szCs w:val="22"/>
          <w:lang w:val="en-US" w:eastAsia="en-US"/>
        </w:rPr>
        <w:t xml:space="preserve"> the Company spent an additional $78.198 on planning and exploration activities.</w:t>
      </w:r>
    </w:p>
    <w:p w14:paraId="75FD01CB" w14:textId="77777777" w:rsidR="0028360D" w:rsidRPr="0028360D" w:rsidRDefault="0028360D" w:rsidP="0028360D">
      <w:pPr>
        <w:tabs>
          <w:tab w:val="left" w:pos="-1080"/>
          <w:tab w:val="left" w:pos="-180"/>
          <w:tab w:val="left" w:pos="36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val="en-US" w:eastAsia="en-US"/>
        </w:rPr>
      </w:pPr>
    </w:p>
    <w:p w14:paraId="5A8BE77A" w14:textId="6FEFD58D" w:rsidR="00527DFD" w:rsidRPr="008C4722" w:rsidRDefault="00EE6532" w:rsidP="008C4722">
      <w:pPr>
        <w:jc w:val="both"/>
        <w:rPr>
          <w:szCs w:val="22"/>
        </w:rPr>
      </w:pPr>
      <w:r>
        <w:rPr>
          <w:szCs w:val="22"/>
        </w:rPr>
        <w:t xml:space="preserve">              </w:t>
      </w:r>
      <w:bookmarkStart w:id="25" w:name="_Toc379536675"/>
    </w:p>
    <w:p w14:paraId="443C2CEE" w14:textId="77777777" w:rsidR="0061495C" w:rsidRPr="005942D3" w:rsidRDefault="0061495C" w:rsidP="005942D3">
      <w:pPr>
        <w:pStyle w:val="Heading3"/>
        <w:pBdr>
          <w:top w:val="single" w:sz="4" w:space="1" w:color="auto"/>
          <w:bottom w:val="single" w:sz="4" w:space="1" w:color="auto"/>
        </w:pBdr>
        <w:rPr>
          <w:b/>
          <w:u w:val="none"/>
        </w:rPr>
      </w:pPr>
      <w:bookmarkStart w:id="26" w:name="_Toc34057627"/>
      <w:r w:rsidRPr="005942D3">
        <w:rPr>
          <w:b/>
          <w:u w:val="none"/>
        </w:rPr>
        <w:t>OFF</w:t>
      </w:r>
      <w:r w:rsidR="00350586" w:rsidRPr="005942D3">
        <w:rPr>
          <w:b/>
          <w:u w:val="none"/>
        </w:rPr>
        <w:t>-</w:t>
      </w:r>
      <w:r w:rsidRPr="005942D3">
        <w:rPr>
          <w:b/>
          <w:u w:val="none"/>
        </w:rPr>
        <w:t>BALANCE SHEET ARRANGEMENTS</w:t>
      </w:r>
      <w:bookmarkEnd w:id="25"/>
      <w:bookmarkEnd w:id="26"/>
    </w:p>
    <w:p w14:paraId="539478BB" w14:textId="77777777" w:rsidR="008E207A" w:rsidRPr="008E207A" w:rsidRDefault="008E207A" w:rsidP="008E207A">
      <w:pPr>
        <w:jc w:val="both"/>
        <w:rPr>
          <w:sz w:val="18"/>
        </w:rPr>
      </w:pPr>
    </w:p>
    <w:p w14:paraId="01E888B6" w14:textId="67066E66" w:rsidR="0061495C" w:rsidRDefault="0061495C" w:rsidP="0061495C">
      <w:pPr>
        <w:jc w:val="both"/>
        <w:rPr>
          <w:szCs w:val="22"/>
        </w:rPr>
      </w:pPr>
      <w:r w:rsidRPr="00283891">
        <w:rPr>
          <w:szCs w:val="22"/>
        </w:rPr>
        <w:t xml:space="preserve">During the </w:t>
      </w:r>
      <w:r w:rsidR="0028360D">
        <w:rPr>
          <w:szCs w:val="22"/>
        </w:rPr>
        <w:t>nine</w:t>
      </w:r>
      <w:r w:rsidR="001A62E1">
        <w:rPr>
          <w:szCs w:val="22"/>
        </w:rPr>
        <w:t xml:space="preserve"> months ended </w:t>
      </w:r>
      <w:r w:rsidR="00BF37AF">
        <w:rPr>
          <w:szCs w:val="22"/>
        </w:rPr>
        <w:t>June 30</w:t>
      </w:r>
      <w:r w:rsidR="001A62E1">
        <w:rPr>
          <w:szCs w:val="22"/>
        </w:rPr>
        <w:t>,</w:t>
      </w:r>
      <w:r w:rsidR="00304A72">
        <w:rPr>
          <w:szCs w:val="22"/>
        </w:rPr>
        <w:t xml:space="preserve"> 20</w:t>
      </w:r>
      <w:r w:rsidR="006C6049">
        <w:rPr>
          <w:szCs w:val="22"/>
        </w:rPr>
        <w:t>20</w:t>
      </w:r>
      <w:r w:rsidRPr="00283891">
        <w:rPr>
          <w:szCs w:val="22"/>
        </w:rPr>
        <w:t xml:space="preserve">, the Company was not a party to any off-balance-sheet arrangements that have, or are reasonably likely to have, a material current or future effect on the results of operations, financial condition, revenues or expenses, liquidity, capital expenditures or capital resources of the Company. </w:t>
      </w:r>
    </w:p>
    <w:p w14:paraId="50D15B60" w14:textId="77777777" w:rsidR="005B51C1" w:rsidRPr="00283891" w:rsidRDefault="005B51C1" w:rsidP="0061495C">
      <w:pPr>
        <w:jc w:val="both"/>
        <w:rPr>
          <w:szCs w:val="22"/>
        </w:rPr>
      </w:pPr>
    </w:p>
    <w:p w14:paraId="0AAB40A1" w14:textId="77777777" w:rsidR="00A34515" w:rsidRPr="005942D3" w:rsidRDefault="00A34515" w:rsidP="005942D3">
      <w:pPr>
        <w:pStyle w:val="Heading3"/>
        <w:pBdr>
          <w:top w:val="single" w:sz="4" w:space="1" w:color="auto"/>
          <w:bottom w:val="single" w:sz="4" w:space="1" w:color="auto"/>
        </w:pBdr>
        <w:rPr>
          <w:b/>
          <w:u w:val="none"/>
        </w:rPr>
      </w:pPr>
      <w:bookmarkStart w:id="27" w:name="_Toc379536676"/>
      <w:bookmarkStart w:id="28" w:name="_Toc34057628"/>
      <w:r w:rsidRPr="005942D3">
        <w:rPr>
          <w:b/>
          <w:u w:val="none"/>
        </w:rPr>
        <w:t>CONTRACTUAL OBLIGATIONS</w:t>
      </w:r>
      <w:bookmarkEnd w:id="27"/>
      <w:bookmarkEnd w:id="28"/>
    </w:p>
    <w:p w14:paraId="66DB274B" w14:textId="77777777" w:rsidR="00DE3076" w:rsidRDefault="00DE3076" w:rsidP="008E207A">
      <w:pPr>
        <w:jc w:val="both"/>
        <w:rPr>
          <w:sz w:val="18"/>
        </w:rPr>
      </w:pPr>
    </w:p>
    <w:p w14:paraId="007F5B0A" w14:textId="77777777" w:rsidR="00CB7428" w:rsidRDefault="00CB7428" w:rsidP="008E207A">
      <w:pPr>
        <w:jc w:val="both"/>
        <w:rPr>
          <w:sz w:val="18"/>
        </w:rPr>
      </w:pPr>
    </w:p>
    <w:p w14:paraId="30D44C9A" w14:textId="30FCF4DE" w:rsidR="00CB7428" w:rsidRPr="00CB7428" w:rsidRDefault="00CB7428" w:rsidP="00CB7428">
      <w:pPr>
        <w:tabs>
          <w:tab w:val="left" w:pos="567"/>
        </w:tabs>
        <w:jc w:val="both"/>
        <w:rPr>
          <w:szCs w:val="22"/>
          <w:lang w:val="en-US" w:eastAsia="en-US"/>
        </w:rPr>
      </w:pPr>
      <w:r w:rsidRPr="00CB7428">
        <w:rPr>
          <w:szCs w:val="22"/>
          <w:lang w:val="en-US" w:eastAsia="en-US"/>
        </w:rPr>
        <w:t xml:space="preserve">The Company’s retail and office location in Quesnel, B.C. is rented on a month-to-month rental contract.  Monthly rental is $1.100 plus GST.  </w:t>
      </w:r>
    </w:p>
    <w:p w14:paraId="5B8B6BBD" w14:textId="77777777" w:rsidR="00CB7428" w:rsidRPr="00CB7428" w:rsidRDefault="00CB7428" w:rsidP="00CB7428">
      <w:pPr>
        <w:tabs>
          <w:tab w:val="left" w:pos="567"/>
        </w:tabs>
        <w:jc w:val="both"/>
        <w:rPr>
          <w:szCs w:val="22"/>
          <w:lang w:val="en-US" w:eastAsia="en-US"/>
        </w:rPr>
      </w:pPr>
    </w:p>
    <w:p w14:paraId="7D1711A1" w14:textId="40F87512" w:rsidR="007D29F3" w:rsidRDefault="00CB7428" w:rsidP="00CB7428">
      <w:pPr>
        <w:tabs>
          <w:tab w:val="left" w:pos="567"/>
        </w:tabs>
        <w:jc w:val="both"/>
        <w:rPr>
          <w:szCs w:val="22"/>
          <w:lang w:val="en-US" w:eastAsia="en-US"/>
        </w:rPr>
      </w:pPr>
      <w:r w:rsidRPr="00CB7428">
        <w:rPr>
          <w:szCs w:val="22"/>
          <w:lang w:val="en-US" w:eastAsia="en-US"/>
        </w:rPr>
        <w:t>The Company is required to meet certain spending commitments to keep its placer and mineral claims in good standing.</w:t>
      </w:r>
    </w:p>
    <w:p w14:paraId="16B01181" w14:textId="7B9C2CCB" w:rsidR="00CD2297" w:rsidRDefault="00CD2297" w:rsidP="00CB7428">
      <w:pPr>
        <w:tabs>
          <w:tab w:val="left" w:pos="567"/>
        </w:tabs>
        <w:jc w:val="both"/>
        <w:rPr>
          <w:szCs w:val="22"/>
          <w:lang w:val="en-US" w:eastAsia="en-US"/>
        </w:rPr>
      </w:pPr>
    </w:p>
    <w:p w14:paraId="6F11F3A8" w14:textId="77777777" w:rsidR="00CD2297" w:rsidRPr="00CD2297" w:rsidRDefault="00CD2297" w:rsidP="00CD2297">
      <w:pPr>
        <w:tabs>
          <w:tab w:val="left" w:pos="567"/>
        </w:tabs>
        <w:jc w:val="both"/>
        <w:rPr>
          <w:szCs w:val="22"/>
          <w:u w:val="double"/>
          <w:lang w:val="en-US" w:eastAsia="en-US"/>
        </w:rPr>
      </w:pPr>
      <w:r w:rsidRPr="00CD2297">
        <w:rPr>
          <w:szCs w:val="22"/>
          <w:lang w:val="en-US" w:eastAsia="en-US"/>
        </w:rPr>
        <w:t xml:space="preserve">On March 27, 2020, the Chief Gold Commissioner gave a blanket extension for all mineral and placer claims in B.C. to December 31, 2021.  Any claims that would have expired prior to that date have been extended to December 31, 2021 </w:t>
      </w:r>
      <w:proofErr w:type="gramStart"/>
      <w:r w:rsidRPr="00CD2297">
        <w:rPr>
          <w:szCs w:val="22"/>
          <w:lang w:val="en-US" w:eastAsia="en-US"/>
        </w:rPr>
        <w:t>as a result of</w:t>
      </w:r>
      <w:proofErr w:type="gramEnd"/>
      <w:r w:rsidRPr="00CD2297">
        <w:rPr>
          <w:szCs w:val="22"/>
          <w:lang w:val="en-US" w:eastAsia="en-US"/>
        </w:rPr>
        <w:t xml:space="preserve"> COVID-19.  </w:t>
      </w:r>
    </w:p>
    <w:p w14:paraId="0392C6A9" w14:textId="77777777" w:rsidR="007D29F3" w:rsidRDefault="007D29F3" w:rsidP="00CB7428">
      <w:pPr>
        <w:tabs>
          <w:tab w:val="left" w:pos="567"/>
        </w:tabs>
        <w:jc w:val="both"/>
        <w:rPr>
          <w:szCs w:val="22"/>
          <w:lang w:val="en-US" w:eastAsia="en-US"/>
        </w:rPr>
      </w:pPr>
    </w:p>
    <w:p w14:paraId="6552D066" w14:textId="1809E05F" w:rsidR="007D29F3" w:rsidRDefault="00CB7428" w:rsidP="00CB7428">
      <w:pPr>
        <w:tabs>
          <w:tab w:val="left" w:pos="567"/>
        </w:tabs>
        <w:jc w:val="both"/>
        <w:rPr>
          <w:szCs w:val="22"/>
          <w:lang w:val="en-US" w:eastAsia="en-US"/>
        </w:rPr>
      </w:pPr>
      <w:r w:rsidRPr="00CB7428">
        <w:rPr>
          <w:szCs w:val="22"/>
          <w:lang w:val="en-US" w:eastAsia="en-US"/>
        </w:rPr>
        <w:t xml:space="preserve"> The Company’s Fontaine placer claims are currently paid up until November 15, 2022</w:t>
      </w:r>
    </w:p>
    <w:p w14:paraId="0EB1150E" w14:textId="0056ABCF" w:rsidR="00CB7428" w:rsidRPr="00CB7428" w:rsidRDefault="00CB7428" w:rsidP="00CB7428">
      <w:pPr>
        <w:tabs>
          <w:tab w:val="left" w:pos="567"/>
        </w:tabs>
        <w:jc w:val="both"/>
        <w:rPr>
          <w:szCs w:val="22"/>
          <w:lang w:val="en-US" w:eastAsia="en-US"/>
        </w:rPr>
      </w:pPr>
      <w:r w:rsidRPr="00CB7428">
        <w:rPr>
          <w:szCs w:val="22"/>
          <w:lang w:val="en-US" w:eastAsia="en-US"/>
        </w:rPr>
        <w:t xml:space="preserve"> </w:t>
      </w:r>
    </w:p>
    <w:p w14:paraId="3A817EB9" w14:textId="6B54BC68" w:rsidR="00CB7428" w:rsidRDefault="00CB7428" w:rsidP="00CB7428">
      <w:pPr>
        <w:tabs>
          <w:tab w:val="left" w:pos="567"/>
        </w:tabs>
        <w:jc w:val="both"/>
        <w:rPr>
          <w:szCs w:val="22"/>
          <w:lang w:val="en-US" w:eastAsia="en-US"/>
        </w:rPr>
      </w:pPr>
      <w:r w:rsidRPr="00CB7428">
        <w:rPr>
          <w:szCs w:val="22"/>
          <w:lang w:val="en-US" w:eastAsia="en-US"/>
        </w:rPr>
        <w:t>The Company’s Fontaine mineral claims are paid up until April 25, 2020.  Qualifying assessment work of $</w:t>
      </w:r>
      <w:r w:rsidR="00F33DEC">
        <w:rPr>
          <w:szCs w:val="22"/>
          <w:lang w:val="en-US" w:eastAsia="en-US"/>
        </w:rPr>
        <w:t>41,072</w:t>
      </w:r>
      <w:r w:rsidRPr="00CB7428">
        <w:rPr>
          <w:szCs w:val="22"/>
          <w:lang w:val="en-US" w:eastAsia="en-US"/>
        </w:rPr>
        <w:t xml:space="preserve"> will move the mineral claims forward until </w:t>
      </w:r>
      <w:r w:rsidR="00F33DEC">
        <w:rPr>
          <w:szCs w:val="22"/>
          <w:lang w:val="en-US" w:eastAsia="en-US"/>
        </w:rPr>
        <w:t>April 25, 2021.</w:t>
      </w:r>
      <w:r w:rsidRPr="00CB7428">
        <w:rPr>
          <w:szCs w:val="22"/>
          <w:lang w:val="en-US" w:eastAsia="en-US"/>
        </w:rPr>
        <w:t xml:space="preserve">  </w:t>
      </w:r>
    </w:p>
    <w:p w14:paraId="19409DD9" w14:textId="77777777" w:rsidR="00F33DEC" w:rsidRDefault="00F33DEC" w:rsidP="00CB7428">
      <w:pPr>
        <w:tabs>
          <w:tab w:val="left" w:pos="567"/>
        </w:tabs>
        <w:jc w:val="both"/>
        <w:rPr>
          <w:szCs w:val="22"/>
          <w:lang w:val="en-US" w:eastAsia="en-US"/>
        </w:rPr>
      </w:pPr>
    </w:p>
    <w:p w14:paraId="5EF458C2" w14:textId="77777777" w:rsidR="00F33DEC" w:rsidRPr="00F33DEC" w:rsidRDefault="00F33DEC" w:rsidP="00F33DEC">
      <w:pPr>
        <w:tabs>
          <w:tab w:val="left" w:pos="567"/>
        </w:tabs>
        <w:jc w:val="both"/>
        <w:rPr>
          <w:szCs w:val="22"/>
          <w:lang w:val="en-US" w:eastAsia="en-US"/>
        </w:rPr>
      </w:pPr>
      <w:r w:rsidRPr="00F33DEC">
        <w:rPr>
          <w:szCs w:val="22"/>
          <w:lang w:val="en-US" w:eastAsia="en-US"/>
        </w:rPr>
        <w:t>The minimum required annual exploration and development expenditures to keep the properties in good standing over the next five years are as follows:</w:t>
      </w:r>
    </w:p>
    <w:p w14:paraId="5EFDFCE4" w14:textId="77777777" w:rsidR="00F33DEC" w:rsidRPr="00F33DEC" w:rsidRDefault="00F33DEC" w:rsidP="00F33DEC">
      <w:pPr>
        <w:tabs>
          <w:tab w:val="left" w:pos="567"/>
        </w:tabs>
        <w:jc w:val="both"/>
        <w:rPr>
          <w:szCs w:val="22"/>
          <w:lang w:val="en-US" w:eastAsia="en-US"/>
        </w:rPr>
      </w:pPr>
    </w:p>
    <w:p w14:paraId="50DB9EAE" w14:textId="77777777" w:rsidR="00F33DEC" w:rsidRPr="00F33DEC" w:rsidRDefault="00F33DEC" w:rsidP="00F33DEC">
      <w:pPr>
        <w:tabs>
          <w:tab w:val="left" w:pos="567"/>
        </w:tabs>
        <w:jc w:val="both"/>
        <w:rPr>
          <w:szCs w:val="22"/>
          <w:lang w:val="en-US" w:eastAsia="en-US"/>
        </w:rPr>
      </w:pPr>
      <w:r w:rsidRPr="00F33DEC">
        <w:rPr>
          <w:szCs w:val="22"/>
          <w:lang w:val="en-US" w:eastAsia="en-US"/>
        </w:rPr>
        <w:t xml:space="preserve">                    Mineral Claims    Placer Claims       Total</w:t>
      </w:r>
    </w:p>
    <w:p w14:paraId="1463499D" w14:textId="77777777" w:rsidR="00F33DEC" w:rsidRPr="00F33DEC" w:rsidRDefault="00F33DEC" w:rsidP="00F33DEC">
      <w:pPr>
        <w:tabs>
          <w:tab w:val="left" w:pos="567"/>
        </w:tabs>
        <w:jc w:val="both"/>
        <w:rPr>
          <w:szCs w:val="22"/>
          <w:lang w:val="en-US" w:eastAsia="en-US"/>
        </w:rPr>
      </w:pPr>
    </w:p>
    <w:p w14:paraId="400BBBB1" w14:textId="77777777" w:rsidR="00F33DEC" w:rsidRPr="00F33DEC" w:rsidRDefault="00F33DEC" w:rsidP="00F33DEC">
      <w:pPr>
        <w:tabs>
          <w:tab w:val="left" w:pos="567"/>
        </w:tabs>
        <w:jc w:val="both"/>
        <w:rPr>
          <w:szCs w:val="22"/>
          <w:lang w:val="en-US" w:eastAsia="en-US"/>
        </w:rPr>
      </w:pPr>
    </w:p>
    <w:p w14:paraId="1D2C3CDC" w14:textId="77777777" w:rsidR="00F33DEC" w:rsidRPr="00F33DEC" w:rsidRDefault="00F33DEC" w:rsidP="00F33DEC">
      <w:pPr>
        <w:tabs>
          <w:tab w:val="left" w:pos="567"/>
        </w:tabs>
        <w:jc w:val="both"/>
        <w:rPr>
          <w:szCs w:val="22"/>
          <w:lang w:val="en-US" w:eastAsia="en-US"/>
        </w:rPr>
      </w:pPr>
      <w:r w:rsidRPr="00F33DEC">
        <w:rPr>
          <w:szCs w:val="22"/>
          <w:lang w:val="en-US" w:eastAsia="en-US"/>
        </w:rPr>
        <w:t xml:space="preserve">2020                  $ 41,072                   -             </w:t>
      </w:r>
      <w:r>
        <w:rPr>
          <w:szCs w:val="22"/>
          <w:lang w:val="en-US" w:eastAsia="en-US"/>
        </w:rPr>
        <w:t xml:space="preserve"> </w:t>
      </w:r>
      <w:r w:rsidRPr="00F33DEC">
        <w:rPr>
          <w:szCs w:val="22"/>
          <w:lang w:val="en-US" w:eastAsia="en-US"/>
        </w:rPr>
        <w:t xml:space="preserve"> $ 41,072             </w:t>
      </w:r>
    </w:p>
    <w:p w14:paraId="4527894E" w14:textId="77777777" w:rsidR="00F33DEC" w:rsidRPr="00F33DEC" w:rsidRDefault="00F33DEC" w:rsidP="00F33DEC">
      <w:pPr>
        <w:tabs>
          <w:tab w:val="left" w:pos="567"/>
        </w:tabs>
        <w:jc w:val="both"/>
        <w:rPr>
          <w:szCs w:val="22"/>
          <w:lang w:val="en-US" w:eastAsia="en-US"/>
        </w:rPr>
      </w:pPr>
      <w:r w:rsidRPr="00F33DEC">
        <w:rPr>
          <w:szCs w:val="22"/>
          <w:lang w:val="en-US" w:eastAsia="en-US"/>
        </w:rPr>
        <w:t xml:space="preserve">2021                  $ 41,072                   -             </w:t>
      </w:r>
      <w:r>
        <w:rPr>
          <w:szCs w:val="22"/>
          <w:lang w:val="en-US" w:eastAsia="en-US"/>
        </w:rPr>
        <w:t xml:space="preserve"> </w:t>
      </w:r>
      <w:r w:rsidRPr="00F33DEC">
        <w:rPr>
          <w:szCs w:val="22"/>
          <w:lang w:val="en-US" w:eastAsia="en-US"/>
        </w:rPr>
        <w:t xml:space="preserve"> $ 41,072</w:t>
      </w:r>
    </w:p>
    <w:p w14:paraId="18CB56D2" w14:textId="77777777" w:rsidR="00F33DEC" w:rsidRPr="00F33DEC" w:rsidRDefault="00F33DEC" w:rsidP="00F33DEC">
      <w:pPr>
        <w:tabs>
          <w:tab w:val="left" w:pos="567"/>
        </w:tabs>
        <w:jc w:val="both"/>
        <w:rPr>
          <w:szCs w:val="22"/>
          <w:lang w:val="en-US" w:eastAsia="en-US"/>
        </w:rPr>
      </w:pPr>
      <w:r w:rsidRPr="00F33DEC">
        <w:rPr>
          <w:szCs w:val="22"/>
          <w:lang w:val="en-US" w:eastAsia="en-US"/>
        </w:rPr>
        <w:t xml:space="preserve">2022                  $ 82,144                   -             </w:t>
      </w:r>
      <w:r>
        <w:rPr>
          <w:szCs w:val="22"/>
          <w:lang w:val="en-US" w:eastAsia="en-US"/>
        </w:rPr>
        <w:t xml:space="preserve"> </w:t>
      </w:r>
      <w:r w:rsidRPr="00F33DEC">
        <w:rPr>
          <w:szCs w:val="22"/>
          <w:lang w:val="en-US" w:eastAsia="en-US"/>
        </w:rPr>
        <w:t xml:space="preserve"> $ 82,144</w:t>
      </w:r>
    </w:p>
    <w:p w14:paraId="4BCE75D4" w14:textId="77777777" w:rsidR="00F33DEC" w:rsidRPr="00F33DEC" w:rsidRDefault="00F33DEC" w:rsidP="00F33DEC">
      <w:pPr>
        <w:tabs>
          <w:tab w:val="left" w:pos="567"/>
        </w:tabs>
        <w:jc w:val="both"/>
        <w:rPr>
          <w:szCs w:val="22"/>
          <w:lang w:val="en-US" w:eastAsia="en-US"/>
        </w:rPr>
      </w:pPr>
      <w:r w:rsidRPr="00F33DEC">
        <w:rPr>
          <w:szCs w:val="22"/>
          <w:lang w:val="en-US" w:eastAsia="en-US"/>
        </w:rPr>
        <w:t xml:space="preserve">2023                  $ 82,144                   -             </w:t>
      </w:r>
      <w:r>
        <w:rPr>
          <w:szCs w:val="22"/>
          <w:lang w:val="en-US" w:eastAsia="en-US"/>
        </w:rPr>
        <w:t xml:space="preserve"> </w:t>
      </w:r>
      <w:r w:rsidRPr="00F33DEC">
        <w:rPr>
          <w:szCs w:val="22"/>
          <w:lang w:val="en-US" w:eastAsia="en-US"/>
        </w:rPr>
        <w:t xml:space="preserve"> $ 82,144</w:t>
      </w:r>
    </w:p>
    <w:p w14:paraId="4A8B210E" w14:textId="77777777" w:rsidR="00F33DEC" w:rsidRPr="00F33DEC" w:rsidRDefault="00F33DEC" w:rsidP="00F33DEC">
      <w:pPr>
        <w:tabs>
          <w:tab w:val="left" w:pos="567"/>
        </w:tabs>
        <w:jc w:val="both"/>
        <w:rPr>
          <w:szCs w:val="22"/>
          <w:u w:val="single"/>
          <w:lang w:val="en-US" w:eastAsia="en-US"/>
        </w:rPr>
      </w:pPr>
      <w:r w:rsidRPr="00F33DEC">
        <w:rPr>
          <w:szCs w:val="22"/>
          <w:u w:val="single"/>
          <w:lang w:val="en-US" w:eastAsia="en-US"/>
        </w:rPr>
        <w:t xml:space="preserve">2024                  $123,072            $12,857         $135,929   </w:t>
      </w:r>
    </w:p>
    <w:p w14:paraId="567FE429" w14:textId="77777777" w:rsidR="00F33DEC" w:rsidRPr="00F33DEC" w:rsidRDefault="00F33DEC" w:rsidP="00F33DEC">
      <w:pPr>
        <w:tabs>
          <w:tab w:val="left" w:pos="567"/>
        </w:tabs>
        <w:jc w:val="both"/>
        <w:rPr>
          <w:szCs w:val="22"/>
          <w:u w:val="double"/>
          <w:lang w:val="en-US" w:eastAsia="en-US"/>
        </w:rPr>
      </w:pPr>
      <w:r w:rsidRPr="00F33DEC">
        <w:rPr>
          <w:szCs w:val="22"/>
          <w:u w:val="double"/>
          <w:lang w:val="en-US" w:eastAsia="en-US"/>
        </w:rPr>
        <w:t>Total                 $369,504            $12,857          $382,361</w:t>
      </w:r>
    </w:p>
    <w:p w14:paraId="0360DD14" w14:textId="77777777" w:rsidR="00CB7428" w:rsidRDefault="00CB7428" w:rsidP="008E207A">
      <w:pPr>
        <w:jc w:val="both"/>
        <w:rPr>
          <w:sz w:val="18"/>
        </w:rPr>
      </w:pPr>
    </w:p>
    <w:p w14:paraId="360DF61F" w14:textId="77777777" w:rsidR="000853B1" w:rsidRDefault="00DE3076" w:rsidP="000853B1">
      <w:pPr>
        <w:jc w:val="both"/>
        <w:rPr>
          <w:bCs/>
          <w:szCs w:val="22"/>
        </w:rPr>
      </w:pPr>
      <w:r>
        <w:rPr>
          <w:bCs/>
          <w:szCs w:val="22"/>
        </w:rPr>
        <w:lastRenderedPageBreak/>
        <w:t>Mining and testing</w:t>
      </w:r>
      <w:r w:rsidR="000853B1" w:rsidRPr="003F695D">
        <w:rPr>
          <w:bCs/>
          <w:szCs w:val="22"/>
        </w:rPr>
        <w:t xml:space="preserve"> activities are subject to environmental regulation (including regular environmental impact assessments and permitting) in each of the jurisdictions in which </w:t>
      </w:r>
      <w:r w:rsidR="00211511">
        <w:rPr>
          <w:bCs/>
          <w:szCs w:val="22"/>
        </w:rPr>
        <w:t>potential</w:t>
      </w:r>
      <w:r w:rsidR="000853B1" w:rsidRPr="003F695D">
        <w:rPr>
          <w:bCs/>
          <w:szCs w:val="22"/>
        </w:rPr>
        <w:t xml:space="preserve"> mineral properties are located.  Such regulations cover a wide variety of matters including, without limitation, prevention of waste, pollution</w:t>
      </w:r>
      <w:r w:rsidR="00EE6532">
        <w:rPr>
          <w:bCs/>
          <w:szCs w:val="22"/>
        </w:rPr>
        <w:t>,</w:t>
      </w:r>
      <w:r w:rsidR="000853B1" w:rsidRPr="003F695D">
        <w:rPr>
          <w:bCs/>
          <w:szCs w:val="22"/>
        </w:rPr>
        <w:t xml:space="preserve"> and protection of the environment, labour </w:t>
      </w:r>
      <w:proofErr w:type="gramStart"/>
      <w:r w:rsidR="000853B1" w:rsidRPr="003F695D">
        <w:rPr>
          <w:bCs/>
          <w:szCs w:val="22"/>
        </w:rPr>
        <w:t>relations</w:t>
      </w:r>
      <w:proofErr w:type="gramEnd"/>
      <w:r w:rsidR="000853B1" w:rsidRPr="003F695D">
        <w:rPr>
          <w:bCs/>
          <w:szCs w:val="22"/>
        </w:rPr>
        <w:t xml:space="preserve"> and worker safety.  The Company may also be subject under such regulations </w:t>
      </w:r>
      <w:r w:rsidR="00211511">
        <w:rPr>
          <w:bCs/>
          <w:szCs w:val="22"/>
        </w:rPr>
        <w:t>for</w:t>
      </w:r>
      <w:r w:rsidR="000853B1" w:rsidRPr="003F695D">
        <w:rPr>
          <w:bCs/>
          <w:szCs w:val="22"/>
        </w:rPr>
        <w:t xml:space="preserve"> clean-up costs and liability for toxic or hazardous substances which may exist on or under any of its properties or which may be produced </w:t>
      </w:r>
      <w:proofErr w:type="gramStart"/>
      <w:r w:rsidR="000853B1" w:rsidRPr="003F695D">
        <w:rPr>
          <w:bCs/>
          <w:szCs w:val="22"/>
        </w:rPr>
        <w:t>as a result</w:t>
      </w:r>
      <w:r w:rsidR="00EE6532">
        <w:rPr>
          <w:bCs/>
          <w:szCs w:val="22"/>
        </w:rPr>
        <w:t xml:space="preserve"> of</w:t>
      </w:r>
      <w:proofErr w:type="gramEnd"/>
      <w:r w:rsidR="000853B1" w:rsidRPr="003F695D">
        <w:rPr>
          <w:bCs/>
          <w:szCs w:val="22"/>
        </w:rPr>
        <w:t xml:space="preserve"> its operations.  It is likely that environmental legislation and permitting will evolve in a manner which will require stricter standards and enforcement.  This may include increased fines and penalties for non-compliance, more stringent environmental assessments of proposed projects an</w:t>
      </w:r>
      <w:r w:rsidR="00EE6532">
        <w:rPr>
          <w:bCs/>
          <w:szCs w:val="22"/>
        </w:rPr>
        <w:t>d</w:t>
      </w:r>
      <w:r w:rsidR="000853B1" w:rsidRPr="003F695D">
        <w:rPr>
          <w:bCs/>
          <w:szCs w:val="22"/>
        </w:rPr>
        <w:t xml:space="preserve"> a</w:t>
      </w:r>
      <w:r w:rsidR="00EE6532">
        <w:rPr>
          <w:bCs/>
          <w:szCs w:val="22"/>
        </w:rPr>
        <w:t xml:space="preserve"> </w:t>
      </w:r>
      <w:r w:rsidR="000853B1" w:rsidRPr="003F695D">
        <w:rPr>
          <w:bCs/>
          <w:szCs w:val="22"/>
        </w:rPr>
        <w:t xml:space="preserve">higher degree of responsibility for companies, their </w:t>
      </w:r>
      <w:proofErr w:type="gramStart"/>
      <w:r w:rsidR="000853B1" w:rsidRPr="003F695D">
        <w:rPr>
          <w:bCs/>
          <w:szCs w:val="22"/>
        </w:rPr>
        <w:t>directors</w:t>
      </w:r>
      <w:proofErr w:type="gramEnd"/>
      <w:r w:rsidR="000853B1" w:rsidRPr="003F695D">
        <w:rPr>
          <w:bCs/>
          <w:szCs w:val="22"/>
        </w:rPr>
        <w:t xml:space="preserve"> and employees.</w:t>
      </w:r>
    </w:p>
    <w:p w14:paraId="50A7E365" w14:textId="77777777" w:rsidR="00211511" w:rsidRDefault="00211511" w:rsidP="000853B1">
      <w:pPr>
        <w:jc w:val="both"/>
        <w:rPr>
          <w:bCs/>
          <w:sz w:val="16"/>
          <w:szCs w:val="16"/>
        </w:rPr>
      </w:pPr>
    </w:p>
    <w:p w14:paraId="3F5E171B" w14:textId="196A79C1" w:rsidR="00CC56E5" w:rsidRDefault="000853B1" w:rsidP="0078031B">
      <w:pPr>
        <w:jc w:val="both"/>
        <w:rPr>
          <w:bCs/>
        </w:rPr>
      </w:pPr>
      <w:r w:rsidRPr="003F695D">
        <w:rPr>
          <w:bCs/>
          <w:szCs w:val="22"/>
        </w:rPr>
        <w:t>The Company has not determined and is not aware whether any provision for such costs is required and is unable to determine the impact on its financial position, if any, of environmental laws and regulations that may be enacted in the future due to the uncertainty surrounding the form that these laws and regulations may take.</w:t>
      </w:r>
      <w:r w:rsidRPr="00B627C6">
        <w:rPr>
          <w:bCs/>
        </w:rPr>
        <w:t xml:space="preserve"> </w:t>
      </w:r>
    </w:p>
    <w:p w14:paraId="17A92E25" w14:textId="77777777" w:rsidR="00EA3641" w:rsidRDefault="00EA3641" w:rsidP="0078031B">
      <w:pPr>
        <w:jc w:val="both"/>
        <w:rPr>
          <w:bCs/>
        </w:rPr>
      </w:pPr>
    </w:p>
    <w:p w14:paraId="505BF1EB" w14:textId="77777777" w:rsidR="0078031B" w:rsidRPr="00C700E9" w:rsidRDefault="0004094C" w:rsidP="004532F8">
      <w:pPr>
        <w:pStyle w:val="Heading3"/>
        <w:pBdr>
          <w:top w:val="single" w:sz="4" w:space="1" w:color="auto"/>
          <w:bottom w:val="single" w:sz="4" w:space="0" w:color="auto"/>
        </w:pBdr>
        <w:rPr>
          <w:b/>
          <w:u w:val="none"/>
        </w:rPr>
      </w:pPr>
      <w:bookmarkStart w:id="29" w:name="_Toc34057629"/>
      <w:bookmarkStart w:id="30" w:name="_Toc379536677"/>
      <w:r>
        <w:rPr>
          <w:b/>
          <w:u w:val="none"/>
        </w:rPr>
        <w:t>EVENTS AFTER THE REPORTING PERIO</w:t>
      </w:r>
      <w:r w:rsidR="00C700E9">
        <w:rPr>
          <w:b/>
          <w:u w:val="none"/>
        </w:rPr>
        <w:t>D</w:t>
      </w:r>
      <w:bookmarkEnd w:id="29"/>
    </w:p>
    <w:p w14:paraId="1D151428" w14:textId="0328B165" w:rsidR="00E44B5F" w:rsidRDefault="00E44B5F" w:rsidP="004532F8">
      <w:pPr>
        <w:rPr>
          <w:bCs/>
          <w:szCs w:val="22"/>
          <w:lang w:eastAsia="en-US"/>
        </w:rPr>
      </w:pPr>
    </w:p>
    <w:p w14:paraId="4CB308AA" w14:textId="77777777" w:rsidR="000E7369" w:rsidRDefault="000E7369" w:rsidP="004532F8">
      <w:pPr>
        <w:rPr>
          <w:bCs/>
          <w:szCs w:val="22"/>
          <w:lang w:eastAsia="en-US"/>
        </w:rPr>
      </w:pPr>
    </w:p>
    <w:p w14:paraId="0B603C33" w14:textId="77777777" w:rsidR="000E7369" w:rsidRPr="000E7369" w:rsidRDefault="000E7369" w:rsidP="000E7369">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r w:rsidRPr="000E7369">
        <w:rPr>
          <w:szCs w:val="22"/>
          <w:lang w:eastAsia="en-US"/>
        </w:rPr>
        <w:t>On January 23, 2020, the Company announced a private placement of up to $1,000,000.  The financing will consist of two parts:</w:t>
      </w:r>
    </w:p>
    <w:p w14:paraId="05F22D39" w14:textId="77777777" w:rsidR="000E7369" w:rsidRPr="000E7369" w:rsidRDefault="000E7369" w:rsidP="000E7369">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p>
    <w:p w14:paraId="36BD9C21" w14:textId="77777777" w:rsidR="000E7369" w:rsidRPr="000E7369" w:rsidRDefault="000E7369" w:rsidP="000E7369">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r w:rsidRPr="000E7369">
        <w:rPr>
          <w:szCs w:val="22"/>
          <w:lang w:eastAsia="en-US"/>
        </w:rPr>
        <w:t xml:space="preserve">(1)  up to $500,000 of Units consisting of one common share of the Company and one-half of one common share purchase warrant. Each whole warrant will entitle the holder to acquire one common share at a price of $0.10 for a period of two years following the date of the financing.  </w:t>
      </w:r>
    </w:p>
    <w:p w14:paraId="231B6F36" w14:textId="77777777" w:rsidR="000E7369" w:rsidRPr="000E7369" w:rsidRDefault="000E7369" w:rsidP="000E7369">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p>
    <w:p w14:paraId="6E86408F" w14:textId="77777777" w:rsidR="000E7369" w:rsidRDefault="000E7369" w:rsidP="000E7369">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r w:rsidRPr="000E7369">
        <w:rPr>
          <w:szCs w:val="22"/>
          <w:lang w:eastAsia="en-US"/>
        </w:rPr>
        <w:t>(2) up to $500,000 of 8% convertible unsecured debentures with a term of three years from the date of issuance, convertible into common shares of the Company at a price of $0.10 per common share.</w:t>
      </w:r>
    </w:p>
    <w:p w14:paraId="2F6794E7" w14:textId="77777777" w:rsidR="00187BA2" w:rsidRDefault="00187BA2" w:rsidP="000E7369">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p>
    <w:p w14:paraId="3D2989A9" w14:textId="1A09F4E1" w:rsidR="00537B93" w:rsidRPr="00537B93" w:rsidRDefault="00537B93" w:rsidP="00537B93">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r w:rsidRPr="00537B93">
        <w:rPr>
          <w:szCs w:val="22"/>
          <w:lang w:eastAsia="en-US"/>
        </w:rPr>
        <w:t xml:space="preserve">On July 31, 2020, the Company announced that it has expanded the Unit portion of the financing to up to $1,200,000 and has cancelled the Convertible Debenture offering altogether.  No Convertible </w:t>
      </w:r>
      <w:proofErr w:type="spellStart"/>
      <w:r w:rsidRPr="00537B93">
        <w:rPr>
          <w:szCs w:val="22"/>
          <w:lang w:eastAsia="en-US"/>
        </w:rPr>
        <w:t>Debentures</w:t>
      </w:r>
      <w:r>
        <w:rPr>
          <w:szCs w:val="22"/>
          <w:lang w:eastAsia="en-US"/>
        </w:rPr>
        <w:t>.w</w:t>
      </w:r>
      <w:r w:rsidRPr="00537B93">
        <w:rPr>
          <w:szCs w:val="22"/>
          <w:lang w:eastAsia="en-US"/>
        </w:rPr>
        <w:t>ere</w:t>
      </w:r>
      <w:proofErr w:type="spellEnd"/>
      <w:r w:rsidRPr="00537B93">
        <w:rPr>
          <w:szCs w:val="22"/>
          <w:lang w:eastAsia="en-US"/>
        </w:rPr>
        <w:t xml:space="preserve"> issued under the Debenture offering.</w:t>
      </w:r>
    </w:p>
    <w:p w14:paraId="7D92F84D" w14:textId="77777777" w:rsidR="00537B93" w:rsidRPr="00537B93" w:rsidRDefault="00537B93" w:rsidP="00537B93">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p>
    <w:p w14:paraId="36168B34" w14:textId="416AC872" w:rsidR="00537B93" w:rsidRPr="00537B93" w:rsidRDefault="00537B93" w:rsidP="00537B93">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r w:rsidRPr="00537B93">
        <w:rPr>
          <w:szCs w:val="22"/>
          <w:lang w:eastAsia="en-US"/>
        </w:rPr>
        <w:t xml:space="preserve">On </w:t>
      </w:r>
      <w:proofErr w:type="gramStart"/>
      <w:r w:rsidRPr="00537B93">
        <w:rPr>
          <w:szCs w:val="22"/>
          <w:lang w:eastAsia="en-US"/>
        </w:rPr>
        <w:t>July</w:t>
      </w:r>
      <w:r>
        <w:rPr>
          <w:szCs w:val="22"/>
          <w:lang w:eastAsia="en-US"/>
        </w:rPr>
        <w:t xml:space="preserve"> 24, </w:t>
      </w:r>
      <w:r w:rsidRPr="00537B93">
        <w:rPr>
          <w:szCs w:val="22"/>
          <w:lang w:eastAsia="en-US"/>
        </w:rPr>
        <w:t>2020</w:t>
      </w:r>
      <w:proofErr w:type="gramEnd"/>
      <w:r w:rsidRPr="00537B93">
        <w:rPr>
          <w:szCs w:val="22"/>
          <w:lang w:eastAsia="en-US"/>
        </w:rPr>
        <w:t xml:space="preserve"> the Company announced its intention to form a Limited Partnership (LP), expected to be named Green River Gold Trading Limited Partnership.  The purpose of the LP will be to acquire raw gold from placer miners and sell such raw gold to refineries and other customers at such times, in such amounts and on such terms as are deemed acceptable by the LP.  It is anticipated that the Company will function as the General Partner of the LP.  In exchange for its management of the LP’s business and affairs, the Company is expected to receive a monthly fee of $5,000 per month in addition to payment of 1% of the gross revenues of the LP.  The Company will also have the opportunity on an ad hoc basis, to provide backstop financing for gold purchases made by the Partnership.  Due diligence continues with the transaction expected to close by September 30, 2020.</w:t>
      </w:r>
    </w:p>
    <w:p w14:paraId="19E71712" w14:textId="77777777" w:rsidR="00537B93" w:rsidRPr="00537B93" w:rsidRDefault="00537B93" w:rsidP="00537B93">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p>
    <w:p w14:paraId="516CC476" w14:textId="77777777" w:rsidR="00537B93" w:rsidRPr="00537B93" w:rsidRDefault="00537B93" w:rsidP="00537B93">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r w:rsidRPr="00537B93">
        <w:rPr>
          <w:szCs w:val="22"/>
          <w:lang w:eastAsia="en-US"/>
        </w:rPr>
        <w:t xml:space="preserve">On August 27, 2020, the Company announced that it has purchased an additional 177.97 hectares of placer rights along the Swift River.  The property was acquired for $25,400 in cash.  The property is contiguous to the Company’s </w:t>
      </w:r>
      <w:proofErr w:type="gramStart"/>
      <w:r w:rsidRPr="00537B93">
        <w:rPr>
          <w:szCs w:val="22"/>
          <w:lang w:eastAsia="en-US"/>
        </w:rPr>
        <w:t>73.96 hectare</w:t>
      </w:r>
      <w:proofErr w:type="gramEnd"/>
      <w:r w:rsidRPr="00537B93">
        <w:rPr>
          <w:szCs w:val="22"/>
          <w:lang w:eastAsia="en-US"/>
        </w:rPr>
        <w:t xml:space="preserve"> property on the Swift River. The newly acquired property has an active mining permit.</w:t>
      </w:r>
    </w:p>
    <w:p w14:paraId="54B9C22D" w14:textId="77777777" w:rsidR="00537B93" w:rsidRPr="00537B93" w:rsidRDefault="00537B93" w:rsidP="00537B93">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p>
    <w:p w14:paraId="755B13FB" w14:textId="77777777" w:rsidR="00537B93" w:rsidRPr="00537B93" w:rsidRDefault="00537B93" w:rsidP="00537B93">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lang w:eastAsia="en-US"/>
        </w:rPr>
      </w:pPr>
      <w:r w:rsidRPr="00537B93">
        <w:rPr>
          <w:szCs w:val="22"/>
          <w:lang w:eastAsia="en-US"/>
        </w:rPr>
        <w:t>On August 27, 2020, the Company announced that it has moved to a new larger facility located in the North end of Quesnel, B.C. Full details are in the press release dated August 27, 2020.</w:t>
      </w:r>
    </w:p>
    <w:p w14:paraId="1759F9AE" w14:textId="00F272C9" w:rsidR="00646908" w:rsidRPr="00646908" w:rsidRDefault="00646908" w:rsidP="00646908">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Cs w:val="22"/>
          <w:lang w:eastAsia="en-US"/>
        </w:rPr>
      </w:pPr>
    </w:p>
    <w:p w14:paraId="71CC4D24" w14:textId="77777777" w:rsidR="00646908" w:rsidRPr="00646908" w:rsidRDefault="00646908" w:rsidP="00646908">
      <w:pPr>
        <w:tabs>
          <w:tab w:val="left" w:pos="567"/>
        </w:tabs>
        <w:jc w:val="both"/>
        <w:rPr>
          <w:szCs w:val="22"/>
          <w:lang w:val="en-US" w:eastAsia="en-US"/>
        </w:rPr>
      </w:pPr>
    </w:p>
    <w:p w14:paraId="6375EC47" w14:textId="702A403D" w:rsidR="00646908" w:rsidRPr="00881401" w:rsidRDefault="00646908" w:rsidP="00881401">
      <w:pPr>
        <w:tabs>
          <w:tab w:val="left" w:pos="567"/>
        </w:tabs>
        <w:jc w:val="both"/>
        <w:rPr>
          <w:szCs w:val="22"/>
          <w:lang w:val="en-US" w:eastAsia="en-US"/>
        </w:rPr>
      </w:pPr>
    </w:p>
    <w:p w14:paraId="2D8BC54E" w14:textId="77777777" w:rsidR="00646908" w:rsidRPr="00E44B5F" w:rsidRDefault="00646908" w:rsidP="000E7369">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Cs w:val="22"/>
          <w:lang w:eastAsia="en-US"/>
        </w:rPr>
      </w:pPr>
    </w:p>
    <w:p w14:paraId="23314BD1" w14:textId="77777777" w:rsidR="00CB7428" w:rsidRPr="00CB7428" w:rsidRDefault="00CB7428" w:rsidP="00CB7428">
      <w:pPr>
        <w:tabs>
          <w:tab w:val="left" w:pos="567"/>
        </w:tabs>
        <w:jc w:val="both"/>
        <w:rPr>
          <w:szCs w:val="22"/>
          <w:lang w:val="en-US" w:eastAsia="en-US"/>
        </w:rPr>
      </w:pPr>
    </w:p>
    <w:p w14:paraId="35365CD4" w14:textId="77777777" w:rsidR="00345C2B" w:rsidRPr="00C83279" w:rsidRDefault="00AA6549" w:rsidP="00C83279">
      <w:pPr>
        <w:pStyle w:val="Heading3"/>
        <w:pBdr>
          <w:top w:val="single" w:sz="4" w:space="1" w:color="auto"/>
          <w:bottom w:val="single" w:sz="4" w:space="1" w:color="auto"/>
        </w:pBdr>
        <w:rPr>
          <w:b/>
          <w:u w:val="none"/>
        </w:rPr>
      </w:pPr>
      <w:bookmarkStart w:id="31" w:name="_Toc34057630"/>
      <w:bookmarkStart w:id="32" w:name="_Hlk503945437"/>
      <w:bookmarkEnd w:id="30"/>
      <w:r>
        <w:rPr>
          <w:b/>
          <w:u w:val="none"/>
        </w:rPr>
        <w:t>C</w:t>
      </w:r>
      <w:r w:rsidR="008B4DC7">
        <w:rPr>
          <w:b/>
          <w:u w:val="none"/>
        </w:rPr>
        <w:t>HANGES IN ACCOUNTING STANDARDS</w:t>
      </w:r>
      <w:bookmarkEnd w:id="31"/>
      <w:r w:rsidR="008B4DC7">
        <w:rPr>
          <w:b/>
          <w:u w:val="none"/>
        </w:rPr>
        <w:t xml:space="preserve"> </w:t>
      </w:r>
      <w:bookmarkEnd w:id="32"/>
    </w:p>
    <w:p w14:paraId="01940AEF" w14:textId="77777777" w:rsidR="00345C2B" w:rsidRPr="00345C2B" w:rsidRDefault="00345C2B" w:rsidP="00345C2B">
      <w:pPr>
        <w:jc w:val="both"/>
        <w:rPr>
          <w:bCs/>
          <w:szCs w:val="22"/>
        </w:rPr>
      </w:pPr>
    </w:p>
    <w:p w14:paraId="2774251A" w14:textId="77777777" w:rsidR="00345C2B" w:rsidRPr="00345C2B" w:rsidRDefault="00345C2B" w:rsidP="00345C2B">
      <w:pPr>
        <w:jc w:val="both"/>
        <w:rPr>
          <w:bCs/>
          <w:szCs w:val="22"/>
        </w:rPr>
      </w:pPr>
      <w:r w:rsidRPr="00345C2B">
        <w:rPr>
          <w:bCs/>
          <w:szCs w:val="22"/>
        </w:rPr>
        <w:t>IFRS 9 – Financial Instruments</w:t>
      </w:r>
    </w:p>
    <w:p w14:paraId="2DC02BB7" w14:textId="77777777" w:rsidR="00345C2B" w:rsidRPr="00345C2B" w:rsidRDefault="00345C2B" w:rsidP="00345C2B">
      <w:pPr>
        <w:jc w:val="both"/>
        <w:rPr>
          <w:bCs/>
          <w:szCs w:val="22"/>
        </w:rPr>
      </w:pPr>
    </w:p>
    <w:p w14:paraId="4059E595" w14:textId="77777777" w:rsidR="00345C2B" w:rsidRPr="00345C2B" w:rsidRDefault="00345C2B" w:rsidP="00345C2B">
      <w:pPr>
        <w:jc w:val="both"/>
        <w:rPr>
          <w:bCs/>
          <w:szCs w:val="22"/>
        </w:rPr>
      </w:pPr>
      <w:r w:rsidRPr="00345C2B">
        <w:rPr>
          <w:bCs/>
          <w:szCs w:val="22"/>
        </w:rPr>
        <w:t>For the year ended September 30, 2019, the Company adopted IFRS 9 Financial Instruments which replaced IAS 39 – Financial Instruments Recognition and Management. There were no retrospective adjustments necessary.  IFRS 9 includes requirements for recognition and measurement, impairment, derecognition and general hedge accounting.</w:t>
      </w:r>
      <w:bookmarkStart w:id="33" w:name="_Hlk30497459"/>
    </w:p>
    <w:bookmarkEnd w:id="33"/>
    <w:p w14:paraId="53C95C02" w14:textId="77777777" w:rsidR="00345C2B" w:rsidRPr="00345C2B" w:rsidRDefault="00345C2B" w:rsidP="00345C2B">
      <w:pPr>
        <w:jc w:val="both"/>
        <w:rPr>
          <w:bCs/>
          <w:szCs w:val="22"/>
        </w:rPr>
      </w:pPr>
    </w:p>
    <w:p w14:paraId="6EDB96D5" w14:textId="77777777" w:rsidR="00345C2B" w:rsidRPr="00345C2B" w:rsidRDefault="00345C2B" w:rsidP="00345C2B">
      <w:pPr>
        <w:jc w:val="both"/>
        <w:rPr>
          <w:bCs/>
          <w:szCs w:val="22"/>
        </w:rPr>
      </w:pPr>
      <w:r w:rsidRPr="00345C2B">
        <w:rPr>
          <w:bCs/>
          <w:szCs w:val="22"/>
        </w:rPr>
        <w:t>The following table summarizes the changes in the classification of the Company’s financial instruments upon adoption of IFRS 9.  The adoption of the new classification did not result in any changes in the measurement or carrying amount of the financial instruments.</w:t>
      </w:r>
    </w:p>
    <w:p w14:paraId="79366EF9" w14:textId="77777777" w:rsidR="00345C2B" w:rsidRPr="00345C2B" w:rsidRDefault="00345C2B" w:rsidP="00345C2B">
      <w:pPr>
        <w:jc w:val="both"/>
        <w:rPr>
          <w:bCs/>
          <w:szCs w:val="22"/>
        </w:rPr>
      </w:pPr>
      <w:r w:rsidRPr="00345C2B">
        <w:rPr>
          <w:bCs/>
          <w:szCs w:val="22"/>
        </w:rPr>
        <w:t>______________________________________________________________________________</w:t>
      </w:r>
    </w:p>
    <w:p w14:paraId="384C4191" w14:textId="77777777" w:rsidR="00345C2B" w:rsidRPr="00345C2B" w:rsidRDefault="00345C2B" w:rsidP="00345C2B">
      <w:pPr>
        <w:jc w:val="both"/>
        <w:rPr>
          <w:b/>
          <w:szCs w:val="22"/>
        </w:rPr>
      </w:pPr>
      <w:r w:rsidRPr="00345C2B">
        <w:rPr>
          <w:b/>
          <w:szCs w:val="22"/>
        </w:rPr>
        <w:t xml:space="preserve">Financial Instrument                          Classification under                         Classification under                             </w:t>
      </w:r>
    </w:p>
    <w:p w14:paraId="607C1BEF" w14:textId="77777777" w:rsidR="00345C2B" w:rsidRPr="00345C2B" w:rsidRDefault="00345C2B" w:rsidP="00345C2B">
      <w:pPr>
        <w:jc w:val="both"/>
        <w:rPr>
          <w:b/>
          <w:szCs w:val="22"/>
          <w:u w:val="single"/>
        </w:rPr>
      </w:pPr>
      <w:r w:rsidRPr="00345C2B">
        <w:rPr>
          <w:b/>
          <w:szCs w:val="22"/>
          <w:u w:val="single"/>
        </w:rPr>
        <w:t xml:space="preserve">                                                               IAS 39                                                IFRS 9___________</w:t>
      </w:r>
    </w:p>
    <w:p w14:paraId="14488BE0" w14:textId="77777777" w:rsidR="00345C2B" w:rsidRPr="00345C2B" w:rsidRDefault="00345C2B" w:rsidP="00345C2B">
      <w:pPr>
        <w:jc w:val="both"/>
        <w:rPr>
          <w:bCs/>
          <w:szCs w:val="22"/>
        </w:rPr>
      </w:pPr>
    </w:p>
    <w:p w14:paraId="3E2AC101" w14:textId="77777777" w:rsidR="00345C2B" w:rsidRPr="00345C2B" w:rsidRDefault="00345C2B" w:rsidP="00345C2B">
      <w:pPr>
        <w:jc w:val="both"/>
        <w:rPr>
          <w:bCs/>
          <w:szCs w:val="22"/>
        </w:rPr>
      </w:pPr>
      <w:r w:rsidRPr="00345C2B">
        <w:rPr>
          <w:bCs/>
          <w:szCs w:val="22"/>
        </w:rPr>
        <w:t xml:space="preserve">Cash                                                       Loans and receivables                        </w:t>
      </w:r>
      <w:bookmarkStart w:id="34" w:name="_Hlk30484180"/>
      <w:r w:rsidRPr="00345C2B">
        <w:rPr>
          <w:bCs/>
          <w:szCs w:val="22"/>
        </w:rPr>
        <w:t>Amortized cost</w:t>
      </w:r>
      <w:bookmarkEnd w:id="34"/>
    </w:p>
    <w:p w14:paraId="093B18C9" w14:textId="77777777" w:rsidR="00345C2B" w:rsidRPr="00345C2B" w:rsidRDefault="00345C2B" w:rsidP="00345C2B">
      <w:pPr>
        <w:tabs>
          <w:tab w:val="left" w:pos="7140"/>
        </w:tabs>
        <w:jc w:val="both"/>
        <w:rPr>
          <w:bCs/>
          <w:szCs w:val="22"/>
        </w:rPr>
      </w:pPr>
      <w:r w:rsidRPr="00345C2B">
        <w:rPr>
          <w:bCs/>
          <w:szCs w:val="22"/>
        </w:rPr>
        <w:t>Trade and other receivables                   Loans and receivables                        Amortized cost</w:t>
      </w:r>
    </w:p>
    <w:p w14:paraId="3B328D31" w14:textId="77777777" w:rsidR="00345C2B" w:rsidRPr="00345C2B" w:rsidRDefault="00345C2B" w:rsidP="00345C2B">
      <w:pPr>
        <w:jc w:val="both"/>
        <w:rPr>
          <w:bCs/>
          <w:szCs w:val="22"/>
        </w:rPr>
      </w:pPr>
      <w:r w:rsidRPr="00345C2B">
        <w:rPr>
          <w:bCs/>
          <w:szCs w:val="22"/>
        </w:rPr>
        <w:t>Trade and other payables                       Other liabilities                                  Amortized cost</w:t>
      </w:r>
    </w:p>
    <w:p w14:paraId="1D5F7728" w14:textId="77777777" w:rsidR="00345C2B" w:rsidRPr="00345C2B" w:rsidRDefault="00345C2B" w:rsidP="00345C2B">
      <w:pPr>
        <w:jc w:val="both"/>
        <w:rPr>
          <w:bCs/>
          <w:szCs w:val="22"/>
        </w:rPr>
      </w:pPr>
      <w:r w:rsidRPr="00345C2B">
        <w:rPr>
          <w:bCs/>
          <w:szCs w:val="22"/>
        </w:rPr>
        <w:t>Loans payable                                        Other liabilities                                  Amortized cost</w:t>
      </w:r>
    </w:p>
    <w:p w14:paraId="726AF1A6" w14:textId="77777777" w:rsidR="00345C2B" w:rsidRPr="00345C2B" w:rsidRDefault="00345C2B" w:rsidP="00345C2B">
      <w:pPr>
        <w:tabs>
          <w:tab w:val="left" w:pos="6750"/>
        </w:tabs>
        <w:jc w:val="both"/>
        <w:rPr>
          <w:bCs/>
          <w:szCs w:val="22"/>
        </w:rPr>
      </w:pPr>
      <w:r w:rsidRPr="00345C2B">
        <w:rPr>
          <w:bCs/>
          <w:szCs w:val="22"/>
        </w:rPr>
        <w:t>Loans payable to related parties            Other liabilities</w:t>
      </w:r>
      <w:r w:rsidRPr="00345C2B">
        <w:rPr>
          <w:bCs/>
          <w:szCs w:val="22"/>
        </w:rPr>
        <w:tab/>
        <w:t>Amortized cost</w:t>
      </w:r>
    </w:p>
    <w:p w14:paraId="0BC56F62" w14:textId="77777777" w:rsidR="00345C2B" w:rsidRPr="00345C2B" w:rsidRDefault="00345C2B" w:rsidP="00345C2B">
      <w:pPr>
        <w:tabs>
          <w:tab w:val="left" w:pos="7215"/>
        </w:tabs>
        <w:jc w:val="both"/>
        <w:rPr>
          <w:bCs/>
          <w:szCs w:val="22"/>
        </w:rPr>
      </w:pPr>
      <w:r w:rsidRPr="00345C2B">
        <w:rPr>
          <w:bCs/>
          <w:szCs w:val="22"/>
        </w:rPr>
        <w:t>Long term debt                                       Other liabilities                                  Amortized cost</w:t>
      </w:r>
    </w:p>
    <w:p w14:paraId="304EC2AB" w14:textId="77777777" w:rsidR="00345C2B" w:rsidRPr="00345C2B" w:rsidRDefault="00345C2B" w:rsidP="00345C2B">
      <w:pPr>
        <w:tabs>
          <w:tab w:val="left" w:pos="7215"/>
        </w:tabs>
        <w:jc w:val="both"/>
        <w:rPr>
          <w:bCs/>
          <w:szCs w:val="22"/>
          <w:u w:val="single"/>
        </w:rPr>
      </w:pPr>
      <w:r w:rsidRPr="00345C2B">
        <w:rPr>
          <w:bCs/>
          <w:szCs w:val="22"/>
          <w:u w:val="single"/>
        </w:rPr>
        <w:t>Convertible debentures                          Other liabilities                                  Amortized cost_____</w:t>
      </w:r>
    </w:p>
    <w:p w14:paraId="588ED936" w14:textId="09636911" w:rsidR="00345C2B" w:rsidRDefault="00345C2B" w:rsidP="00345C2B">
      <w:pPr>
        <w:jc w:val="both"/>
        <w:rPr>
          <w:bCs/>
          <w:szCs w:val="22"/>
        </w:rPr>
      </w:pPr>
    </w:p>
    <w:p w14:paraId="237FC4BC" w14:textId="77777777" w:rsidR="00881401" w:rsidRDefault="00881401" w:rsidP="00345C2B">
      <w:pPr>
        <w:jc w:val="both"/>
        <w:rPr>
          <w:bCs/>
          <w:szCs w:val="22"/>
        </w:rPr>
      </w:pPr>
    </w:p>
    <w:p w14:paraId="7A89B46F" w14:textId="77777777" w:rsidR="00881401" w:rsidRDefault="00881401" w:rsidP="00345C2B">
      <w:pPr>
        <w:jc w:val="both"/>
        <w:rPr>
          <w:bCs/>
          <w:szCs w:val="22"/>
        </w:rPr>
      </w:pPr>
    </w:p>
    <w:p w14:paraId="7B2FC434" w14:textId="77AB1D23" w:rsidR="00345C2B" w:rsidRPr="00345C2B" w:rsidRDefault="00345C2B" w:rsidP="00345C2B">
      <w:pPr>
        <w:jc w:val="both"/>
        <w:rPr>
          <w:bCs/>
          <w:szCs w:val="22"/>
        </w:rPr>
      </w:pPr>
      <w:r w:rsidRPr="00345C2B">
        <w:rPr>
          <w:bCs/>
          <w:szCs w:val="22"/>
        </w:rPr>
        <w:t>IFRS 15 - Contracts from Customers</w:t>
      </w:r>
    </w:p>
    <w:p w14:paraId="72870C0E" w14:textId="77777777" w:rsidR="00345C2B" w:rsidRPr="00345C2B" w:rsidRDefault="00345C2B" w:rsidP="00345C2B">
      <w:pPr>
        <w:jc w:val="both"/>
        <w:rPr>
          <w:bCs/>
          <w:szCs w:val="22"/>
        </w:rPr>
      </w:pPr>
    </w:p>
    <w:p w14:paraId="41E65704" w14:textId="77777777" w:rsidR="00345C2B" w:rsidRPr="00345C2B" w:rsidRDefault="00345C2B" w:rsidP="00345C2B">
      <w:pPr>
        <w:jc w:val="both"/>
        <w:rPr>
          <w:bCs/>
          <w:szCs w:val="22"/>
        </w:rPr>
      </w:pPr>
      <w:r w:rsidRPr="00345C2B">
        <w:rPr>
          <w:bCs/>
          <w:szCs w:val="22"/>
        </w:rPr>
        <w:t>For the year ended September 30, 2019, the Company adopted IFRS 15. The new standard had no effect on the financial statements. IFRS 15 provides a comprehensive five-step recognition model for all contracts with customers</w:t>
      </w:r>
      <w:r>
        <w:rPr>
          <w:bCs/>
          <w:szCs w:val="22"/>
        </w:rPr>
        <w:t>.</w:t>
      </w:r>
      <w:r w:rsidRPr="00345C2B">
        <w:rPr>
          <w:bCs/>
          <w:szCs w:val="22"/>
        </w:rPr>
        <w:t xml:space="preserve">   </w:t>
      </w:r>
    </w:p>
    <w:p w14:paraId="3CA51DE1" w14:textId="77777777" w:rsidR="00345C2B" w:rsidRPr="00345C2B" w:rsidRDefault="00345C2B" w:rsidP="00345C2B">
      <w:pPr>
        <w:jc w:val="both"/>
        <w:rPr>
          <w:bCs/>
          <w:szCs w:val="22"/>
        </w:rPr>
      </w:pPr>
    </w:p>
    <w:p w14:paraId="25780A05" w14:textId="77777777" w:rsidR="00345C2B" w:rsidRPr="00345C2B" w:rsidRDefault="00345C2B" w:rsidP="00345C2B">
      <w:pPr>
        <w:jc w:val="both"/>
        <w:rPr>
          <w:bCs/>
          <w:szCs w:val="22"/>
        </w:rPr>
      </w:pPr>
      <w:r w:rsidRPr="00345C2B">
        <w:rPr>
          <w:bCs/>
          <w:szCs w:val="22"/>
        </w:rPr>
        <w:t>IFRS 16 – Leases</w:t>
      </w:r>
    </w:p>
    <w:p w14:paraId="09252E06" w14:textId="77777777" w:rsidR="00345C2B" w:rsidRPr="00345C2B" w:rsidRDefault="00345C2B" w:rsidP="00345C2B">
      <w:pPr>
        <w:jc w:val="both"/>
        <w:rPr>
          <w:bCs/>
          <w:szCs w:val="22"/>
        </w:rPr>
      </w:pPr>
    </w:p>
    <w:p w14:paraId="7263453D" w14:textId="77777777" w:rsidR="00C83279" w:rsidRDefault="00345C2B" w:rsidP="00345C2B">
      <w:pPr>
        <w:jc w:val="both"/>
        <w:rPr>
          <w:bCs/>
          <w:szCs w:val="22"/>
        </w:rPr>
      </w:pPr>
      <w:r w:rsidRPr="00345C2B">
        <w:rPr>
          <w:bCs/>
          <w:szCs w:val="22"/>
        </w:rPr>
        <w:t xml:space="preserve">In January 2016, the IASB issued a new standard on leases, IFRS 16 – Leases will require lessees to recognize assets and liabilities for most leases under a single accounting model for which all leases will be accounted for, with certain exemptions.  For lessors, IFRS 16 is expected to have little change from existing accounting standards (IAS 17- Leases).  IFRS 16 will be effective for annual periods beginning on or after January 1, 2019. </w:t>
      </w:r>
    </w:p>
    <w:p w14:paraId="656423AD" w14:textId="77777777" w:rsidR="00345C2B" w:rsidRDefault="00345C2B" w:rsidP="00345C2B">
      <w:pPr>
        <w:jc w:val="both"/>
        <w:rPr>
          <w:bCs/>
          <w:szCs w:val="22"/>
        </w:rPr>
      </w:pPr>
      <w:r w:rsidRPr="00345C2B">
        <w:rPr>
          <w:bCs/>
          <w:szCs w:val="22"/>
        </w:rPr>
        <w:t xml:space="preserve"> Early adoption is </w:t>
      </w:r>
      <w:r w:rsidR="00C83279">
        <w:rPr>
          <w:bCs/>
          <w:szCs w:val="22"/>
        </w:rPr>
        <w:t>pe</w:t>
      </w:r>
      <w:r w:rsidRPr="00345C2B">
        <w:rPr>
          <w:bCs/>
          <w:szCs w:val="22"/>
        </w:rPr>
        <w:t>rmitted provided the new revenue standard, IFRS 15, has been applied at the same date as IFRS 16.  The Company is in the process of evaluating the impact of the new standard.</w:t>
      </w:r>
    </w:p>
    <w:p w14:paraId="65645D91" w14:textId="77777777" w:rsidR="00345C2B" w:rsidRDefault="00345C2B" w:rsidP="00B27070">
      <w:pPr>
        <w:jc w:val="both"/>
        <w:rPr>
          <w:b/>
        </w:rPr>
      </w:pPr>
    </w:p>
    <w:p w14:paraId="56666874" w14:textId="77777777" w:rsidR="00CC56E5" w:rsidRPr="00CC56E5" w:rsidRDefault="001B6F8C" w:rsidP="00CC56E5">
      <w:pPr>
        <w:pStyle w:val="Heading3"/>
        <w:pBdr>
          <w:top w:val="single" w:sz="4" w:space="1" w:color="auto"/>
          <w:bottom w:val="single" w:sz="4" w:space="1" w:color="auto"/>
        </w:pBdr>
        <w:rPr>
          <w:b/>
          <w:u w:val="none"/>
        </w:rPr>
      </w:pPr>
      <w:bookmarkStart w:id="35" w:name="_Toc379536678"/>
      <w:bookmarkStart w:id="36" w:name="_Toc34057631"/>
      <w:r>
        <w:rPr>
          <w:b/>
          <w:u w:val="none"/>
        </w:rPr>
        <w:t>C</w:t>
      </w:r>
      <w:r w:rsidR="00A34515" w:rsidRPr="005942D3">
        <w:rPr>
          <w:b/>
          <w:u w:val="none"/>
        </w:rPr>
        <w:t>RITICAL ACCOUNTING ESTIMATES</w:t>
      </w:r>
      <w:bookmarkEnd w:id="35"/>
      <w:r w:rsidR="009D6547" w:rsidRPr="006C6AB9">
        <w:rPr>
          <w:szCs w:val="22"/>
        </w:rPr>
        <w:t>.</w:t>
      </w:r>
      <w:bookmarkStart w:id="37" w:name="_Hlk29565950"/>
      <w:bookmarkEnd w:id="36"/>
    </w:p>
    <w:bookmarkEnd w:id="37"/>
    <w:p w14:paraId="31C20FBF" w14:textId="77777777" w:rsidR="00CC56E5" w:rsidRPr="00CC56E5" w:rsidRDefault="00CC56E5" w:rsidP="00CC56E5">
      <w:pPr>
        <w:tabs>
          <w:tab w:val="left" w:pos="567"/>
        </w:tabs>
        <w:jc w:val="both"/>
        <w:rPr>
          <w:szCs w:val="22"/>
        </w:rPr>
      </w:pPr>
    </w:p>
    <w:p w14:paraId="7CE2D18C" w14:textId="0A29AC16" w:rsidR="00CC56E5" w:rsidRDefault="00CC56E5" w:rsidP="00CC56E5">
      <w:pPr>
        <w:tabs>
          <w:tab w:val="left" w:pos="567"/>
        </w:tabs>
        <w:jc w:val="both"/>
        <w:rPr>
          <w:szCs w:val="22"/>
        </w:rPr>
      </w:pPr>
      <w:r w:rsidRPr="00CC56E5">
        <w:rPr>
          <w:szCs w:val="22"/>
        </w:rPr>
        <w:t xml:space="preserve">The preparation of financial statements in conformity with IFRS requires management to make estimates and use judgement regarding the reported amounts of assets and liabilities and disclosures of contingent assets and liabilities as at the date of the financial statements and the reported amounts of revenues and expenses during the period.  By </w:t>
      </w:r>
      <w:r w:rsidRPr="00CC56E5">
        <w:rPr>
          <w:szCs w:val="22"/>
        </w:rPr>
        <w:lastRenderedPageBreak/>
        <w:t xml:space="preserve">their nature, estimates are subject to measurement uncertainty.  Accordingly, actual results may differ from the estimated amounts as future confirming events occur.  Significant estimates and judgements made by management in the preparation of the financial statements </w:t>
      </w:r>
      <w:r>
        <w:rPr>
          <w:szCs w:val="22"/>
        </w:rPr>
        <w:t xml:space="preserve">as at </w:t>
      </w:r>
      <w:r w:rsidR="007D29F3">
        <w:rPr>
          <w:szCs w:val="22"/>
        </w:rPr>
        <w:t>December 31</w:t>
      </w:r>
      <w:r>
        <w:rPr>
          <w:szCs w:val="22"/>
        </w:rPr>
        <w:t xml:space="preserve">, 2019 and 2018 </w:t>
      </w:r>
      <w:r w:rsidRPr="00CC56E5">
        <w:rPr>
          <w:szCs w:val="22"/>
        </w:rPr>
        <w:t>are as follows:</w:t>
      </w:r>
    </w:p>
    <w:p w14:paraId="248DECC9" w14:textId="77777777" w:rsidR="00A55201" w:rsidRDefault="00A55201" w:rsidP="00CC56E5">
      <w:pPr>
        <w:tabs>
          <w:tab w:val="left" w:pos="567"/>
        </w:tabs>
        <w:jc w:val="both"/>
        <w:rPr>
          <w:szCs w:val="22"/>
        </w:rPr>
      </w:pPr>
    </w:p>
    <w:p w14:paraId="73C1977C" w14:textId="77777777" w:rsidR="00CC56E5" w:rsidRPr="00CC56E5" w:rsidRDefault="00CC56E5" w:rsidP="00CC56E5">
      <w:pPr>
        <w:tabs>
          <w:tab w:val="left" w:pos="567"/>
        </w:tabs>
        <w:jc w:val="both"/>
        <w:rPr>
          <w:b/>
          <w:bCs/>
          <w:szCs w:val="22"/>
        </w:rPr>
      </w:pPr>
      <w:r w:rsidRPr="00CC56E5">
        <w:rPr>
          <w:b/>
          <w:bCs/>
          <w:szCs w:val="22"/>
        </w:rPr>
        <w:t>Exploration or Development</w:t>
      </w:r>
    </w:p>
    <w:p w14:paraId="64DD604A" w14:textId="77777777" w:rsidR="00CC56E5" w:rsidRPr="00CC56E5" w:rsidRDefault="00CC56E5" w:rsidP="00CC56E5">
      <w:pPr>
        <w:tabs>
          <w:tab w:val="left" w:pos="567"/>
        </w:tabs>
        <w:jc w:val="both"/>
        <w:rPr>
          <w:szCs w:val="22"/>
        </w:rPr>
      </w:pPr>
      <w:r w:rsidRPr="00CC56E5">
        <w:rPr>
          <w:szCs w:val="22"/>
        </w:rPr>
        <w:t>The Company is required to apply judgement when designating a project as exploration or evaluation or development, including assessments of geological and technical characteristics and other factors related to each project.</w:t>
      </w:r>
    </w:p>
    <w:p w14:paraId="1BC3D49F" w14:textId="77777777" w:rsidR="00CC56E5" w:rsidRPr="00CC56E5" w:rsidRDefault="00CC56E5" w:rsidP="00CC56E5">
      <w:pPr>
        <w:tabs>
          <w:tab w:val="left" w:pos="567"/>
        </w:tabs>
        <w:jc w:val="both"/>
        <w:rPr>
          <w:szCs w:val="22"/>
        </w:rPr>
      </w:pPr>
    </w:p>
    <w:p w14:paraId="42C09427" w14:textId="77777777" w:rsidR="00CC56E5" w:rsidRPr="00CC56E5" w:rsidRDefault="00CC56E5" w:rsidP="00CC56E5">
      <w:pPr>
        <w:tabs>
          <w:tab w:val="left" w:pos="567"/>
        </w:tabs>
        <w:jc w:val="both"/>
        <w:rPr>
          <w:b/>
          <w:bCs/>
          <w:szCs w:val="22"/>
        </w:rPr>
      </w:pPr>
      <w:r w:rsidRPr="00CC56E5">
        <w:rPr>
          <w:b/>
          <w:bCs/>
          <w:szCs w:val="22"/>
        </w:rPr>
        <w:t>Exploration and Evaluation Projects</w:t>
      </w:r>
    </w:p>
    <w:p w14:paraId="71008571" w14:textId="77777777" w:rsidR="00CC56E5" w:rsidRPr="00CC56E5" w:rsidRDefault="00CC56E5" w:rsidP="00CC56E5">
      <w:pPr>
        <w:tabs>
          <w:tab w:val="left" w:pos="567"/>
        </w:tabs>
        <w:jc w:val="both"/>
        <w:rPr>
          <w:szCs w:val="22"/>
        </w:rPr>
      </w:pPr>
      <w:r w:rsidRPr="00CC56E5">
        <w:rPr>
          <w:szCs w:val="22"/>
        </w:rPr>
        <w:t>The accounting for E&amp;E projects requires management to make judgements as to whether exploratory projects have discovered economically recoverable quantities of gold or other minerals, which requires the quantity and realizable value of such minerals to be estimated.  Previous estimates are sometimes revised as new information becomes available. Where it is determined that an exploratory project did not discover economically recoverable gold or other minerals, the costs are written off as E&amp;E expense.</w:t>
      </w:r>
    </w:p>
    <w:p w14:paraId="3C0C21C2" w14:textId="77777777" w:rsidR="00CC56E5" w:rsidRPr="00CC56E5" w:rsidRDefault="00CC56E5" w:rsidP="00CC56E5">
      <w:pPr>
        <w:tabs>
          <w:tab w:val="left" w:pos="567"/>
        </w:tabs>
        <w:jc w:val="both"/>
        <w:rPr>
          <w:szCs w:val="22"/>
        </w:rPr>
      </w:pPr>
    </w:p>
    <w:p w14:paraId="4B5810B5" w14:textId="0C85D177" w:rsidR="00881401" w:rsidRPr="00CC56E5" w:rsidRDefault="00CC56E5" w:rsidP="00CC56E5">
      <w:pPr>
        <w:tabs>
          <w:tab w:val="left" w:pos="567"/>
        </w:tabs>
        <w:jc w:val="both"/>
        <w:rPr>
          <w:szCs w:val="22"/>
        </w:rPr>
      </w:pPr>
      <w:r w:rsidRPr="00CC56E5">
        <w:rPr>
          <w:szCs w:val="22"/>
        </w:rPr>
        <w:t xml:space="preserve">If gold or other minerals are encountered, but further appraisal activity is required, the exploratory costs remain capitalized </w:t>
      </w:r>
      <w:proofErr w:type="gramStart"/>
      <w:r w:rsidRPr="00CC56E5">
        <w:rPr>
          <w:szCs w:val="22"/>
        </w:rPr>
        <w:t>as long as</w:t>
      </w:r>
      <w:proofErr w:type="gramEnd"/>
      <w:r w:rsidRPr="00CC56E5">
        <w:rPr>
          <w:szCs w:val="22"/>
        </w:rPr>
        <w:t xml:space="preserve"> sufficient progress is being made in assessing whether the recovery of gold or other minerals is economically viable.  The concept of “sufficient progress” is a judgemental area, and it is possible to have exploratory costs remain capitalized for several years while additional exploratory activities are carried out or the Company seeks government, regulatory or partner approval for development plans. E&amp;E assets are subject to ongoing technical, commercial and management review to confirm the continued intent to establish the technical feasibility and commercial viability of the discovery.  When management is making this assessment, changes to project economics, expected quantities of gold and other minerals, expected production techniques, drilling results, estimated capital expenditures and production costs, results of other operations in the region and access to infrastructure and potential infrastructure expansions are important factors.  Where it is determined that an exploratory project is not economically viable, the costs are written off as E&amp;E expense.</w:t>
      </w:r>
    </w:p>
    <w:p w14:paraId="57DCC258" w14:textId="77777777" w:rsidR="00CC56E5" w:rsidRPr="00CC56E5" w:rsidRDefault="00CC56E5" w:rsidP="00CC56E5">
      <w:pPr>
        <w:tabs>
          <w:tab w:val="left" w:pos="567"/>
        </w:tabs>
        <w:jc w:val="both"/>
        <w:rPr>
          <w:szCs w:val="22"/>
        </w:rPr>
      </w:pPr>
    </w:p>
    <w:p w14:paraId="4B188395" w14:textId="77777777" w:rsidR="00CC56E5" w:rsidRPr="00CC56E5" w:rsidRDefault="00CC56E5" w:rsidP="00CC56E5">
      <w:pPr>
        <w:tabs>
          <w:tab w:val="left" w:pos="567"/>
        </w:tabs>
        <w:jc w:val="both"/>
        <w:rPr>
          <w:b/>
          <w:bCs/>
          <w:szCs w:val="22"/>
        </w:rPr>
      </w:pPr>
      <w:r w:rsidRPr="00CC56E5">
        <w:rPr>
          <w:b/>
          <w:bCs/>
          <w:szCs w:val="22"/>
        </w:rPr>
        <w:t>Decommissioning Obligations</w:t>
      </w:r>
    </w:p>
    <w:p w14:paraId="067CCE43" w14:textId="77777777" w:rsidR="00CC56E5" w:rsidRDefault="00CC56E5" w:rsidP="00CC56E5">
      <w:pPr>
        <w:tabs>
          <w:tab w:val="left" w:pos="567"/>
        </w:tabs>
        <w:jc w:val="both"/>
        <w:rPr>
          <w:szCs w:val="22"/>
        </w:rPr>
      </w:pPr>
      <w:r w:rsidRPr="00CC56E5">
        <w:rPr>
          <w:szCs w:val="22"/>
        </w:rPr>
        <w:t xml:space="preserve">Estimates of asset retirement costs are based on assumptions regarding the methods, timing, economic </w:t>
      </w:r>
      <w:proofErr w:type="gramStart"/>
      <w:r w:rsidRPr="00CC56E5">
        <w:rPr>
          <w:szCs w:val="22"/>
        </w:rPr>
        <w:t>environment</w:t>
      </w:r>
      <w:proofErr w:type="gramEnd"/>
      <w:r w:rsidRPr="00CC56E5">
        <w:rPr>
          <w:szCs w:val="22"/>
        </w:rPr>
        <w:t xml:space="preserve"> and regulatory standards that are expected to exist at the time assets are retired.  Management adjusts estimated amounts periodically as assumptions are updated to incorporate new information. Actual payments to settle the obligations may differ materially from amounts estimated.</w:t>
      </w:r>
    </w:p>
    <w:p w14:paraId="7D019FBA" w14:textId="77777777" w:rsidR="000E7369" w:rsidRDefault="000E7369" w:rsidP="00CC56E5">
      <w:pPr>
        <w:tabs>
          <w:tab w:val="left" w:pos="567"/>
        </w:tabs>
        <w:jc w:val="both"/>
        <w:rPr>
          <w:szCs w:val="22"/>
        </w:rPr>
      </w:pPr>
    </w:p>
    <w:p w14:paraId="42599609" w14:textId="77777777" w:rsidR="00CC56E5" w:rsidRPr="00CC56E5" w:rsidRDefault="00CC56E5" w:rsidP="00CC56E5">
      <w:pPr>
        <w:tabs>
          <w:tab w:val="left" w:pos="567"/>
        </w:tabs>
        <w:jc w:val="both"/>
        <w:rPr>
          <w:b/>
          <w:bCs/>
          <w:szCs w:val="22"/>
        </w:rPr>
      </w:pPr>
      <w:r w:rsidRPr="00CC56E5">
        <w:rPr>
          <w:b/>
          <w:bCs/>
          <w:szCs w:val="22"/>
        </w:rPr>
        <w:t>Share-Based Payments</w:t>
      </w:r>
    </w:p>
    <w:p w14:paraId="01DDADAA" w14:textId="77777777" w:rsidR="00CC56E5" w:rsidRPr="00CC56E5" w:rsidRDefault="00CC56E5" w:rsidP="00CC56E5">
      <w:pPr>
        <w:tabs>
          <w:tab w:val="left" w:pos="567"/>
        </w:tabs>
        <w:jc w:val="both"/>
        <w:rPr>
          <w:szCs w:val="22"/>
        </w:rPr>
      </w:pPr>
      <w:r w:rsidRPr="00CC56E5">
        <w:rPr>
          <w:szCs w:val="22"/>
        </w:rPr>
        <w:t>The Company estimates the grant date value of stock options and warrants awarded using the Black-Scholes model.  The inputs used to determine the estimated value of the options and warrants are based on assumptions regarding share price volatility, the expected life of the options, expected forfeiture rates and future interest rates.  By their nature, these inputs are subject to measurement uncertainty and require management to exercise judgement in determining which assumptions are the most appropriate.</w:t>
      </w:r>
    </w:p>
    <w:p w14:paraId="57E340E4" w14:textId="77777777" w:rsidR="00C83279" w:rsidRPr="00CC56E5" w:rsidRDefault="00C83279" w:rsidP="00CC56E5">
      <w:pPr>
        <w:tabs>
          <w:tab w:val="left" w:pos="567"/>
        </w:tabs>
        <w:jc w:val="both"/>
        <w:rPr>
          <w:szCs w:val="22"/>
        </w:rPr>
      </w:pPr>
    </w:p>
    <w:p w14:paraId="443D3ED3" w14:textId="77777777" w:rsidR="00CC56E5" w:rsidRPr="00CC56E5" w:rsidRDefault="00CC56E5" w:rsidP="00CC56E5">
      <w:pPr>
        <w:tabs>
          <w:tab w:val="left" w:pos="567"/>
        </w:tabs>
        <w:jc w:val="both"/>
        <w:rPr>
          <w:b/>
          <w:bCs/>
          <w:szCs w:val="22"/>
        </w:rPr>
      </w:pPr>
      <w:r w:rsidRPr="00CC56E5">
        <w:rPr>
          <w:b/>
          <w:bCs/>
          <w:szCs w:val="22"/>
        </w:rPr>
        <w:t>Income Taxes</w:t>
      </w:r>
    </w:p>
    <w:p w14:paraId="7C9FEFE1" w14:textId="77777777" w:rsidR="00474930" w:rsidRDefault="00CC56E5" w:rsidP="00CC56E5">
      <w:pPr>
        <w:tabs>
          <w:tab w:val="left" w:pos="567"/>
        </w:tabs>
        <w:jc w:val="both"/>
        <w:rPr>
          <w:szCs w:val="22"/>
        </w:rPr>
      </w:pPr>
      <w:r w:rsidRPr="00CC56E5">
        <w:rPr>
          <w:szCs w:val="22"/>
        </w:rPr>
        <w:t>Accounting for income taxes is a complex process requiring management to interpret frequently changing laws and regulations and make judgements and estimates related to the application of tax law, the timing of temporary difference reversals and the likelihood of realizing deferred tax assets.  All tax filings are subject to subsequent government audits and potential reassessment. These interpretations and judgements, and changes related to them, impact current and deferred tax provisions, the carrying value of deferred income tax assets and liabiliti</w:t>
      </w:r>
      <w:r>
        <w:rPr>
          <w:szCs w:val="22"/>
        </w:rPr>
        <w:t xml:space="preserve">es </w:t>
      </w:r>
      <w:r w:rsidRPr="00CC56E5">
        <w:rPr>
          <w:szCs w:val="22"/>
        </w:rPr>
        <w:t>and could have a material impact on earnings.</w:t>
      </w:r>
    </w:p>
    <w:p w14:paraId="1EC272AB" w14:textId="77777777" w:rsidR="00A55201" w:rsidRDefault="00A55201" w:rsidP="006C6AB9">
      <w:pPr>
        <w:pStyle w:val="BodyText"/>
        <w:rPr>
          <w:szCs w:val="22"/>
        </w:rPr>
      </w:pPr>
    </w:p>
    <w:p w14:paraId="24B5BB33" w14:textId="77777777" w:rsidR="00A34515" w:rsidRPr="005942D3" w:rsidRDefault="00A34515" w:rsidP="005942D3">
      <w:pPr>
        <w:pStyle w:val="Heading3"/>
        <w:pBdr>
          <w:top w:val="single" w:sz="4" w:space="1" w:color="auto"/>
          <w:bottom w:val="single" w:sz="4" w:space="1" w:color="auto"/>
        </w:pBdr>
        <w:rPr>
          <w:b/>
          <w:u w:val="none"/>
        </w:rPr>
      </w:pPr>
      <w:bookmarkStart w:id="38" w:name="_Toc379536679"/>
      <w:bookmarkStart w:id="39" w:name="_Toc34057632"/>
      <w:r w:rsidRPr="005942D3">
        <w:rPr>
          <w:b/>
          <w:u w:val="none"/>
        </w:rPr>
        <w:lastRenderedPageBreak/>
        <w:t>RISKS AND UNCERTAINTIES</w:t>
      </w:r>
      <w:bookmarkEnd w:id="38"/>
      <w:bookmarkEnd w:id="39"/>
    </w:p>
    <w:p w14:paraId="6ADB6C64" w14:textId="77777777" w:rsidR="0061495C" w:rsidRPr="00283891" w:rsidRDefault="0061495C" w:rsidP="0061495C">
      <w:pPr>
        <w:jc w:val="both"/>
        <w:rPr>
          <w:szCs w:val="22"/>
        </w:rPr>
      </w:pPr>
    </w:p>
    <w:p w14:paraId="7EDA227F" w14:textId="77777777" w:rsidR="004966C3" w:rsidRDefault="004966C3" w:rsidP="005942D3">
      <w:pPr>
        <w:jc w:val="both"/>
        <w:rPr>
          <w:szCs w:val="22"/>
        </w:rPr>
      </w:pPr>
      <w:r w:rsidRPr="005942D3">
        <w:rPr>
          <w:szCs w:val="22"/>
        </w:rPr>
        <w:t>The Company faces</w:t>
      </w:r>
      <w:r w:rsidR="00102B7C">
        <w:rPr>
          <w:szCs w:val="22"/>
        </w:rPr>
        <w:t xml:space="preserve"> numerous</w:t>
      </w:r>
      <w:r w:rsidRPr="005942D3">
        <w:rPr>
          <w:szCs w:val="22"/>
        </w:rPr>
        <w:t xml:space="preserve"> uncertainties, including the ability to raise</w:t>
      </w:r>
      <w:r w:rsidR="00372981">
        <w:rPr>
          <w:szCs w:val="22"/>
        </w:rPr>
        <w:t xml:space="preserve"> enough</w:t>
      </w:r>
      <w:r w:rsidRPr="005942D3">
        <w:rPr>
          <w:szCs w:val="22"/>
        </w:rPr>
        <w:t xml:space="preserve"> capital to fund </w:t>
      </w:r>
      <w:r w:rsidR="00BD2737">
        <w:rPr>
          <w:szCs w:val="22"/>
        </w:rPr>
        <w:t>potential property acquisitions and investments</w:t>
      </w:r>
      <w:r w:rsidRPr="005942D3">
        <w:rPr>
          <w:szCs w:val="22"/>
        </w:rPr>
        <w:t xml:space="preserve"> and ongoing administrative expenses. </w:t>
      </w:r>
      <w:r w:rsidR="00A55201">
        <w:rPr>
          <w:szCs w:val="22"/>
        </w:rPr>
        <w:t>The cost of complying with regulatory and reporting requirements has escalated dramatically in recent years.</w:t>
      </w:r>
      <w:r w:rsidRPr="005942D3">
        <w:rPr>
          <w:szCs w:val="22"/>
        </w:rPr>
        <w:t xml:space="preserve"> Failure to obtain </w:t>
      </w:r>
      <w:r w:rsidR="00372981">
        <w:rPr>
          <w:szCs w:val="22"/>
        </w:rPr>
        <w:t>enough</w:t>
      </w:r>
      <w:r w:rsidRPr="005942D3">
        <w:rPr>
          <w:szCs w:val="22"/>
        </w:rPr>
        <w:t xml:space="preserve"> financing may result in the delay or indefinite postponement of </w:t>
      </w:r>
      <w:r w:rsidR="00BD2737">
        <w:rPr>
          <w:szCs w:val="22"/>
        </w:rPr>
        <w:t xml:space="preserve">property acquisitions or other investments.  </w:t>
      </w:r>
      <w:r w:rsidRPr="005942D3">
        <w:rPr>
          <w:szCs w:val="22"/>
        </w:rPr>
        <w:t xml:space="preserve">The business of the Company, mineral </w:t>
      </w:r>
      <w:proofErr w:type="gramStart"/>
      <w:r w:rsidRPr="005942D3">
        <w:rPr>
          <w:szCs w:val="22"/>
        </w:rPr>
        <w:t>exploration</w:t>
      </w:r>
      <w:proofErr w:type="gramEnd"/>
      <w:r w:rsidRPr="005942D3">
        <w:rPr>
          <w:szCs w:val="22"/>
        </w:rPr>
        <w:t xml:space="preserve"> and development, involves a high degree of risk</w:t>
      </w:r>
      <w:r w:rsidR="00102B7C">
        <w:rPr>
          <w:szCs w:val="22"/>
        </w:rPr>
        <w:t>.</w:t>
      </w:r>
      <w:r w:rsidRPr="005942D3">
        <w:rPr>
          <w:szCs w:val="22"/>
        </w:rPr>
        <w:t xml:space="preserve"> Few properties that are explored ultimately </w:t>
      </w:r>
      <w:r w:rsidR="004243EC">
        <w:rPr>
          <w:szCs w:val="22"/>
        </w:rPr>
        <w:t>achieve commercial production</w:t>
      </w:r>
      <w:r w:rsidR="009C5FEA">
        <w:rPr>
          <w:szCs w:val="22"/>
        </w:rPr>
        <w:t xml:space="preserve"> and it takes years to develop a mineral property.</w:t>
      </w:r>
      <w:r w:rsidRPr="005942D3">
        <w:rPr>
          <w:szCs w:val="22"/>
        </w:rPr>
        <w:t xml:space="preserve"> At present, </w:t>
      </w:r>
      <w:r w:rsidR="00102B7C">
        <w:rPr>
          <w:szCs w:val="22"/>
        </w:rPr>
        <w:t xml:space="preserve">the company </w:t>
      </w:r>
      <w:r w:rsidR="009C5FEA">
        <w:rPr>
          <w:szCs w:val="22"/>
        </w:rPr>
        <w:t>continues to search</w:t>
      </w:r>
      <w:r w:rsidR="00102B7C">
        <w:rPr>
          <w:szCs w:val="22"/>
        </w:rPr>
        <w:t xml:space="preserve"> for properties that may contain alluvial gold in economic quantities.</w:t>
      </w:r>
      <w:r w:rsidRPr="005942D3">
        <w:rPr>
          <w:szCs w:val="22"/>
        </w:rPr>
        <w:t xml:space="preserve"> </w:t>
      </w:r>
      <w:r w:rsidR="009C5FEA">
        <w:rPr>
          <w:szCs w:val="22"/>
        </w:rPr>
        <w:t xml:space="preserve"> While alluvial (placer) properties have a much shorter path to production, t</w:t>
      </w:r>
      <w:r w:rsidR="004243EC">
        <w:rPr>
          <w:szCs w:val="22"/>
        </w:rPr>
        <w:t xml:space="preserve">here is no assurance that the Company will be successful in locating and acquiring </w:t>
      </w:r>
      <w:r w:rsidR="009C5FEA">
        <w:rPr>
          <w:szCs w:val="22"/>
        </w:rPr>
        <w:t>additional</w:t>
      </w:r>
      <w:r w:rsidR="004243EC">
        <w:rPr>
          <w:szCs w:val="22"/>
        </w:rPr>
        <w:t xml:space="preserve"> properties.</w:t>
      </w:r>
      <w:r w:rsidRPr="005942D3">
        <w:rPr>
          <w:szCs w:val="22"/>
        </w:rPr>
        <w:t xml:space="preserve">  Nor is there any assurance that </w:t>
      </w:r>
      <w:r w:rsidR="004243EC">
        <w:rPr>
          <w:szCs w:val="22"/>
        </w:rPr>
        <w:t xml:space="preserve">the Company will be successful in developing </w:t>
      </w:r>
      <w:r w:rsidR="009C5FEA">
        <w:rPr>
          <w:szCs w:val="22"/>
        </w:rPr>
        <w:t>the</w:t>
      </w:r>
      <w:r w:rsidR="004243EC">
        <w:rPr>
          <w:szCs w:val="22"/>
        </w:rPr>
        <w:t xml:space="preserve"> properties that it </w:t>
      </w:r>
      <w:r w:rsidR="009C5FEA">
        <w:rPr>
          <w:szCs w:val="22"/>
        </w:rPr>
        <w:t>has acquired</w:t>
      </w:r>
      <w:r w:rsidR="004243EC">
        <w:rPr>
          <w:szCs w:val="22"/>
        </w:rPr>
        <w:t>.</w:t>
      </w:r>
      <w:r w:rsidRPr="005942D3">
        <w:rPr>
          <w:szCs w:val="22"/>
        </w:rPr>
        <w:t xml:space="preserve">  The </w:t>
      </w:r>
      <w:r w:rsidR="004243EC">
        <w:rPr>
          <w:szCs w:val="22"/>
        </w:rPr>
        <w:t>successful recovery</w:t>
      </w:r>
      <w:r w:rsidRPr="005942D3">
        <w:rPr>
          <w:szCs w:val="22"/>
        </w:rPr>
        <w:t xml:space="preserve"> of </w:t>
      </w:r>
      <w:r w:rsidR="004243EC">
        <w:rPr>
          <w:szCs w:val="22"/>
        </w:rPr>
        <w:t xml:space="preserve">gold from alluvial gravel deposits </w:t>
      </w:r>
      <w:r w:rsidRPr="005942D3">
        <w:rPr>
          <w:szCs w:val="22"/>
        </w:rPr>
        <w:t xml:space="preserve">involves </w:t>
      </w:r>
      <w:r w:rsidR="004243EC">
        <w:rPr>
          <w:szCs w:val="22"/>
        </w:rPr>
        <w:t xml:space="preserve">significant labour and equipment. </w:t>
      </w:r>
      <w:r w:rsidRPr="005942D3">
        <w:rPr>
          <w:szCs w:val="22"/>
        </w:rPr>
        <w:t xml:space="preserve"> </w:t>
      </w:r>
      <w:r w:rsidR="004243EC">
        <w:rPr>
          <w:szCs w:val="22"/>
        </w:rPr>
        <w:t>R</w:t>
      </w:r>
      <w:r w:rsidRPr="005942D3">
        <w:rPr>
          <w:szCs w:val="22"/>
        </w:rPr>
        <w:t>ecovery rates and costs can vary</w:t>
      </w:r>
      <w:r w:rsidR="004243EC">
        <w:rPr>
          <w:szCs w:val="22"/>
        </w:rPr>
        <w:t xml:space="preserve"> within a wide range.</w:t>
      </w:r>
    </w:p>
    <w:p w14:paraId="116A712E" w14:textId="77777777" w:rsidR="009C5FEA" w:rsidRDefault="009C5FEA" w:rsidP="005942D3">
      <w:pPr>
        <w:jc w:val="both"/>
        <w:rPr>
          <w:szCs w:val="22"/>
        </w:rPr>
      </w:pPr>
    </w:p>
    <w:p w14:paraId="3B849BBF" w14:textId="77777777" w:rsidR="004966C3" w:rsidRPr="005942D3" w:rsidRDefault="004966C3" w:rsidP="005942D3">
      <w:pPr>
        <w:jc w:val="both"/>
        <w:rPr>
          <w:b/>
          <w:szCs w:val="22"/>
        </w:rPr>
      </w:pPr>
      <w:r w:rsidRPr="005942D3">
        <w:rPr>
          <w:b/>
          <w:szCs w:val="22"/>
        </w:rPr>
        <w:t>(a)</w:t>
      </w:r>
      <w:r w:rsidRPr="005942D3">
        <w:rPr>
          <w:b/>
          <w:szCs w:val="22"/>
        </w:rPr>
        <w:tab/>
        <w:t>Nature of Mineral Exploration and Mining</w:t>
      </w:r>
    </w:p>
    <w:p w14:paraId="6957C467" w14:textId="77777777" w:rsidR="004966C3" w:rsidRPr="005942D3" w:rsidRDefault="004966C3" w:rsidP="005942D3">
      <w:pPr>
        <w:jc w:val="both"/>
        <w:rPr>
          <w:b/>
          <w:szCs w:val="22"/>
        </w:rPr>
      </w:pPr>
    </w:p>
    <w:p w14:paraId="67169156" w14:textId="77777777" w:rsidR="001B6F8C" w:rsidRDefault="004966C3" w:rsidP="005942D3">
      <w:pPr>
        <w:jc w:val="both"/>
        <w:rPr>
          <w:szCs w:val="22"/>
        </w:rPr>
      </w:pPr>
      <w:r w:rsidRPr="005942D3">
        <w:rPr>
          <w:szCs w:val="22"/>
        </w:rPr>
        <w:t xml:space="preserve">At </w:t>
      </w:r>
      <w:r w:rsidR="00F07F45">
        <w:rPr>
          <w:szCs w:val="22"/>
        </w:rPr>
        <w:t>present</w:t>
      </w:r>
      <w:r w:rsidRPr="005942D3">
        <w:rPr>
          <w:szCs w:val="22"/>
        </w:rPr>
        <w:t>, the Company does not hold any interest in a</w:t>
      </w:r>
      <w:r w:rsidR="00102B7C">
        <w:rPr>
          <w:szCs w:val="22"/>
        </w:rPr>
        <w:t>ny</w:t>
      </w:r>
      <w:r w:rsidRPr="005942D3">
        <w:rPr>
          <w:szCs w:val="22"/>
        </w:rPr>
        <w:t xml:space="preserve"> mining property</w:t>
      </w:r>
      <w:r w:rsidR="00A94C57">
        <w:rPr>
          <w:szCs w:val="22"/>
        </w:rPr>
        <w:t>.</w:t>
      </w:r>
      <w:r w:rsidRPr="005942D3">
        <w:rPr>
          <w:szCs w:val="22"/>
        </w:rPr>
        <w:t xml:space="preserve">  The Company’s viability and potential success lie in its ability to discover, develop, and generate revenue out of mineral deposits</w:t>
      </w:r>
      <w:r w:rsidR="00F07F45">
        <w:rPr>
          <w:szCs w:val="22"/>
        </w:rPr>
        <w:t xml:space="preserve"> and other investments.</w:t>
      </w:r>
      <w:r w:rsidRPr="005942D3">
        <w:rPr>
          <w:szCs w:val="22"/>
        </w:rPr>
        <w:t xml:space="preserve">  The exploration and development of mineral deposits involve</w:t>
      </w:r>
      <w:r w:rsidR="00A94C57">
        <w:rPr>
          <w:szCs w:val="22"/>
        </w:rPr>
        <w:t>s</w:t>
      </w:r>
      <w:r w:rsidRPr="005942D3">
        <w:rPr>
          <w:szCs w:val="22"/>
        </w:rPr>
        <w:t xml:space="preserve"> significant financial risks over a significant </w:t>
      </w:r>
      <w:proofErr w:type="gramStart"/>
      <w:r w:rsidRPr="005942D3">
        <w:rPr>
          <w:szCs w:val="22"/>
        </w:rPr>
        <w:t>period of time</w:t>
      </w:r>
      <w:proofErr w:type="gramEnd"/>
      <w:r w:rsidRPr="005942D3">
        <w:rPr>
          <w:szCs w:val="22"/>
        </w:rPr>
        <w:t>, which even a combination of careful evaluation, experience and knowledge may not eliminate.  While discovery of a</w:t>
      </w:r>
      <w:r w:rsidR="00A94C57">
        <w:rPr>
          <w:szCs w:val="22"/>
        </w:rPr>
        <w:t>n economic gold deposit</w:t>
      </w:r>
      <w:r w:rsidRPr="005942D3">
        <w:rPr>
          <w:szCs w:val="22"/>
        </w:rPr>
        <w:t xml:space="preserve"> may result in substantial rewards, few properties which are explored </w:t>
      </w:r>
      <w:r w:rsidR="00A94C57">
        <w:rPr>
          <w:szCs w:val="22"/>
        </w:rPr>
        <w:t>ultimately achieve commercial production.</w:t>
      </w:r>
      <w:r w:rsidRPr="005942D3">
        <w:rPr>
          <w:szCs w:val="22"/>
        </w:rPr>
        <w:t xml:space="preserve">  Major expenses may be required to establish reserves by drilling and </w:t>
      </w:r>
      <w:r w:rsidR="00A94C57">
        <w:rPr>
          <w:szCs w:val="22"/>
        </w:rPr>
        <w:t>digging test pits</w:t>
      </w:r>
      <w:r w:rsidR="004521DA">
        <w:rPr>
          <w:szCs w:val="22"/>
        </w:rPr>
        <w:t>. It</w:t>
      </w:r>
      <w:r w:rsidRPr="005942D3">
        <w:rPr>
          <w:szCs w:val="22"/>
        </w:rPr>
        <w:t xml:space="preserve"> is impossible to ensure that </w:t>
      </w:r>
      <w:r w:rsidR="00A94C57">
        <w:rPr>
          <w:szCs w:val="22"/>
        </w:rPr>
        <w:t xml:space="preserve">any potential property acquisitions </w:t>
      </w:r>
      <w:r w:rsidRPr="005942D3">
        <w:rPr>
          <w:szCs w:val="22"/>
        </w:rPr>
        <w:t>will result in a profitable commercial mining operation.</w:t>
      </w:r>
    </w:p>
    <w:p w14:paraId="67D27BFD" w14:textId="77777777" w:rsidR="001B6F8C" w:rsidRDefault="001B6F8C" w:rsidP="005942D3">
      <w:pPr>
        <w:jc w:val="both"/>
        <w:rPr>
          <w:szCs w:val="22"/>
        </w:rPr>
      </w:pPr>
    </w:p>
    <w:p w14:paraId="10EB7A65" w14:textId="413A4A9C" w:rsidR="000E7369" w:rsidRDefault="004966C3" w:rsidP="005942D3">
      <w:pPr>
        <w:jc w:val="both"/>
        <w:rPr>
          <w:szCs w:val="22"/>
        </w:rPr>
      </w:pPr>
      <w:r w:rsidRPr="005942D3">
        <w:rPr>
          <w:szCs w:val="22"/>
        </w:rPr>
        <w:t>The operations of the Company</w:t>
      </w:r>
      <w:r w:rsidR="00A94C57">
        <w:rPr>
          <w:szCs w:val="22"/>
        </w:rPr>
        <w:t>, even while testing potential properties,</w:t>
      </w:r>
      <w:r w:rsidRPr="005942D3">
        <w:rPr>
          <w:szCs w:val="22"/>
        </w:rPr>
        <w:t xml:space="preserve"> are subject to </w:t>
      </w:r>
      <w:proofErr w:type="gramStart"/>
      <w:r w:rsidRPr="005942D3">
        <w:rPr>
          <w:szCs w:val="22"/>
        </w:rPr>
        <w:t>all of</w:t>
      </w:r>
      <w:proofErr w:type="gramEnd"/>
      <w:r w:rsidRPr="005942D3">
        <w:rPr>
          <w:szCs w:val="22"/>
        </w:rPr>
        <w:t xml:space="preserve"> the hazards and risks normally incidental to exploration and development of mineral properties</w:t>
      </w:r>
      <w:r w:rsidR="00A94C57">
        <w:rPr>
          <w:szCs w:val="22"/>
        </w:rPr>
        <w:t>.</w:t>
      </w:r>
      <w:r w:rsidRPr="005942D3">
        <w:rPr>
          <w:szCs w:val="22"/>
        </w:rPr>
        <w:t xml:space="preserve"> </w:t>
      </w:r>
      <w:r w:rsidR="00A94C57">
        <w:rPr>
          <w:szCs w:val="22"/>
        </w:rPr>
        <w:t>A</w:t>
      </w:r>
      <w:r w:rsidRPr="005942D3">
        <w:rPr>
          <w:szCs w:val="22"/>
        </w:rPr>
        <w:t xml:space="preserve">ny of </w:t>
      </w:r>
      <w:r w:rsidR="00A94C57">
        <w:rPr>
          <w:szCs w:val="22"/>
        </w:rPr>
        <w:t>those risks</w:t>
      </w:r>
      <w:r w:rsidR="00A973B4">
        <w:rPr>
          <w:szCs w:val="22"/>
        </w:rPr>
        <w:t xml:space="preserve"> </w:t>
      </w:r>
      <w:r w:rsidRPr="005942D3">
        <w:rPr>
          <w:szCs w:val="22"/>
        </w:rPr>
        <w:t xml:space="preserve">could result in damage to life or property, environmental </w:t>
      </w:r>
      <w:proofErr w:type="gramStart"/>
      <w:r w:rsidRPr="005942D3">
        <w:rPr>
          <w:szCs w:val="22"/>
        </w:rPr>
        <w:t>damage</w:t>
      </w:r>
      <w:proofErr w:type="gramEnd"/>
      <w:r w:rsidRPr="005942D3">
        <w:rPr>
          <w:szCs w:val="22"/>
        </w:rPr>
        <w:t xml:space="preserve"> and possible legal liability for any or all damage.  The activities of the Company may be subject to prolonged disruption of activities or scheduled work programs, due to weather conditions, barriers to property access, whether natural (such as floods or road damage) or man-made (such as blockades), depending on the location of operations in which the Company </w:t>
      </w:r>
      <w:r w:rsidR="00A973B4">
        <w:rPr>
          <w:szCs w:val="22"/>
        </w:rPr>
        <w:t>acquires</w:t>
      </w:r>
      <w:r w:rsidRPr="005942D3">
        <w:rPr>
          <w:szCs w:val="22"/>
        </w:rPr>
        <w:t xml:space="preserve"> interests. Hazards may be encountered in the drilling and removal of material.</w:t>
      </w:r>
    </w:p>
    <w:p w14:paraId="34C3343B" w14:textId="77777777" w:rsidR="000E7369" w:rsidRDefault="000E7369" w:rsidP="005942D3">
      <w:pPr>
        <w:jc w:val="both"/>
        <w:rPr>
          <w:szCs w:val="22"/>
        </w:rPr>
      </w:pPr>
    </w:p>
    <w:p w14:paraId="3FB79679" w14:textId="557E7670" w:rsidR="00C83279" w:rsidRDefault="004966C3" w:rsidP="005942D3">
      <w:pPr>
        <w:jc w:val="both"/>
        <w:rPr>
          <w:szCs w:val="22"/>
        </w:rPr>
      </w:pPr>
      <w:r w:rsidRPr="005942D3">
        <w:rPr>
          <w:szCs w:val="22"/>
        </w:rPr>
        <w:t xml:space="preserve"> While the Company may obtain insurance against certain risks in such amounts as it considers adequate, the nature of these risks is such that liabilities could exceed policy limits or could be excluded from coverage.  There are also risks against which the Company cannot insure or against which it may elect not to insure.  The potential costs which could be associated with any liabilities not covered by insurance or in excess of insurance coverage or compliance with applicable laws and regulations may cause substantial delays and require significant capital outlays, adversely affecting the future earnings and competitive position of the Company and, potentially, its financial position.</w:t>
      </w:r>
    </w:p>
    <w:p w14:paraId="01146E09" w14:textId="7118C6D1" w:rsidR="004966C3" w:rsidRDefault="00C83279" w:rsidP="005942D3">
      <w:pPr>
        <w:jc w:val="both"/>
        <w:rPr>
          <w:szCs w:val="22"/>
        </w:rPr>
      </w:pPr>
      <w:r>
        <w:rPr>
          <w:szCs w:val="22"/>
        </w:rPr>
        <w:t>Whether</w:t>
      </w:r>
      <w:r w:rsidR="004966C3" w:rsidRPr="005942D3">
        <w:rPr>
          <w:szCs w:val="22"/>
        </w:rPr>
        <w:t xml:space="preserve"> a mineral deposit will be commercially viable depends on a number of factors, some of which are the particular attributes of the deposit, such as its size and grade, proximity to infrastructure, financing costs and governmental regulations, including regulations relating to prices, taxes, royalties, infrastructure, land use, importing and exporting and environmental protection.  The effect </w:t>
      </w:r>
      <w:r w:rsidR="00EB1FC5">
        <w:rPr>
          <w:szCs w:val="22"/>
        </w:rPr>
        <w:t>o</w:t>
      </w:r>
      <w:r w:rsidR="004966C3" w:rsidRPr="005942D3">
        <w:rPr>
          <w:szCs w:val="22"/>
        </w:rPr>
        <w:t>f these factors cannot be accurately predicted, and the combination of these factors may result in the Company not receiving an adequate return on invested capital.</w:t>
      </w:r>
    </w:p>
    <w:p w14:paraId="5E903988" w14:textId="5DFC0F1D" w:rsidR="00537B93" w:rsidRDefault="00537B93" w:rsidP="005942D3">
      <w:pPr>
        <w:jc w:val="both"/>
        <w:rPr>
          <w:szCs w:val="22"/>
        </w:rPr>
      </w:pPr>
    </w:p>
    <w:p w14:paraId="29DCBD47" w14:textId="14561C4B" w:rsidR="00537B93" w:rsidRDefault="00537B93" w:rsidP="005942D3">
      <w:pPr>
        <w:jc w:val="both"/>
        <w:rPr>
          <w:szCs w:val="22"/>
        </w:rPr>
      </w:pPr>
    </w:p>
    <w:p w14:paraId="4688385F" w14:textId="77777777" w:rsidR="00537B93" w:rsidRDefault="00537B93" w:rsidP="005942D3">
      <w:pPr>
        <w:jc w:val="both"/>
        <w:rPr>
          <w:szCs w:val="22"/>
        </w:rPr>
      </w:pPr>
    </w:p>
    <w:p w14:paraId="07CE0D17" w14:textId="77777777" w:rsidR="00A55201" w:rsidRDefault="00A55201" w:rsidP="005942D3">
      <w:pPr>
        <w:jc w:val="both"/>
        <w:rPr>
          <w:szCs w:val="22"/>
        </w:rPr>
      </w:pPr>
    </w:p>
    <w:p w14:paraId="06D8D937" w14:textId="77777777" w:rsidR="004966C3" w:rsidRPr="005942D3" w:rsidRDefault="004966C3" w:rsidP="005942D3">
      <w:pPr>
        <w:jc w:val="both"/>
        <w:rPr>
          <w:b/>
          <w:szCs w:val="22"/>
        </w:rPr>
      </w:pPr>
      <w:r w:rsidRPr="005942D3">
        <w:rPr>
          <w:b/>
          <w:szCs w:val="22"/>
        </w:rPr>
        <w:t>(b)</w:t>
      </w:r>
      <w:r w:rsidRPr="005942D3">
        <w:rPr>
          <w:b/>
          <w:szCs w:val="22"/>
        </w:rPr>
        <w:tab/>
        <w:t>Commodity Price Risk</w:t>
      </w:r>
    </w:p>
    <w:p w14:paraId="4811D840" w14:textId="77777777" w:rsidR="004966C3" w:rsidRPr="005942D3" w:rsidRDefault="004966C3" w:rsidP="005942D3">
      <w:pPr>
        <w:jc w:val="both"/>
        <w:rPr>
          <w:b/>
          <w:szCs w:val="22"/>
        </w:rPr>
      </w:pPr>
    </w:p>
    <w:p w14:paraId="6FA1F975" w14:textId="77777777" w:rsidR="006C6AB9" w:rsidRDefault="004966C3" w:rsidP="005942D3">
      <w:pPr>
        <w:jc w:val="both"/>
        <w:rPr>
          <w:bCs/>
          <w:szCs w:val="22"/>
        </w:rPr>
      </w:pPr>
      <w:r w:rsidRPr="005942D3">
        <w:rPr>
          <w:bCs/>
          <w:szCs w:val="22"/>
        </w:rPr>
        <w:t xml:space="preserve">The price of the common shares in the capital the Company, its financial results, </w:t>
      </w:r>
      <w:proofErr w:type="gramStart"/>
      <w:r w:rsidRPr="005942D3">
        <w:rPr>
          <w:bCs/>
          <w:szCs w:val="22"/>
        </w:rPr>
        <w:t>exploration</w:t>
      </w:r>
      <w:proofErr w:type="gramEnd"/>
      <w:r w:rsidRPr="005942D3">
        <w:rPr>
          <w:bCs/>
          <w:szCs w:val="22"/>
        </w:rPr>
        <w:t xml:space="preserve"> and development activities have been, or may in the future be, adversely affected by declines in the price of gold and/or other metals.  Gold</w:t>
      </w:r>
      <w:r w:rsidR="00A973B4">
        <w:rPr>
          <w:bCs/>
          <w:szCs w:val="22"/>
        </w:rPr>
        <w:t xml:space="preserve"> and</w:t>
      </w:r>
      <w:r w:rsidRPr="005942D3">
        <w:rPr>
          <w:szCs w:val="22"/>
        </w:rPr>
        <w:t xml:space="preserve"> other mineral</w:t>
      </w:r>
      <w:r w:rsidRPr="005942D3">
        <w:rPr>
          <w:bCs/>
          <w:szCs w:val="22"/>
        </w:rPr>
        <w:t xml:space="preserve"> prices fluctuate widely and are affected by numerous factors beyond the Company’s control, such as the sale or purchase of commodities by various central banks, financial institutions, expectations of inflation or deflation, currency exchange fluctuations, interest rates, global or regional consumptive patterns, international supply and demand, speculative activities and increased production due to new mine developments, improved mining and production methods and international economic and political trends.  The Company’s revenues, if any, are expected to be in large part derived from mining and sale of precious metals or interests in properties related thereto.  The effect of these factors on the price of precious </w:t>
      </w:r>
      <w:r w:rsidR="00A973B4">
        <w:rPr>
          <w:bCs/>
          <w:szCs w:val="22"/>
        </w:rPr>
        <w:t>metals</w:t>
      </w:r>
      <w:r w:rsidRPr="005942D3">
        <w:rPr>
          <w:bCs/>
          <w:szCs w:val="22"/>
        </w:rPr>
        <w:t>, and therefore the economic viability of any of the Company’s exploration projects, cannot accurately be predicted.</w:t>
      </w:r>
    </w:p>
    <w:p w14:paraId="33EBFCBC" w14:textId="77777777" w:rsidR="009C5FEA" w:rsidRDefault="009C5FEA" w:rsidP="005942D3">
      <w:pPr>
        <w:jc w:val="both"/>
        <w:rPr>
          <w:bCs/>
          <w:szCs w:val="22"/>
        </w:rPr>
      </w:pPr>
    </w:p>
    <w:p w14:paraId="7F4B7C41" w14:textId="77777777" w:rsidR="004966C3" w:rsidRPr="005942D3" w:rsidRDefault="004966C3" w:rsidP="005942D3">
      <w:pPr>
        <w:jc w:val="both"/>
        <w:rPr>
          <w:b/>
          <w:szCs w:val="22"/>
        </w:rPr>
      </w:pPr>
      <w:r w:rsidRPr="005942D3">
        <w:rPr>
          <w:b/>
          <w:szCs w:val="22"/>
        </w:rPr>
        <w:t>(c)</w:t>
      </w:r>
      <w:r w:rsidRPr="005942D3">
        <w:rPr>
          <w:b/>
          <w:szCs w:val="22"/>
        </w:rPr>
        <w:tab/>
        <w:t>Competition</w:t>
      </w:r>
    </w:p>
    <w:p w14:paraId="0DEAC027" w14:textId="77777777" w:rsidR="004966C3" w:rsidRPr="005942D3" w:rsidRDefault="004966C3" w:rsidP="005942D3">
      <w:pPr>
        <w:jc w:val="both"/>
        <w:rPr>
          <w:b/>
          <w:szCs w:val="22"/>
        </w:rPr>
      </w:pPr>
    </w:p>
    <w:p w14:paraId="38A8DD30" w14:textId="6E12BFB6" w:rsidR="00881401" w:rsidRDefault="004966C3" w:rsidP="005942D3">
      <w:pPr>
        <w:jc w:val="both"/>
        <w:rPr>
          <w:szCs w:val="22"/>
        </w:rPr>
      </w:pPr>
      <w:r w:rsidRPr="005942D3">
        <w:rPr>
          <w:szCs w:val="22"/>
        </w:rPr>
        <w:t xml:space="preserve">The mineral exploration and mining business </w:t>
      </w:r>
      <w:proofErr w:type="gramStart"/>
      <w:r w:rsidRPr="005942D3">
        <w:rPr>
          <w:szCs w:val="22"/>
        </w:rPr>
        <w:t>is</w:t>
      </w:r>
      <w:proofErr w:type="gramEnd"/>
      <w:r w:rsidRPr="005942D3">
        <w:rPr>
          <w:szCs w:val="22"/>
        </w:rPr>
        <w:t xml:space="preserve"> competitive in all of its phases.  The Company competes with numerous other companies and individuals, including competitors with greater financial, </w:t>
      </w:r>
      <w:proofErr w:type="gramStart"/>
      <w:r w:rsidRPr="005942D3">
        <w:rPr>
          <w:szCs w:val="22"/>
        </w:rPr>
        <w:t>technical</w:t>
      </w:r>
      <w:proofErr w:type="gramEnd"/>
      <w:r w:rsidRPr="005942D3">
        <w:rPr>
          <w:szCs w:val="22"/>
        </w:rPr>
        <w:t xml:space="preserve"> and other resources than the Company, in the search for and acquisition of attractive mineral properties.  The ability of the Company to acquire properties in the future will depen</w:t>
      </w:r>
      <w:r w:rsidR="00694663">
        <w:rPr>
          <w:szCs w:val="22"/>
        </w:rPr>
        <w:t>d</w:t>
      </w:r>
      <w:r w:rsidRPr="005942D3">
        <w:rPr>
          <w:szCs w:val="22"/>
        </w:rPr>
        <w:t xml:space="preserve"> on its ability to select and acquire suitable properties or prospects for mineral exploration.  There is no assurance that the Company will continue to be able to compete successfully with its competitors in acquiring such properties or prospects.</w:t>
      </w:r>
    </w:p>
    <w:p w14:paraId="33BB44B9" w14:textId="324844E0" w:rsidR="00F750ED" w:rsidRDefault="00F750ED" w:rsidP="005942D3">
      <w:pPr>
        <w:jc w:val="both"/>
        <w:rPr>
          <w:szCs w:val="22"/>
        </w:rPr>
      </w:pPr>
    </w:p>
    <w:p w14:paraId="5FC9DE4F" w14:textId="77777777" w:rsidR="004966C3" w:rsidRPr="005942D3" w:rsidRDefault="004966C3" w:rsidP="005942D3">
      <w:pPr>
        <w:jc w:val="both"/>
        <w:rPr>
          <w:b/>
          <w:szCs w:val="22"/>
        </w:rPr>
      </w:pPr>
      <w:r w:rsidRPr="005942D3">
        <w:rPr>
          <w:b/>
          <w:szCs w:val="22"/>
        </w:rPr>
        <w:t>(d)</w:t>
      </w:r>
      <w:r w:rsidRPr="005942D3">
        <w:rPr>
          <w:b/>
          <w:szCs w:val="22"/>
        </w:rPr>
        <w:tab/>
        <w:t>Financing Risks</w:t>
      </w:r>
    </w:p>
    <w:p w14:paraId="5E625A22" w14:textId="77777777" w:rsidR="004966C3" w:rsidRPr="005942D3" w:rsidRDefault="004966C3" w:rsidP="005942D3">
      <w:pPr>
        <w:jc w:val="both"/>
        <w:rPr>
          <w:b/>
          <w:szCs w:val="22"/>
        </w:rPr>
      </w:pPr>
    </w:p>
    <w:p w14:paraId="7E28B798" w14:textId="77777777" w:rsidR="004966C3" w:rsidRDefault="004966C3" w:rsidP="005942D3">
      <w:pPr>
        <w:jc w:val="both"/>
        <w:rPr>
          <w:szCs w:val="22"/>
        </w:rPr>
      </w:pPr>
      <w:r w:rsidRPr="005942D3">
        <w:rPr>
          <w:szCs w:val="22"/>
        </w:rPr>
        <w:t xml:space="preserve">The Company has limited financial resources and </w:t>
      </w:r>
      <w:r w:rsidR="00F07F45">
        <w:rPr>
          <w:szCs w:val="22"/>
        </w:rPr>
        <w:t>limited</w:t>
      </w:r>
      <w:r w:rsidRPr="005942D3">
        <w:rPr>
          <w:szCs w:val="22"/>
        </w:rPr>
        <w:t xml:space="preserve"> current revenues.  There is no assurance that additional funding will be available to</w:t>
      </w:r>
      <w:r w:rsidR="00A973B4">
        <w:rPr>
          <w:szCs w:val="22"/>
        </w:rPr>
        <w:t xml:space="preserve"> acquire properties or make alternative investments</w:t>
      </w:r>
      <w:r w:rsidRPr="005942D3">
        <w:rPr>
          <w:szCs w:val="22"/>
        </w:rPr>
        <w:t xml:space="preserve">.  Although the Company has been successful in the past in obtaining financing through the sale of equity securities, there can be no assurance that the Company will be able to obtain adequate financing in the future or that the terms of such financing will be favourable. Failure to obtain such additional financing could result in delay or indefinite postponement of </w:t>
      </w:r>
      <w:r w:rsidR="006C38A2">
        <w:rPr>
          <w:szCs w:val="22"/>
        </w:rPr>
        <w:t>potential property acquisitions or alternative investments.</w:t>
      </w:r>
    </w:p>
    <w:p w14:paraId="7B183BF9" w14:textId="77777777" w:rsidR="005B51C1" w:rsidRDefault="005B51C1" w:rsidP="005942D3">
      <w:pPr>
        <w:jc w:val="both"/>
        <w:rPr>
          <w:szCs w:val="22"/>
        </w:rPr>
      </w:pPr>
    </w:p>
    <w:p w14:paraId="6BC1C61A" w14:textId="77777777" w:rsidR="004966C3" w:rsidRPr="005942D3" w:rsidRDefault="004966C3" w:rsidP="005942D3">
      <w:pPr>
        <w:jc w:val="both"/>
        <w:rPr>
          <w:b/>
          <w:szCs w:val="22"/>
        </w:rPr>
      </w:pPr>
      <w:r w:rsidRPr="005942D3">
        <w:rPr>
          <w:b/>
          <w:szCs w:val="22"/>
        </w:rPr>
        <w:t>(e)</w:t>
      </w:r>
      <w:r w:rsidRPr="005942D3">
        <w:rPr>
          <w:b/>
          <w:szCs w:val="22"/>
        </w:rPr>
        <w:tab/>
        <w:t>Permits and Licen</w:t>
      </w:r>
      <w:r w:rsidR="00F07F45">
        <w:rPr>
          <w:b/>
          <w:szCs w:val="22"/>
        </w:rPr>
        <w:t>s</w:t>
      </w:r>
      <w:r w:rsidRPr="005942D3">
        <w:rPr>
          <w:b/>
          <w:szCs w:val="22"/>
        </w:rPr>
        <w:t>es</w:t>
      </w:r>
    </w:p>
    <w:p w14:paraId="03D9BD06" w14:textId="77777777" w:rsidR="008E207A" w:rsidRPr="005942D3" w:rsidRDefault="008E207A" w:rsidP="005942D3">
      <w:pPr>
        <w:jc w:val="both"/>
        <w:rPr>
          <w:b/>
          <w:szCs w:val="22"/>
        </w:rPr>
      </w:pPr>
    </w:p>
    <w:p w14:paraId="05A3049C" w14:textId="4F56C7B9" w:rsidR="007A1681" w:rsidRDefault="004966C3" w:rsidP="005942D3">
      <w:pPr>
        <w:jc w:val="both"/>
        <w:rPr>
          <w:szCs w:val="22"/>
        </w:rPr>
      </w:pPr>
      <w:r w:rsidRPr="005942D3">
        <w:rPr>
          <w:szCs w:val="22"/>
        </w:rPr>
        <w:t>The operations of the Company may require licen</w:t>
      </w:r>
      <w:r w:rsidR="00F07F45">
        <w:rPr>
          <w:szCs w:val="22"/>
        </w:rPr>
        <w:t>s</w:t>
      </w:r>
      <w:r w:rsidRPr="005942D3">
        <w:rPr>
          <w:szCs w:val="22"/>
        </w:rPr>
        <w:t>es and permits from various governmental authorities.    There can be no assurance that the Company will be able to obtain all necessary li</w:t>
      </w:r>
      <w:r w:rsidR="00F07F45">
        <w:rPr>
          <w:szCs w:val="22"/>
        </w:rPr>
        <w:t>c</w:t>
      </w:r>
      <w:r w:rsidRPr="005942D3">
        <w:rPr>
          <w:szCs w:val="22"/>
        </w:rPr>
        <w:t>en</w:t>
      </w:r>
      <w:r w:rsidR="00F07F45">
        <w:rPr>
          <w:szCs w:val="22"/>
        </w:rPr>
        <w:t>s</w:t>
      </w:r>
      <w:r w:rsidRPr="005942D3">
        <w:rPr>
          <w:szCs w:val="22"/>
        </w:rPr>
        <w:t xml:space="preserve">es and permits required to carry out exploration, </w:t>
      </w:r>
      <w:proofErr w:type="gramStart"/>
      <w:r w:rsidRPr="005942D3">
        <w:rPr>
          <w:szCs w:val="22"/>
        </w:rPr>
        <w:t>development</w:t>
      </w:r>
      <w:proofErr w:type="gramEnd"/>
      <w:r w:rsidRPr="005942D3">
        <w:rPr>
          <w:szCs w:val="22"/>
        </w:rPr>
        <w:t xml:space="preserve"> and mining operations </w:t>
      </w:r>
      <w:r w:rsidR="006C38A2">
        <w:rPr>
          <w:szCs w:val="22"/>
        </w:rPr>
        <w:t>on any properties it should acquire.</w:t>
      </w:r>
    </w:p>
    <w:p w14:paraId="12912894" w14:textId="77777777" w:rsidR="007A1681" w:rsidRDefault="007A1681" w:rsidP="005942D3">
      <w:pPr>
        <w:jc w:val="both"/>
        <w:rPr>
          <w:szCs w:val="22"/>
        </w:rPr>
      </w:pPr>
    </w:p>
    <w:p w14:paraId="7E253B27" w14:textId="77777777" w:rsidR="004966C3" w:rsidRPr="005942D3" w:rsidRDefault="004966C3" w:rsidP="005942D3">
      <w:pPr>
        <w:jc w:val="both"/>
        <w:rPr>
          <w:b/>
          <w:szCs w:val="22"/>
        </w:rPr>
      </w:pPr>
      <w:r w:rsidRPr="005942D3">
        <w:rPr>
          <w:b/>
          <w:szCs w:val="22"/>
        </w:rPr>
        <w:t>(f)</w:t>
      </w:r>
      <w:r w:rsidRPr="005942D3">
        <w:rPr>
          <w:b/>
          <w:szCs w:val="22"/>
        </w:rPr>
        <w:tab/>
        <w:t>No Assurance of Titles</w:t>
      </w:r>
    </w:p>
    <w:p w14:paraId="755B4FE9" w14:textId="77777777" w:rsidR="008E207A" w:rsidRPr="005942D3" w:rsidRDefault="008E207A" w:rsidP="005942D3">
      <w:pPr>
        <w:jc w:val="both"/>
        <w:rPr>
          <w:b/>
          <w:szCs w:val="22"/>
        </w:rPr>
      </w:pPr>
    </w:p>
    <w:p w14:paraId="4B158A84" w14:textId="60518EF1" w:rsidR="004966C3" w:rsidRDefault="004966C3" w:rsidP="005942D3">
      <w:pPr>
        <w:jc w:val="both"/>
        <w:rPr>
          <w:szCs w:val="22"/>
        </w:rPr>
      </w:pPr>
      <w:r w:rsidRPr="005942D3">
        <w:rPr>
          <w:szCs w:val="22"/>
        </w:rPr>
        <w:t xml:space="preserve">The acquisition of title to mineral projects is </w:t>
      </w:r>
      <w:proofErr w:type="gramStart"/>
      <w:r w:rsidRPr="005942D3">
        <w:rPr>
          <w:szCs w:val="22"/>
        </w:rPr>
        <w:t>a very detailed</w:t>
      </w:r>
      <w:proofErr w:type="gramEnd"/>
      <w:r w:rsidRPr="005942D3">
        <w:rPr>
          <w:szCs w:val="22"/>
        </w:rPr>
        <w:t xml:space="preserve"> and time</w:t>
      </w:r>
      <w:r w:rsidR="00F07F45">
        <w:rPr>
          <w:szCs w:val="22"/>
        </w:rPr>
        <w:t>-</w:t>
      </w:r>
      <w:r w:rsidRPr="005942D3">
        <w:rPr>
          <w:szCs w:val="22"/>
        </w:rPr>
        <w:t xml:space="preserve">consuming process.  Although the Company </w:t>
      </w:r>
      <w:r w:rsidR="006C38A2">
        <w:rPr>
          <w:szCs w:val="22"/>
        </w:rPr>
        <w:t>will take</w:t>
      </w:r>
      <w:r w:rsidRPr="005942D3">
        <w:rPr>
          <w:szCs w:val="22"/>
        </w:rPr>
        <w:t xml:space="preserve"> precautions to ensure that legal title to </w:t>
      </w:r>
      <w:r w:rsidR="006C38A2">
        <w:rPr>
          <w:szCs w:val="22"/>
        </w:rPr>
        <w:t>any</w:t>
      </w:r>
      <w:r w:rsidRPr="005942D3">
        <w:rPr>
          <w:szCs w:val="22"/>
        </w:rPr>
        <w:t xml:space="preserve"> property interests is properly recorded in the name of the Company, there can be no assurance that such title will ultimately be secured.  Furthermore, there is no assurance that the interest of the Company in any properties</w:t>
      </w:r>
      <w:r w:rsidR="006C38A2">
        <w:rPr>
          <w:szCs w:val="22"/>
        </w:rPr>
        <w:t xml:space="preserve"> it may acquire</w:t>
      </w:r>
      <w:r w:rsidRPr="005942D3">
        <w:rPr>
          <w:szCs w:val="22"/>
        </w:rPr>
        <w:t xml:space="preserve"> </w:t>
      </w:r>
      <w:r w:rsidR="006C38A2">
        <w:rPr>
          <w:szCs w:val="22"/>
        </w:rPr>
        <w:t>will</w:t>
      </w:r>
      <w:r w:rsidRPr="005942D3">
        <w:rPr>
          <w:szCs w:val="22"/>
        </w:rPr>
        <w:t xml:space="preserve"> not be challenged or impugned.  </w:t>
      </w:r>
      <w:r w:rsidR="006C38A2">
        <w:rPr>
          <w:szCs w:val="22"/>
        </w:rPr>
        <w:t>Mineral</w:t>
      </w:r>
      <w:r w:rsidRPr="005942D3">
        <w:rPr>
          <w:szCs w:val="22"/>
        </w:rPr>
        <w:t xml:space="preserve"> properties may be subject to claims from aboriginal peoples which may affect exploration activities and costs.</w:t>
      </w:r>
    </w:p>
    <w:p w14:paraId="33E5AE0F" w14:textId="0D534E9E" w:rsidR="00537B93" w:rsidRDefault="00537B93" w:rsidP="005942D3">
      <w:pPr>
        <w:jc w:val="both"/>
        <w:rPr>
          <w:szCs w:val="22"/>
        </w:rPr>
      </w:pPr>
    </w:p>
    <w:p w14:paraId="4FFBBCB8" w14:textId="0783B6F7" w:rsidR="00537B93" w:rsidRDefault="00537B93" w:rsidP="005942D3">
      <w:pPr>
        <w:jc w:val="both"/>
        <w:rPr>
          <w:szCs w:val="22"/>
        </w:rPr>
      </w:pPr>
    </w:p>
    <w:p w14:paraId="630EC638" w14:textId="77777777" w:rsidR="00537B93" w:rsidRDefault="00537B93" w:rsidP="005942D3">
      <w:pPr>
        <w:jc w:val="both"/>
        <w:rPr>
          <w:szCs w:val="22"/>
        </w:rPr>
      </w:pPr>
    </w:p>
    <w:p w14:paraId="146FC0F3" w14:textId="77777777" w:rsidR="0074169E" w:rsidRDefault="0074169E" w:rsidP="005942D3">
      <w:pPr>
        <w:jc w:val="both"/>
        <w:rPr>
          <w:szCs w:val="22"/>
        </w:rPr>
      </w:pPr>
    </w:p>
    <w:p w14:paraId="1E49D956" w14:textId="77777777" w:rsidR="004966C3" w:rsidRPr="005942D3" w:rsidRDefault="004966C3" w:rsidP="005942D3">
      <w:pPr>
        <w:jc w:val="both"/>
        <w:rPr>
          <w:b/>
          <w:szCs w:val="22"/>
        </w:rPr>
      </w:pPr>
      <w:r w:rsidRPr="005942D3">
        <w:rPr>
          <w:b/>
          <w:szCs w:val="22"/>
        </w:rPr>
        <w:lastRenderedPageBreak/>
        <w:t>(g)</w:t>
      </w:r>
      <w:r w:rsidRPr="005942D3">
        <w:rPr>
          <w:b/>
          <w:szCs w:val="22"/>
        </w:rPr>
        <w:tab/>
        <w:t>Environmental Regulations</w:t>
      </w:r>
    </w:p>
    <w:p w14:paraId="12236E6B" w14:textId="77777777" w:rsidR="008E207A" w:rsidRPr="005942D3" w:rsidRDefault="008E207A" w:rsidP="005942D3">
      <w:pPr>
        <w:jc w:val="both"/>
        <w:rPr>
          <w:b/>
          <w:szCs w:val="22"/>
        </w:rPr>
      </w:pPr>
    </w:p>
    <w:p w14:paraId="744FBEDB" w14:textId="77777777" w:rsidR="004966C3" w:rsidRDefault="004966C3" w:rsidP="005942D3">
      <w:pPr>
        <w:jc w:val="both"/>
        <w:rPr>
          <w:szCs w:val="22"/>
        </w:rPr>
      </w:pPr>
      <w:r w:rsidRPr="005942D3">
        <w:rPr>
          <w:szCs w:val="22"/>
        </w:rPr>
        <w:t xml:space="preserve">The operations of the Company are subject to environmental regulations promulgated by government agencies from time to time.  Environmental legislation provides for restrictions and prohibitions on spills, releases or emissions of various substances produced in association with certain mineral exploration and mining operations, which would result in environmental pollution.  A breach of such legislation may result in the imposition of fines and penalties.  In addition, certain types of operations require the submission and approval of environmental impact assessments.  Environmental legislation is evolving in a manner which means stricter standards and enforcement; fines and penalties for non-compliance are more stringent.  Environmental assessments of proposed projects carry a heightened degree of responsibility for companies and their directors, </w:t>
      </w:r>
      <w:proofErr w:type="gramStart"/>
      <w:r w:rsidRPr="005942D3">
        <w:rPr>
          <w:szCs w:val="22"/>
        </w:rPr>
        <w:t>officers</w:t>
      </w:r>
      <w:proofErr w:type="gramEnd"/>
      <w:r w:rsidRPr="005942D3">
        <w:rPr>
          <w:szCs w:val="22"/>
        </w:rPr>
        <w:t xml:space="preserve"> and employees.  The cost of compliance with changes in governmental regulations has a potential to reduce the profitability of operations.</w:t>
      </w:r>
    </w:p>
    <w:p w14:paraId="3259DC68" w14:textId="77777777" w:rsidR="009C5FEA" w:rsidRDefault="009C5FEA" w:rsidP="005942D3">
      <w:pPr>
        <w:jc w:val="both"/>
        <w:rPr>
          <w:szCs w:val="22"/>
        </w:rPr>
      </w:pPr>
    </w:p>
    <w:p w14:paraId="3C695D92" w14:textId="77777777" w:rsidR="00B560B1" w:rsidRPr="005942D3" w:rsidRDefault="00B560B1" w:rsidP="00B560B1">
      <w:pPr>
        <w:jc w:val="both"/>
        <w:rPr>
          <w:b/>
          <w:szCs w:val="22"/>
        </w:rPr>
      </w:pPr>
      <w:r w:rsidRPr="005942D3">
        <w:rPr>
          <w:b/>
          <w:szCs w:val="22"/>
        </w:rPr>
        <w:t>(</w:t>
      </w:r>
      <w:r>
        <w:rPr>
          <w:b/>
          <w:szCs w:val="22"/>
        </w:rPr>
        <w:t>h</w:t>
      </w:r>
      <w:r w:rsidRPr="005942D3">
        <w:rPr>
          <w:b/>
          <w:szCs w:val="22"/>
        </w:rPr>
        <w:t>)</w:t>
      </w:r>
      <w:r w:rsidRPr="005942D3">
        <w:rPr>
          <w:b/>
          <w:szCs w:val="22"/>
        </w:rPr>
        <w:tab/>
      </w:r>
      <w:r>
        <w:rPr>
          <w:b/>
          <w:szCs w:val="22"/>
        </w:rPr>
        <w:t>Conflicts of Interest</w:t>
      </w:r>
    </w:p>
    <w:p w14:paraId="31377113" w14:textId="77777777" w:rsidR="008E207A" w:rsidRPr="005942D3" w:rsidRDefault="008E207A" w:rsidP="005942D3">
      <w:pPr>
        <w:jc w:val="both"/>
        <w:rPr>
          <w:b/>
          <w:szCs w:val="22"/>
        </w:rPr>
      </w:pPr>
    </w:p>
    <w:p w14:paraId="36F9A0DF" w14:textId="74B86233" w:rsidR="00F812A6" w:rsidRDefault="004966C3" w:rsidP="005942D3">
      <w:pPr>
        <w:jc w:val="both"/>
        <w:rPr>
          <w:szCs w:val="22"/>
        </w:rPr>
      </w:pPr>
      <w:r w:rsidRPr="005942D3">
        <w:rPr>
          <w:szCs w:val="22"/>
        </w:rPr>
        <w:t>The directors and officers of the Company may serve as directors or officers of other public</w:t>
      </w:r>
      <w:r w:rsidR="00C37EA6">
        <w:rPr>
          <w:szCs w:val="22"/>
        </w:rPr>
        <w:t xml:space="preserve"> or private</w:t>
      </w:r>
      <w:r w:rsidRPr="005942D3">
        <w:rPr>
          <w:szCs w:val="22"/>
        </w:rPr>
        <w:t xml:space="preserve"> resource companies or have significant shareholdings in other public</w:t>
      </w:r>
      <w:r w:rsidR="00C37EA6">
        <w:rPr>
          <w:szCs w:val="22"/>
        </w:rPr>
        <w:t xml:space="preserve"> or private</w:t>
      </w:r>
      <w:r w:rsidRPr="005942D3">
        <w:rPr>
          <w:szCs w:val="22"/>
        </w:rPr>
        <w:t xml:space="preserve"> resource companies.  Situations may arise</w:t>
      </w:r>
      <w:r w:rsidR="00F07F45">
        <w:rPr>
          <w:szCs w:val="22"/>
        </w:rPr>
        <w:t xml:space="preserve"> </w:t>
      </w:r>
      <w:r w:rsidR="00C37EA6">
        <w:rPr>
          <w:szCs w:val="22"/>
        </w:rPr>
        <w:t xml:space="preserve">regarding </w:t>
      </w:r>
      <w:r w:rsidRPr="005942D3">
        <w:rPr>
          <w:szCs w:val="22"/>
        </w:rPr>
        <w:t>potential acquisitions and investments where the other interests of these directors and officers may conflict with the interest of the Company.  I</w:t>
      </w:r>
      <w:r w:rsidR="00C37EA6">
        <w:rPr>
          <w:szCs w:val="22"/>
        </w:rPr>
        <w:t>f</w:t>
      </w:r>
      <w:r w:rsidRPr="005942D3">
        <w:rPr>
          <w:szCs w:val="22"/>
        </w:rPr>
        <w:t xml:space="preserve"> such a conflict of interest arises at a meeting of the directors of the Company, a director is required by the </w:t>
      </w:r>
      <w:r w:rsidRPr="005942D3">
        <w:rPr>
          <w:i/>
          <w:szCs w:val="22"/>
        </w:rPr>
        <w:t>Business Corporations Act</w:t>
      </w:r>
      <w:r w:rsidRPr="005942D3">
        <w:rPr>
          <w:szCs w:val="22"/>
        </w:rPr>
        <w:t xml:space="preserve"> to disclose the conflict of interest and to abstain from voting on the matter.</w:t>
      </w:r>
    </w:p>
    <w:p w14:paraId="609C3EA7" w14:textId="4F38EED4" w:rsidR="00F750ED" w:rsidRDefault="00F750ED" w:rsidP="005942D3">
      <w:pPr>
        <w:jc w:val="both"/>
        <w:rPr>
          <w:szCs w:val="22"/>
        </w:rPr>
      </w:pPr>
    </w:p>
    <w:p w14:paraId="2DEAF41A" w14:textId="77777777" w:rsidR="00A66A79" w:rsidRPr="005942D3" w:rsidRDefault="00C37EA6" w:rsidP="005942D3">
      <w:pPr>
        <w:jc w:val="both"/>
        <w:rPr>
          <w:szCs w:val="22"/>
        </w:rPr>
      </w:pPr>
      <w:r>
        <w:rPr>
          <w:szCs w:val="22"/>
        </w:rPr>
        <w:t>F</w:t>
      </w:r>
      <w:r w:rsidR="004966C3" w:rsidRPr="005942D3">
        <w:rPr>
          <w:szCs w:val="22"/>
        </w:rPr>
        <w:t>rom time to time several companies may participate in the acquisition, exploration and development of natural resource properties thereby allowing for their participation in larger programs, permitting involvement in a greater number of programs and reducing financial exposure in respect of any one program.  It may also occur that a</w:t>
      </w:r>
      <w:r w:rsidR="00093815">
        <w:rPr>
          <w:szCs w:val="22"/>
        </w:rPr>
        <w:t xml:space="preserve"> </w:t>
      </w:r>
      <w:r w:rsidR="004966C3" w:rsidRPr="005942D3">
        <w:rPr>
          <w:szCs w:val="22"/>
        </w:rPr>
        <w:t xml:space="preserve">company will assign all or a portion of its interest in a </w:t>
      </w:r>
      <w:r w:rsidR="00093815">
        <w:rPr>
          <w:szCs w:val="22"/>
        </w:rPr>
        <w:t>specific</w:t>
      </w:r>
      <w:r w:rsidR="004966C3" w:rsidRPr="005942D3">
        <w:rPr>
          <w:szCs w:val="22"/>
        </w:rPr>
        <w:t xml:space="preserve"> program to another of these companies due to the financial position of the company making the assignment.  In determining whether the Company will participate in a </w:t>
      </w:r>
      <w:r w:rsidR="00093815">
        <w:rPr>
          <w:szCs w:val="22"/>
        </w:rPr>
        <w:t>specific</w:t>
      </w:r>
      <w:r w:rsidR="004966C3" w:rsidRPr="005942D3">
        <w:rPr>
          <w:szCs w:val="22"/>
        </w:rPr>
        <w:t xml:space="preserve"> program and the interest therein to be acquired by it, the directors will primarily consider the degree of risk to which the Company may be exposed and its financial position at that time.</w:t>
      </w:r>
    </w:p>
    <w:p w14:paraId="29A356C6" w14:textId="77777777" w:rsidR="00F20D5E" w:rsidRDefault="00F20D5E" w:rsidP="005942D3">
      <w:pPr>
        <w:jc w:val="both"/>
        <w:rPr>
          <w:b/>
          <w:szCs w:val="22"/>
        </w:rPr>
      </w:pPr>
    </w:p>
    <w:p w14:paraId="7A44AEC9" w14:textId="77777777" w:rsidR="004966C3" w:rsidRPr="005942D3" w:rsidRDefault="004966C3" w:rsidP="005942D3">
      <w:pPr>
        <w:jc w:val="both"/>
        <w:rPr>
          <w:b/>
          <w:szCs w:val="22"/>
        </w:rPr>
      </w:pPr>
      <w:r w:rsidRPr="005942D3">
        <w:rPr>
          <w:b/>
          <w:szCs w:val="22"/>
        </w:rPr>
        <w:t>(</w:t>
      </w:r>
      <w:proofErr w:type="spellStart"/>
      <w:r w:rsidR="006C6AB9" w:rsidRPr="005942D3">
        <w:rPr>
          <w:b/>
          <w:szCs w:val="22"/>
        </w:rPr>
        <w:t>i</w:t>
      </w:r>
      <w:proofErr w:type="spellEnd"/>
      <w:r w:rsidRPr="005942D3">
        <w:rPr>
          <w:b/>
          <w:szCs w:val="22"/>
        </w:rPr>
        <w:t>)</w:t>
      </w:r>
      <w:r w:rsidRPr="005942D3">
        <w:rPr>
          <w:b/>
          <w:szCs w:val="22"/>
        </w:rPr>
        <w:tab/>
        <w:t>Political Risk</w:t>
      </w:r>
    </w:p>
    <w:p w14:paraId="37F25273" w14:textId="77777777" w:rsidR="004966C3" w:rsidRPr="005942D3" w:rsidRDefault="004966C3" w:rsidP="005942D3">
      <w:pPr>
        <w:jc w:val="both"/>
        <w:rPr>
          <w:b/>
          <w:szCs w:val="22"/>
        </w:rPr>
      </w:pPr>
    </w:p>
    <w:p w14:paraId="028C3AAF" w14:textId="0DC9A323" w:rsidR="000104A2" w:rsidRDefault="004966C3" w:rsidP="005942D3">
      <w:pPr>
        <w:jc w:val="both"/>
        <w:rPr>
          <w:szCs w:val="22"/>
        </w:rPr>
      </w:pPr>
      <w:proofErr w:type="gramStart"/>
      <w:r w:rsidRPr="005942D3">
        <w:rPr>
          <w:szCs w:val="22"/>
        </w:rPr>
        <w:t>Al</w:t>
      </w:r>
      <w:r w:rsidR="00EC1122">
        <w:rPr>
          <w:szCs w:val="22"/>
        </w:rPr>
        <w:t>l</w:t>
      </w:r>
      <w:r w:rsidRPr="005942D3">
        <w:rPr>
          <w:szCs w:val="22"/>
        </w:rPr>
        <w:t xml:space="preserve"> of</w:t>
      </w:r>
      <w:proofErr w:type="gramEnd"/>
      <w:r w:rsidRPr="005942D3">
        <w:rPr>
          <w:szCs w:val="22"/>
        </w:rPr>
        <w:t xml:space="preserve"> the Company’s </w:t>
      </w:r>
      <w:r w:rsidR="00EC1122">
        <w:rPr>
          <w:szCs w:val="22"/>
        </w:rPr>
        <w:t>plans are related to properties and investments</w:t>
      </w:r>
      <w:r w:rsidRPr="005942D3">
        <w:rPr>
          <w:szCs w:val="22"/>
        </w:rPr>
        <w:t xml:space="preserve"> located in Canada. Accordingly, the Company is subject to risks normally associated with exploration for and development of mineral properties in </w:t>
      </w:r>
      <w:r w:rsidR="00EC1122">
        <w:rPr>
          <w:szCs w:val="22"/>
        </w:rPr>
        <w:t>Canada</w:t>
      </w:r>
      <w:r w:rsidRPr="005942D3">
        <w:rPr>
          <w:szCs w:val="22"/>
        </w:rPr>
        <w:t xml:space="preserve">. The Company’s mineral exploration activities could be affected in varying degrees by </w:t>
      </w:r>
      <w:r w:rsidR="00EC1122">
        <w:rPr>
          <w:szCs w:val="22"/>
        </w:rPr>
        <w:t>any Canadian</w:t>
      </w:r>
      <w:r w:rsidRPr="005942D3">
        <w:rPr>
          <w:szCs w:val="22"/>
        </w:rPr>
        <w:t xml:space="preserve"> political instability, aboriginal land claims and government regulation relating to foreign investment and the mining business. Operations may also be affected in varying degrees by terrorism, military conflict or repression, crime, extreme fluctuations in currency rates and high inflation.</w:t>
      </w:r>
    </w:p>
    <w:p w14:paraId="1B8599D9" w14:textId="77777777" w:rsidR="000E7369" w:rsidRDefault="000E7369" w:rsidP="005942D3">
      <w:pPr>
        <w:jc w:val="both"/>
        <w:rPr>
          <w:b/>
          <w:szCs w:val="22"/>
        </w:rPr>
      </w:pPr>
    </w:p>
    <w:p w14:paraId="6F6BD4CC" w14:textId="77777777" w:rsidR="006C6AB9" w:rsidRPr="005942D3" w:rsidRDefault="006C6AB9" w:rsidP="005942D3">
      <w:pPr>
        <w:jc w:val="both"/>
        <w:rPr>
          <w:b/>
          <w:szCs w:val="22"/>
        </w:rPr>
      </w:pPr>
      <w:r w:rsidRPr="005942D3">
        <w:rPr>
          <w:b/>
          <w:szCs w:val="22"/>
        </w:rPr>
        <w:t>(j)</w:t>
      </w:r>
      <w:r w:rsidRPr="005942D3">
        <w:rPr>
          <w:b/>
          <w:szCs w:val="22"/>
        </w:rPr>
        <w:tab/>
        <w:t>Dependence on Key Personnel</w:t>
      </w:r>
    </w:p>
    <w:p w14:paraId="16CF9471" w14:textId="77777777" w:rsidR="006C6AB9" w:rsidRPr="005942D3" w:rsidRDefault="006C6AB9" w:rsidP="005942D3">
      <w:pPr>
        <w:jc w:val="both"/>
        <w:rPr>
          <w:szCs w:val="22"/>
        </w:rPr>
      </w:pPr>
    </w:p>
    <w:p w14:paraId="347E701E" w14:textId="77777777" w:rsidR="006C6AB9" w:rsidRPr="005942D3" w:rsidRDefault="006C6AB9" w:rsidP="005942D3">
      <w:pPr>
        <w:jc w:val="both"/>
        <w:rPr>
          <w:szCs w:val="22"/>
        </w:rPr>
      </w:pPr>
      <w:r w:rsidRPr="005942D3">
        <w:rPr>
          <w:szCs w:val="22"/>
        </w:rPr>
        <w:t xml:space="preserve">The Company is dependent on a relatively small number of key people, the loss of any of whom could have an adverse effect on its operations.  </w:t>
      </w:r>
    </w:p>
    <w:p w14:paraId="71A00A29" w14:textId="77777777" w:rsidR="00DF62A6" w:rsidRPr="005942D3" w:rsidRDefault="00DF62A6" w:rsidP="005942D3">
      <w:pPr>
        <w:jc w:val="both"/>
        <w:rPr>
          <w:b/>
          <w:szCs w:val="22"/>
        </w:rPr>
      </w:pPr>
    </w:p>
    <w:p w14:paraId="23B2A9E0" w14:textId="77777777" w:rsidR="004966C3" w:rsidRPr="005942D3" w:rsidRDefault="004966C3" w:rsidP="005942D3">
      <w:pPr>
        <w:jc w:val="both"/>
        <w:rPr>
          <w:b/>
          <w:szCs w:val="22"/>
        </w:rPr>
      </w:pPr>
      <w:r w:rsidRPr="005942D3">
        <w:rPr>
          <w:b/>
          <w:szCs w:val="22"/>
        </w:rPr>
        <w:t>(k)</w:t>
      </w:r>
      <w:r w:rsidRPr="005942D3">
        <w:rPr>
          <w:b/>
          <w:szCs w:val="22"/>
        </w:rPr>
        <w:tab/>
        <w:t>Interest Rate Risk</w:t>
      </w:r>
    </w:p>
    <w:p w14:paraId="182BCE45" w14:textId="77777777" w:rsidR="004966C3" w:rsidRPr="005942D3" w:rsidRDefault="004966C3" w:rsidP="005942D3">
      <w:pPr>
        <w:jc w:val="both"/>
        <w:rPr>
          <w:b/>
          <w:szCs w:val="22"/>
        </w:rPr>
      </w:pPr>
    </w:p>
    <w:p w14:paraId="6394E303" w14:textId="77777777" w:rsidR="008A6156" w:rsidRDefault="004966C3" w:rsidP="005942D3">
      <w:pPr>
        <w:jc w:val="both"/>
        <w:rPr>
          <w:szCs w:val="22"/>
        </w:rPr>
      </w:pPr>
      <w:r w:rsidRPr="005942D3">
        <w:rPr>
          <w:szCs w:val="22"/>
        </w:rPr>
        <w:t>The Company invests cash surplus to its operational needs in investment-grade short term deposits certificates issued by the bank where it keeps its Canadian bank accounts. The Company periodically assesses the quality of its investments with this bank and is satisfied with the credit rating of the bank and the investment grade of its short</w:t>
      </w:r>
      <w:r w:rsidR="00F07F45">
        <w:rPr>
          <w:szCs w:val="22"/>
        </w:rPr>
        <w:t>-</w:t>
      </w:r>
      <w:r w:rsidRPr="005942D3">
        <w:rPr>
          <w:szCs w:val="22"/>
        </w:rPr>
        <w:t>term deposit</w:t>
      </w:r>
      <w:r w:rsidR="00F07F45">
        <w:rPr>
          <w:szCs w:val="22"/>
        </w:rPr>
        <w:t>s</w:t>
      </w:r>
    </w:p>
    <w:p w14:paraId="61D5E1E6" w14:textId="77777777" w:rsidR="004966C3" w:rsidRPr="005942D3" w:rsidRDefault="00F07F45" w:rsidP="005942D3">
      <w:pPr>
        <w:jc w:val="both"/>
        <w:rPr>
          <w:szCs w:val="22"/>
        </w:rPr>
      </w:pPr>
      <w:r>
        <w:rPr>
          <w:szCs w:val="22"/>
        </w:rPr>
        <w:lastRenderedPageBreak/>
        <w:t>.</w:t>
      </w:r>
    </w:p>
    <w:p w14:paraId="65481F67" w14:textId="77777777" w:rsidR="004966C3" w:rsidRPr="005942D3" w:rsidRDefault="004966C3" w:rsidP="005942D3">
      <w:pPr>
        <w:jc w:val="both"/>
        <w:rPr>
          <w:b/>
          <w:szCs w:val="22"/>
        </w:rPr>
      </w:pPr>
      <w:r w:rsidRPr="005942D3">
        <w:rPr>
          <w:b/>
          <w:szCs w:val="22"/>
        </w:rPr>
        <w:t>(l)</w:t>
      </w:r>
      <w:r w:rsidRPr="005942D3">
        <w:rPr>
          <w:b/>
          <w:szCs w:val="22"/>
        </w:rPr>
        <w:tab/>
        <w:t>Liquidity Risk</w:t>
      </w:r>
    </w:p>
    <w:p w14:paraId="1AE98D02" w14:textId="77777777" w:rsidR="004966C3" w:rsidRPr="005942D3" w:rsidRDefault="004966C3" w:rsidP="005942D3">
      <w:pPr>
        <w:jc w:val="both"/>
        <w:rPr>
          <w:b/>
          <w:szCs w:val="22"/>
        </w:rPr>
      </w:pPr>
    </w:p>
    <w:p w14:paraId="0CD3505C" w14:textId="023E8AA8" w:rsidR="009C5FEA" w:rsidRDefault="009D6547" w:rsidP="00F94F11">
      <w:pPr>
        <w:jc w:val="both"/>
        <w:rPr>
          <w:szCs w:val="22"/>
        </w:rPr>
      </w:pPr>
      <w:r w:rsidRPr="005942D3">
        <w:rPr>
          <w:szCs w:val="22"/>
        </w:rPr>
        <w:t xml:space="preserve">The Company’s approach to managing liquidity risk is to ensure that it will have </w:t>
      </w:r>
      <w:r w:rsidR="009C5FEA">
        <w:rPr>
          <w:szCs w:val="22"/>
        </w:rPr>
        <w:t>enough</w:t>
      </w:r>
      <w:r w:rsidRPr="005942D3">
        <w:rPr>
          <w:szCs w:val="22"/>
        </w:rPr>
        <w:t xml:space="preserve"> liquidity to meet </w:t>
      </w:r>
      <w:r w:rsidR="0051215E">
        <w:rPr>
          <w:szCs w:val="22"/>
        </w:rPr>
        <w:t xml:space="preserve">its </w:t>
      </w:r>
      <w:r w:rsidRPr="005942D3">
        <w:rPr>
          <w:szCs w:val="22"/>
        </w:rPr>
        <w:t xml:space="preserve">liabilities when due. As at </w:t>
      </w:r>
      <w:r w:rsidR="00A94D78">
        <w:rPr>
          <w:szCs w:val="22"/>
        </w:rPr>
        <w:t>June 30</w:t>
      </w:r>
      <w:r w:rsidRPr="005942D3">
        <w:rPr>
          <w:szCs w:val="22"/>
        </w:rPr>
        <w:t>,</w:t>
      </w:r>
      <w:r w:rsidR="006C6049">
        <w:rPr>
          <w:szCs w:val="22"/>
        </w:rPr>
        <w:t xml:space="preserve"> 2020</w:t>
      </w:r>
      <w:r w:rsidRPr="005942D3">
        <w:rPr>
          <w:szCs w:val="22"/>
        </w:rPr>
        <w:t xml:space="preserve"> the Company had current assets of $</w:t>
      </w:r>
      <w:r w:rsidR="00537B93">
        <w:rPr>
          <w:szCs w:val="22"/>
        </w:rPr>
        <w:t>524,667</w:t>
      </w:r>
      <w:r w:rsidR="009322A1">
        <w:rPr>
          <w:szCs w:val="22"/>
        </w:rPr>
        <w:t xml:space="preserve"> </w:t>
      </w:r>
      <w:r w:rsidRPr="005942D3">
        <w:rPr>
          <w:szCs w:val="22"/>
        </w:rPr>
        <w:t>(September 30, 201</w:t>
      </w:r>
      <w:r w:rsidR="00F750ED">
        <w:rPr>
          <w:szCs w:val="22"/>
        </w:rPr>
        <w:t>9</w:t>
      </w:r>
      <w:r w:rsidRPr="005942D3">
        <w:rPr>
          <w:szCs w:val="22"/>
        </w:rPr>
        <w:t xml:space="preserve"> - $</w:t>
      </w:r>
      <w:r w:rsidR="00F750ED">
        <w:rPr>
          <w:szCs w:val="22"/>
        </w:rPr>
        <w:t>319,245</w:t>
      </w:r>
      <w:r w:rsidRPr="005942D3">
        <w:rPr>
          <w:szCs w:val="22"/>
        </w:rPr>
        <w:t>) and current liabilities of $</w:t>
      </w:r>
      <w:r w:rsidR="00A94D78">
        <w:rPr>
          <w:szCs w:val="22"/>
        </w:rPr>
        <w:t xml:space="preserve"> </w:t>
      </w:r>
      <w:r w:rsidR="00537B93">
        <w:rPr>
          <w:szCs w:val="22"/>
        </w:rPr>
        <w:t>318,889</w:t>
      </w:r>
      <w:r w:rsidR="00A94D78">
        <w:rPr>
          <w:szCs w:val="22"/>
        </w:rPr>
        <w:t xml:space="preserve"> </w:t>
      </w:r>
      <w:r w:rsidRPr="005942D3">
        <w:rPr>
          <w:szCs w:val="22"/>
        </w:rPr>
        <w:t>(September 30, 201</w:t>
      </w:r>
      <w:r w:rsidR="00F750ED">
        <w:rPr>
          <w:szCs w:val="22"/>
        </w:rPr>
        <w:t>9 - $188,455</w:t>
      </w:r>
      <w:r w:rsidRPr="005942D3">
        <w:rPr>
          <w:szCs w:val="22"/>
        </w:rPr>
        <w:t>) All</w:t>
      </w:r>
      <w:r w:rsidR="00F812A6">
        <w:rPr>
          <w:szCs w:val="22"/>
        </w:rPr>
        <w:t xml:space="preserve"> </w:t>
      </w:r>
      <w:r w:rsidRPr="005942D3">
        <w:rPr>
          <w:szCs w:val="22"/>
        </w:rPr>
        <w:t>of</w:t>
      </w:r>
      <w:r w:rsidR="005B4292">
        <w:rPr>
          <w:szCs w:val="22"/>
        </w:rPr>
        <w:t xml:space="preserve"> </w:t>
      </w:r>
      <w:r w:rsidRPr="005942D3">
        <w:rPr>
          <w:szCs w:val="22"/>
        </w:rPr>
        <w:t xml:space="preserve">the Company’s financial liabilities and receivables are subject to normal trade terms. The Company had current working capital </w:t>
      </w:r>
      <w:r w:rsidR="00F07F45">
        <w:rPr>
          <w:szCs w:val="22"/>
        </w:rPr>
        <w:t>of</w:t>
      </w:r>
      <w:r w:rsidR="00A030F9" w:rsidRPr="005942D3">
        <w:rPr>
          <w:szCs w:val="22"/>
        </w:rPr>
        <w:t xml:space="preserve"> </w:t>
      </w:r>
      <w:r w:rsidRPr="005942D3">
        <w:rPr>
          <w:szCs w:val="22"/>
        </w:rPr>
        <w:t xml:space="preserve">as of </w:t>
      </w:r>
      <w:r w:rsidR="00A94D78">
        <w:rPr>
          <w:szCs w:val="22"/>
        </w:rPr>
        <w:t>June 30</w:t>
      </w:r>
      <w:r w:rsidRPr="005942D3">
        <w:rPr>
          <w:szCs w:val="22"/>
        </w:rPr>
        <w:t>,</w:t>
      </w:r>
      <w:r w:rsidR="00304A72">
        <w:rPr>
          <w:szCs w:val="22"/>
        </w:rPr>
        <w:t xml:space="preserve"> 20</w:t>
      </w:r>
      <w:r w:rsidR="006C6049">
        <w:rPr>
          <w:szCs w:val="22"/>
        </w:rPr>
        <w:t>20</w:t>
      </w:r>
      <w:r w:rsidRPr="005942D3">
        <w:rPr>
          <w:szCs w:val="22"/>
        </w:rPr>
        <w:t xml:space="preserve"> of $</w:t>
      </w:r>
      <w:r w:rsidR="00537B93">
        <w:rPr>
          <w:szCs w:val="22"/>
        </w:rPr>
        <w:t>205,778</w:t>
      </w:r>
      <w:r w:rsidR="00537108">
        <w:rPr>
          <w:color w:val="000000"/>
          <w:szCs w:val="22"/>
        </w:rPr>
        <w:t xml:space="preserve"> </w:t>
      </w:r>
      <w:r w:rsidR="00F94F11">
        <w:rPr>
          <w:color w:val="000000"/>
          <w:szCs w:val="22"/>
        </w:rPr>
        <w:t>(September 30, 201</w:t>
      </w:r>
      <w:r w:rsidR="00F750ED">
        <w:rPr>
          <w:color w:val="000000"/>
          <w:szCs w:val="22"/>
        </w:rPr>
        <w:t>9</w:t>
      </w:r>
      <w:r w:rsidR="00F94F11">
        <w:rPr>
          <w:color w:val="000000"/>
          <w:szCs w:val="22"/>
        </w:rPr>
        <w:t xml:space="preserve"> working capital </w:t>
      </w:r>
      <w:r w:rsidR="00EE68E5">
        <w:rPr>
          <w:color w:val="000000"/>
          <w:szCs w:val="22"/>
        </w:rPr>
        <w:t>of $</w:t>
      </w:r>
      <w:r w:rsidR="00E96440">
        <w:rPr>
          <w:color w:val="000000"/>
          <w:szCs w:val="22"/>
        </w:rPr>
        <w:t>13</w:t>
      </w:r>
      <w:r w:rsidR="00F750ED">
        <w:rPr>
          <w:color w:val="000000"/>
          <w:szCs w:val="22"/>
        </w:rPr>
        <w:t>0,790</w:t>
      </w:r>
      <w:r w:rsidR="00EE68E5">
        <w:rPr>
          <w:color w:val="000000"/>
          <w:szCs w:val="22"/>
        </w:rPr>
        <w:t>)</w:t>
      </w:r>
      <w:r w:rsidRPr="005942D3">
        <w:rPr>
          <w:szCs w:val="22"/>
        </w:rPr>
        <w:t>.</w:t>
      </w:r>
    </w:p>
    <w:p w14:paraId="21BE899A" w14:textId="77777777" w:rsidR="00093815" w:rsidRDefault="00093815" w:rsidP="00F94F11">
      <w:pPr>
        <w:jc w:val="both"/>
        <w:rPr>
          <w:b/>
          <w:szCs w:val="22"/>
        </w:rPr>
      </w:pPr>
    </w:p>
    <w:p w14:paraId="25B1AAEB" w14:textId="77777777" w:rsidR="00DF62A6" w:rsidRPr="005942D3" w:rsidRDefault="00DF62A6" w:rsidP="00F94F11">
      <w:pPr>
        <w:jc w:val="both"/>
        <w:rPr>
          <w:b/>
          <w:szCs w:val="22"/>
        </w:rPr>
      </w:pPr>
      <w:r w:rsidRPr="005942D3">
        <w:rPr>
          <w:b/>
          <w:szCs w:val="22"/>
        </w:rPr>
        <w:t>(</w:t>
      </w:r>
      <w:r>
        <w:rPr>
          <w:b/>
          <w:szCs w:val="22"/>
        </w:rPr>
        <w:t>m)</w:t>
      </w:r>
      <w:r>
        <w:rPr>
          <w:b/>
          <w:szCs w:val="22"/>
        </w:rPr>
        <w:tab/>
      </w:r>
      <w:r w:rsidR="00A91344">
        <w:rPr>
          <w:b/>
          <w:szCs w:val="22"/>
        </w:rPr>
        <w:t>Acquisition</w:t>
      </w:r>
    </w:p>
    <w:p w14:paraId="2BF6C846" w14:textId="77777777" w:rsidR="004966C3" w:rsidRPr="005942D3" w:rsidRDefault="004966C3" w:rsidP="005942D3">
      <w:pPr>
        <w:jc w:val="both"/>
        <w:rPr>
          <w:b/>
          <w:szCs w:val="22"/>
        </w:rPr>
      </w:pPr>
    </w:p>
    <w:p w14:paraId="356DE32C" w14:textId="0B843628" w:rsidR="004966C3" w:rsidRDefault="004966C3" w:rsidP="005942D3">
      <w:pPr>
        <w:jc w:val="both"/>
        <w:rPr>
          <w:bCs/>
          <w:szCs w:val="22"/>
        </w:rPr>
      </w:pPr>
      <w:r w:rsidRPr="005942D3">
        <w:rPr>
          <w:bCs/>
          <w:szCs w:val="22"/>
        </w:rPr>
        <w:t xml:space="preserve">The Company uses its best judgment to acquire mining properties for exploration and development.  In pursuit of such opportunities, the Company may fail to select appropriate acquisition candidates or negotiate acceptable agreements, including arrangements to finance the acquisitions and development, or integrate such opportunity and their personnel with the Company.  The Company cannot assure that it can complete any acquisition that it pursues or is currently pursuing, on favourable terms, or that any acquisition completed will ultimately benefit the Company. </w:t>
      </w:r>
    </w:p>
    <w:p w14:paraId="49E584A3" w14:textId="762789FB" w:rsidR="00881401" w:rsidRDefault="00881401" w:rsidP="005942D3">
      <w:pPr>
        <w:jc w:val="both"/>
        <w:rPr>
          <w:bCs/>
          <w:szCs w:val="22"/>
        </w:rPr>
      </w:pPr>
    </w:p>
    <w:p w14:paraId="42FDCE0D" w14:textId="77777777" w:rsidR="004966C3" w:rsidRPr="005942D3" w:rsidRDefault="004966C3" w:rsidP="005942D3">
      <w:pPr>
        <w:jc w:val="both"/>
        <w:rPr>
          <w:b/>
          <w:szCs w:val="22"/>
        </w:rPr>
      </w:pPr>
      <w:r w:rsidRPr="005942D3">
        <w:rPr>
          <w:b/>
          <w:szCs w:val="22"/>
        </w:rPr>
        <w:t>(n)</w:t>
      </w:r>
      <w:r w:rsidRPr="005942D3">
        <w:rPr>
          <w:b/>
          <w:szCs w:val="22"/>
        </w:rPr>
        <w:tab/>
        <w:t>Internal Control over Financial Reporting</w:t>
      </w:r>
    </w:p>
    <w:p w14:paraId="1DD6A3EA" w14:textId="77777777" w:rsidR="004966C3" w:rsidRPr="005942D3" w:rsidRDefault="004966C3" w:rsidP="005942D3">
      <w:pPr>
        <w:jc w:val="both"/>
        <w:rPr>
          <w:b/>
          <w:szCs w:val="22"/>
        </w:rPr>
      </w:pPr>
    </w:p>
    <w:p w14:paraId="4E5AFDA8" w14:textId="77777777" w:rsidR="004966C3" w:rsidRDefault="004966C3" w:rsidP="005942D3">
      <w:pPr>
        <w:jc w:val="both"/>
        <w:rPr>
          <w:szCs w:val="22"/>
        </w:rPr>
      </w:pPr>
      <w:r w:rsidRPr="005942D3">
        <w:rPr>
          <w:szCs w:val="22"/>
        </w:rPr>
        <w:t>Internal controls over financial reporting are procedures designed to provide reasonable assurance that transactions are properly authorized, assets are safeguarded against unauthorized or improper use, and transactions are properly recorded and reported.  A control system, no matter how well designed and operated, can provide only reasonable, not absolute, assurance with respect to the reliability of financial reporting and financial statement preparation.</w:t>
      </w:r>
    </w:p>
    <w:p w14:paraId="13C1F1F9" w14:textId="77777777" w:rsidR="00455360" w:rsidRPr="00283891" w:rsidRDefault="00455360" w:rsidP="0061495C">
      <w:pPr>
        <w:pStyle w:val="BodyText2"/>
        <w:rPr>
          <w:i/>
          <w:szCs w:val="22"/>
        </w:rPr>
      </w:pPr>
    </w:p>
    <w:p w14:paraId="126C8C11" w14:textId="77777777" w:rsidR="00A34515" w:rsidRPr="005942D3" w:rsidRDefault="00A34515" w:rsidP="005942D3">
      <w:pPr>
        <w:pStyle w:val="Heading3"/>
        <w:pBdr>
          <w:top w:val="single" w:sz="4" w:space="1" w:color="auto"/>
          <w:bottom w:val="single" w:sz="4" w:space="1" w:color="auto"/>
        </w:pBdr>
        <w:rPr>
          <w:b/>
          <w:u w:val="none"/>
        </w:rPr>
      </w:pPr>
      <w:bookmarkStart w:id="40" w:name="_Toc379536680"/>
      <w:bookmarkStart w:id="41" w:name="_Toc34057633"/>
      <w:r w:rsidRPr="005942D3">
        <w:rPr>
          <w:b/>
          <w:u w:val="none"/>
        </w:rPr>
        <w:t>RELATED-PARTY TRANSACTIONS</w:t>
      </w:r>
      <w:bookmarkEnd w:id="40"/>
      <w:bookmarkEnd w:id="41"/>
    </w:p>
    <w:p w14:paraId="69461AE6" w14:textId="77777777" w:rsidR="0061495C" w:rsidRPr="00283891" w:rsidRDefault="0061495C" w:rsidP="002B6FAF">
      <w:pPr>
        <w:pStyle w:val="xl28"/>
        <w:autoSpaceDE w:val="0"/>
        <w:autoSpaceDN w:val="0"/>
        <w:adjustRightInd w:val="0"/>
        <w:spacing w:before="0" w:beforeAutospacing="0" w:after="0" w:afterAutospacing="0"/>
        <w:rPr>
          <w:rFonts w:eastAsia="Times New Roman"/>
        </w:rPr>
      </w:pPr>
    </w:p>
    <w:p w14:paraId="4182E8A2" w14:textId="77777777" w:rsidR="008A6156" w:rsidRDefault="008C2D30" w:rsidP="005942D3">
      <w:pPr>
        <w:jc w:val="both"/>
        <w:rPr>
          <w:szCs w:val="22"/>
        </w:rPr>
      </w:pPr>
      <w:r>
        <w:rPr>
          <w:szCs w:val="22"/>
        </w:rPr>
        <w:t>The Company’s</w:t>
      </w:r>
      <w:r w:rsidR="0061495C" w:rsidRPr="005942D3">
        <w:rPr>
          <w:szCs w:val="22"/>
        </w:rPr>
        <w:t xml:space="preserve"> proposed business raises potential conflicts of interests between certain of </w:t>
      </w:r>
      <w:r>
        <w:rPr>
          <w:szCs w:val="22"/>
        </w:rPr>
        <w:t>the</w:t>
      </w:r>
      <w:r w:rsidR="0061495C" w:rsidRPr="005942D3">
        <w:rPr>
          <w:szCs w:val="22"/>
        </w:rPr>
        <w:t xml:space="preserve"> officers and directors and </w:t>
      </w:r>
      <w:r>
        <w:rPr>
          <w:szCs w:val="22"/>
        </w:rPr>
        <w:t>the company</w:t>
      </w:r>
      <w:r w:rsidR="0061495C" w:rsidRPr="005942D3">
        <w:rPr>
          <w:szCs w:val="22"/>
        </w:rPr>
        <w:t xml:space="preserve">. Certain of </w:t>
      </w:r>
      <w:r>
        <w:rPr>
          <w:szCs w:val="22"/>
        </w:rPr>
        <w:t>the</w:t>
      </w:r>
      <w:r w:rsidR="0061495C" w:rsidRPr="005942D3">
        <w:rPr>
          <w:szCs w:val="22"/>
        </w:rPr>
        <w:t xml:space="preserve"> directors are directors of other mineral resource companies and, to the extent that such other companies may participate in ventures in which we may participate, </w:t>
      </w:r>
      <w:r>
        <w:rPr>
          <w:szCs w:val="22"/>
        </w:rPr>
        <w:t>the</w:t>
      </w:r>
      <w:r w:rsidR="0061495C" w:rsidRPr="005942D3">
        <w:rPr>
          <w:szCs w:val="22"/>
        </w:rPr>
        <w:t xml:space="preserve"> directors may have a conflict of interest in negotiating and concluding terms regarding the extent of such participation.  </w:t>
      </w:r>
      <w:r w:rsidR="00F812A6">
        <w:rPr>
          <w:szCs w:val="22"/>
        </w:rPr>
        <w:t>When</w:t>
      </w:r>
      <w:r w:rsidR="0061495C" w:rsidRPr="005942D3">
        <w:rPr>
          <w:szCs w:val="22"/>
        </w:rPr>
        <w:t xml:space="preserve"> such a conflict of interest arises at a meeting of </w:t>
      </w:r>
      <w:r>
        <w:rPr>
          <w:szCs w:val="22"/>
        </w:rPr>
        <w:t>the</w:t>
      </w:r>
      <w:r w:rsidR="0061495C" w:rsidRPr="005942D3">
        <w:rPr>
          <w:szCs w:val="22"/>
        </w:rPr>
        <w:t xml:space="preserve"> directors, a director who has such a conflict will abstain from voting for or against the approval of such participation or such terms.  In appropriate cases, </w:t>
      </w:r>
      <w:r>
        <w:rPr>
          <w:szCs w:val="22"/>
        </w:rPr>
        <w:t>the Company</w:t>
      </w:r>
      <w:r w:rsidR="0061495C" w:rsidRPr="005942D3">
        <w:rPr>
          <w:szCs w:val="22"/>
        </w:rPr>
        <w:t xml:space="preserve"> will establish a special committee of independent directors to review a matter in which several directors, or management, may have a conflict.  From time to time, several companies may participate in the acquisition, exploration and development of natural resource properties thereby allowing for their participation in larger programs, involvement in a greater number of programs and reduction of the financial exposure with respect to any one program.  </w:t>
      </w:r>
    </w:p>
    <w:p w14:paraId="56236B16" w14:textId="77777777" w:rsidR="0061495C" w:rsidRPr="005942D3" w:rsidRDefault="0061495C" w:rsidP="005942D3">
      <w:pPr>
        <w:jc w:val="both"/>
        <w:rPr>
          <w:szCs w:val="22"/>
        </w:rPr>
      </w:pPr>
      <w:r w:rsidRPr="005942D3">
        <w:rPr>
          <w:szCs w:val="22"/>
        </w:rPr>
        <w:t xml:space="preserve">It may also occur that a </w:t>
      </w:r>
      <w:proofErr w:type="gramStart"/>
      <w:r w:rsidRPr="005942D3">
        <w:rPr>
          <w:szCs w:val="22"/>
        </w:rPr>
        <w:t>particular company</w:t>
      </w:r>
      <w:proofErr w:type="gramEnd"/>
      <w:r w:rsidRPr="005942D3">
        <w:rPr>
          <w:szCs w:val="22"/>
        </w:rPr>
        <w:t xml:space="preserve"> will assign all or a portion of its interest in a particular program to another of these companies due to the financial position of the company making the assignment.  </w:t>
      </w:r>
    </w:p>
    <w:p w14:paraId="27D01BD6" w14:textId="77777777" w:rsidR="00A030F9" w:rsidRDefault="00A030F9" w:rsidP="005942D3">
      <w:pPr>
        <w:jc w:val="both"/>
        <w:rPr>
          <w:szCs w:val="22"/>
        </w:rPr>
      </w:pPr>
    </w:p>
    <w:p w14:paraId="75C8A958" w14:textId="496EFE97" w:rsidR="009C5FEA" w:rsidRDefault="0061495C" w:rsidP="005942D3">
      <w:pPr>
        <w:jc w:val="both"/>
        <w:rPr>
          <w:szCs w:val="22"/>
        </w:rPr>
      </w:pPr>
      <w:r w:rsidRPr="005942D3">
        <w:rPr>
          <w:szCs w:val="22"/>
        </w:rPr>
        <w:t xml:space="preserve">In determining whether </w:t>
      </w:r>
      <w:r w:rsidR="005B51C1">
        <w:rPr>
          <w:szCs w:val="22"/>
        </w:rPr>
        <w:t>the C</w:t>
      </w:r>
      <w:r w:rsidR="008C2D30">
        <w:rPr>
          <w:szCs w:val="22"/>
        </w:rPr>
        <w:t>ompany</w:t>
      </w:r>
      <w:r w:rsidRPr="005942D3">
        <w:rPr>
          <w:szCs w:val="22"/>
        </w:rPr>
        <w:t xml:space="preserve"> will participate in a particular program and the interest therein to be acquired by it, the directors will primarily consider the potential benefits to </w:t>
      </w:r>
      <w:r w:rsidR="005B51C1">
        <w:rPr>
          <w:szCs w:val="22"/>
        </w:rPr>
        <w:t>the C</w:t>
      </w:r>
      <w:r w:rsidR="008C2D30">
        <w:rPr>
          <w:szCs w:val="22"/>
        </w:rPr>
        <w:t>ompany</w:t>
      </w:r>
      <w:r w:rsidRPr="005942D3">
        <w:rPr>
          <w:szCs w:val="22"/>
        </w:rPr>
        <w:t xml:space="preserve">, the degree of risk to which </w:t>
      </w:r>
      <w:r w:rsidR="008C2D30">
        <w:rPr>
          <w:szCs w:val="22"/>
        </w:rPr>
        <w:t xml:space="preserve">the </w:t>
      </w:r>
      <w:r w:rsidR="005B51C1">
        <w:rPr>
          <w:szCs w:val="22"/>
        </w:rPr>
        <w:t>C</w:t>
      </w:r>
      <w:r w:rsidR="008C2D30">
        <w:rPr>
          <w:szCs w:val="22"/>
        </w:rPr>
        <w:t>ompany</w:t>
      </w:r>
      <w:r w:rsidRPr="005942D3">
        <w:rPr>
          <w:szCs w:val="22"/>
        </w:rPr>
        <w:t xml:space="preserve"> may be exposed and its financial position at that time.  Other than as indicated, </w:t>
      </w:r>
      <w:r w:rsidR="008C2D30">
        <w:rPr>
          <w:szCs w:val="22"/>
        </w:rPr>
        <w:t>the company</w:t>
      </w:r>
      <w:r w:rsidRPr="005942D3">
        <w:rPr>
          <w:szCs w:val="22"/>
        </w:rPr>
        <w:t xml:space="preserve"> ha</w:t>
      </w:r>
      <w:r w:rsidR="008C2D30">
        <w:rPr>
          <w:szCs w:val="22"/>
        </w:rPr>
        <w:t>s</w:t>
      </w:r>
      <w:r w:rsidRPr="005942D3">
        <w:rPr>
          <w:szCs w:val="22"/>
        </w:rPr>
        <w:t xml:space="preserve"> no other procedures or mechanisms to deal with conflicts of interest.  </w:t>
      </w:r>
      <w:r w:rsidR="005B51C1">
        <w:rPr>
          <w:szCs w:val="22"/>
        </w:rPr>
        <w:t>The C</w:t>
      </w:r>
      <w:r w:rsidR="008C2D30">
        <w:rPr>
          <w:szCs w:val="22"/>
        </w:rPr>
        <w:t>ompany is</w:t>
      </w:r>
      <w:r w:rsidRPr="005942D3">
        <w:rPr>
          <w:szCs w:val="22"/>
        </w:rPr>
        <w:t xml:space="preserve"> not aware of the existence of any conflict of interest as described herei</w:t>
      </w:r>
      <w:r w:rsidR="009C5FEA">
        <w:rPr>
          <w:szCs w:val="22"/>
        </w:rPr>
        <w:t>n.</w:t>
      </w:r>
    </w:p>
    <w:p w14:paraId="4229B468" w14:textId="54FAD38B" w:rsidR="00867939" w:rsidRDefault="00867939" w:rsidP="005942D3">
      <w:pPr>
        <w:jc w:val="both"/>
        <w:rPr>
          <w:szCs w:val="22"/>
        </w:rPr>
      </w:pPr>
    </w:p>
    <w:p w14:paraId="35926C90" w14:textId="4D5BADD3" w:rsidR="00867939" w:rsidRDefault="00867939" w:rsidP="005942D3">
      <w:pPr>
        <w:jc w:val="both"/>
        <w:rPr>
          <w:szCs w:val="22"/>
        </w:rPr>
      </w:pPr>
    </w:p>
    <w:p w14:paraId="51284581" w14:textId="77777777" w:rsidR="00867939" w:rsidRDefault="00867939" w:rsidP="005942D3">
      <w:pPr>
        <w:jc w:val="both"/>
        <w:rPr>
          <w:szCs w:val="22"/>
        </w:rPr>
      </w:pPr>
    </w:p>
    <w:p w14:paraId="2E15958C" w14:textId="77777777" w:rsidR="0061495C" w:rsidRDefault="0061495C" w:rsidP="005942D3">
      <w:pPr>
        <w:jc w:val="both"/>
        <w:rPr>
          <w:szCs w:val="22"/>
        </w:rPr>
      </w:pPr>
    </w:p>
    <w:p w14:paraId="6E6CEC15" w14:textId="439DF0FC" w:rsidR="00867939" w:rsidRDefault="0061495C" w:rsidP="005942D3">
      <w:pPr>
        <w:jc w:val="both"/>
        <w:rPr>
          <w:szCs w:val="22"/>
        </w:rPr>
      </w:pPr>
      <w:r w:rsidRPr="005942D3">
        <w:rPr>
          <w:szCs w:val="22"/>
        </w:rPr>
        <w:lastRenderedPageBreak/>
        <w:t xml:space="preserve">Other than as disclosed below, during the </w:t>
      </w:r>
      <w:r w:rsidR="00B56383">
        <w:rPr>
          <w:szCs w:val="22"/>
        </w:rPr>
        <w:t>nine months</w:t>
      </w:r>
      <w:r w:rsidR="00A030F9" w:rsidRPr="005942D3">
        <w:rPr>
          <w:szCs w:val="22"/>
        </w:rPr>
        <w:t xml:space="preserve"> </w:t>
      </w:r>
      <w:r w:rsidR="00DF1E14" w:rsidRPr="005942D3">
        <w:rPr>
          <w:szCs w:val="22"/>
        </w:rPr>
        <w:t xml:space="preserve">ended </w:t>
      </w:r>
      <w:r w:rsidR="00867939">
        <w:rPr>
          <w:szCs w:val="22"/>
        </w:rPr>
        <w:t>June 30</w:t>
      </w:r>
      <w:r w:rsidR="003C2568">
        <w:rPr>
          <w:szCs w:val="22"/>
        </w:rPr>
        <w:t>, 20</w:t>
      </w:r>
      <w:r w:rsidR="00B56383">
        <w:rPr>
          <w:szCs w:val="22"/>
        </w:rPr>
        <w:t>20</w:t>
      </w:r>
      <w:r w:rsidRPr="005942D3">
        <w:rPr>
          <w:szCs w:val="22"/>
        </w:rPr>
        <w:t xml:space="preserve">, none of </w:t>
      </w:r>
      <w:r w:rsidR="008C2D30">
        <w:rPr>
          <w:szCs w:val="22"/>
        </w:rPr>
        <w:t>the</w:t>
      </w:r>
      <w:r w:rsidRPr="005942D3">
        <w:rPr>
          <w:szCs w:val="22"/>
        </w:rPr>
        <w:t xml:space="preserve"> current directors, officers or principal shareholders, nor any family member of the foregoing, nor, to the best of </w:t>
      </w:r>
      <w:r w:rsidR="005B51C1">
        <w:rPr>
          <w:szCs w:val="22"/>
        </w:rPr>
        <w:t>the C</w:t>
      </w:r>
      <w:r w:rsidR="008C2D30">
        <w:rPr>
          <w:szCs w:val="22"/>
        </w:rPr>
        <w:t>ompany’s</w:t>
      </w:r>
      <w:r w:rsidRPr="005942D3">
        <w:rPr>
          <w:szCs w:val="22"/>
        </w:rPr>
        <w:t xml:space="preserve"> information and belief, any of </w:t>
      </w:r>
      <w:r w:rsidR="008C2D30">
        <w:rPr>
          <w:szCs w:val="22"/>
        </w:rPr>
        <w:t>the</w:t>
      </w:r>
      <w:r w:rsidRPr="005942D3">
        <w:rPr>
          <w:szCs w:val="22"/>
        </w:rPr>
        <w:t xml:space="preserve"> former directors, senior officers or principal shareholders, nor any family member of such former directors, officers or principal shareholders, has or had any material interest, direct or indirect, in any transaction, or in any proposed transaction which has materially affected or will materially </w:t>
      </w:r>
      <w:r w:rsidR="00510F11">
        <w:rPr>
          <w:szCs w:val="22"/>
        </w:rPr>
        <w:t>the Company</w:t>
      </w:r>
      <w:r w:rsidR="00867939">
        <w:rPr>
          <w:szCs w:val="22"/>
        </w:rPr>
        <w:t>.</w:t>
      </w:r>
    </w:p>
    <w:p w14:paraId="06130819" w14:textId="2F245778" w:rsidR="00867939" w:rsidRDefault="00867939" w:rsidP="005942D3">
      <w:pPr>
        <w:jc w:val="both"/>
        <w:rPr>
          <w:szCs w:val="22"/>
        </w:rPr>
      </w:pPr>
    </w:p>
    <w:p w14:paraId="7DE7CE2B" w14:textId="77777777" w:rsidR="00867939" w:rsidRPr="00867939" w:rsidRDefault="00867939" w:rsidP="00867939">
      <w:pPr>
        <w:jc w:val="both"/>
        <w:rPr>
          <w:szCs w:val="22"/>
          <w:lang w:val="en-US" w:eastAsia="en-US"/>
        </w:rPr>
      </w:pPr>
      <w:r w:rsidRPr="00867939">
        <w:rPr>
          <w:szCs w:val="22"/>
          <w:lang w:val="en-US" w:eastAsia="en-US"/>
        </w:rPr>
        <w:t xml:space="preserve">As at June 30, 2020 the Company owes </w:t>
      </w:r>
      <w:proofErr w:type="gramStart"/>
      <w:r w:rsidRPr="00867939">
        <w:rPr>
          <w:szCs w:val="22"/>
          <w:lang w:val="en-US" w:eastAsia="en-US"/>
        </w:rPr>
        <w:t>$  15,943</w:t>
      </w:r>
      <w:proofErr w:type="gramEnd"/>
      <w:r w:rsidRPr="00867939">
        <w:rPr>
          <w:szCs w:val="22"/>
          <w:lang w:val="en-US" w:eastAsia="en-US"/>
        </w:rPr>
        <w:t xml:space="preserve">  (Note 11) to Directors and Officers of the Company. The </w:t>
      </w:r>
      <w:proofErr w:type="gramStart"/>
      <w:r w:rsidRPr="00867939">
        <w:rPr>
          <w:szCs w:val="22"/>
          <w:lang w:val="en-US" w:eastAsia="en-US"/>
        </w:rPr>
        <w:t>short term</w:t>
      </w:r>
      <w:proofErr w:type="gramEnd"/>
      <w:r w:rsidRPr="00867939">
        <w:rPr>
          <w:szCs w:val="22"/>
          <w:lang w:val="en-US" w:eastAsia="en-US"/>
        </w:rPr>
        <w:t xml:space="preserve"> advances are non-interest bearing and are unsecured.  They have no specific terms of repayment. </w:t>
      </w:r>
    </w:p>
    <w:p w14:paraId="40DD52EA" w14:textId="77777777" w:rsidR="00867939" w:rsidRPr="00867939" w:rsidRDefault="00867939" w:rsidP="00867939">
      <w:pPr>
        <w:jc w:val="both"/>
        <w:rPr>
          <w:szCs w:val="22"/>
          <w:lang w:val="en-US" w:eastAsia="en-US"/>
        </w:rPr>
      </w:pPr>
    </w:p>
    <w:p w14:paraId="05C2A843" w14:textId="77777777" w:rsidR="00867939" w:rsidRPr="00867939" w:rsidRDefault="00867939" w:rsidP="00867939">
      <w:pPr>
        <w:tabs>
          <w:tab w:val="left" w:pos="-1080"/>
          <w:tab w:val="left" w:pos="-720"/>
          <w:tab w:val="left" w:pos="0"/>
          <w:tab w:val="left" w:pos="360"/>
          <w:tab w:val="left" w:pos="540"/>
          <w:tab w:val="left" w:pos="720"/>
          <w:tab w:val="left" w:pos="1440"/>
          <w:tab w:val="left" w:pos="19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2"/>
          <w:lang w:val="en-US" w:eastAsia="en-US"/>
        </w:rPr>
      </w:pPr>
      <w:r w:rsidRPr="00867939">
        <w:rPr>
          <w:szCs w:val="22"/>
          <w:lang w:val="en-US" w:eastAsia="en-US"/>
        </w:rPr>
        <w:t>As at June 30, 2020 the Company owes $ 17,406 to 1070923 B.C. Ltd. as disclosed in Note 11 to these financial statements.</w:t>
      </w:r>
      <w:r w:rsidRPr="00867939">
        <w:rPr>
          <w:bCs/>
          <w:szCs w:val="22"/>
        </w:rPr>
        <w:t xml:space="preserve"> These </w:t>
      </w:r>
      <w:proofErr w:type="gramStart"/>
      <w:r w:rsidRPr="00867939">
        <w:rPr>
          <w:bCs/>
          <w:szCs w:val="22"/>
        </w:rPr>
        <w:t>short term</w:t>
      </w:r>
      <w:proofErr w:type="gramEnd"/>
      <w:r w:rsidRPr="00867939">
        <w:rPr>
          <w:bCs/>
          <w:szCs w:val="22"/>
        </w:rPr>
        <w:t xml:space="preserve"> advances to 1070923 B.C. Ltd. are non-interest bearing and are unsecured.  Perry Little and Shawn Stockdale are mutual Directors and Officers of 1070923 B.C. Ltd. and Green River Gold Corp.</w:t>
      </w:r>
    </w:p>
    <w:p w14:paraId="17BDD03C" w14:textId="77777777" w:rsidR="00867939" w:rsidRPr="00867939" w:rsidRDefault="00867939" w:rsidP="00867939">
      <w:pPr>
        <w:jc w:val="both"/>
        <w:rPr>
          <w:szCs w:val="22"/>
          <w:lang w:val="en-US" w:eastAsia="en-US"/>
        </w:rPr>
      </w:pPr>
    </w:p>
    <w:p w14:paraId="67EA429F" w14:textId="77777777" w:rsidR="00867939" w:rsidRPr="00867939" w:rsidRDefault="00867939" w:rsidP="00867939">
      <w:pPr>
        <w:jc w:val="both"/>
        <w:rPr>
          <w:szCs w:val="22"/>
          <w:lang w:val="en-US" w:eastAsia="en-US"/>
        </w:rPr>
      </w:pPr>
      <w:r w:rsidRPr="00867939">
        <w:rPr>
          <w:szCs w:val="22"/>
          <w:lang w:val="en-US" w:eastAsia="en-US"/>
        </w:rPr>
        <w:t xml:space="preserve">The Company paid $108,795 to 1070923 B.C. Ltd. for contract </w:t>
      </w:r>
      <w:proofErr w:type="spellStart"/>
      <w:r w:rsidRPr="00867939">
        <w:rPr>
          <w:szCs w:val="22"/>
          <w:lang w:val="en-US" w:eastAsia="en-US"/>
        </w:rPr>
        <w:t>labour</w:t>
      </w:r>
      <w:proofErr w:type="spellEnd"/>
      <w:r w:rsidRPr="00867939">
        <w:rPr>
          <w:szCs w:val="22"/>
          <w:lang w:val="en-US" w:eastAsia="en-US"/>
        </w:rPr>
        <w:t xml:space="preserve"> provided by 1070923 B.C. Ltd. employees during the nine months ended June 30, 2020. The services provided consisted of mining consulting and research and report preparation as well as administration and retail store set up and management. Of this amount, $76,198 was capitalized as Exploration and Evaluation assets, while the remainder of $ 32,957 is included as Contract </w:t>
      </w:r>
      <w:proofErr w:type="spellStart"/>
      <w:r w:rsidRPr="00867939">
        <w:rPr>
          <w:szCs w:val="22"/>
          <w:lang w:val="en-US" w:eastAsia="en-US"/>
        </w:rPr>
        <w:t>Labour</w:t>
      </w:r>
      <w:proofErr w:type="spellEnd"/>
      <w:r w:rsidRPr="00867939">
        <w:rPr>
          <w:szCs w:val="22"/>
          <w:lang w:val="en-US" w:eastAsia="en-US"/>
        </w:rPr>
        <w:t xml:space="preserve"> on the Statement of Loss.</w:t>
      </w:r>
    </w:p>
    <w:p w14:paraId="210AA9C7" w14:textId="77777777" w:rsidR="00867939" w:rsidRPr="00867939" w:rsidRDefault="00867939" w:rsidP="00867939">
      <w:pPr>
        <w:jc w:val="both"/>
        <w:rPr>
          <w:szCs w:val="22"/>
          <w:lang w:val="en-US" w:eastAsia="en-US"/>
        </w:rPr>
      </w:pPr>
    </w:p>
    <w:p w14:paraId="311FECDE" w14:textId="14C1791B" w:rsidR="00867939" w:rsidRPr="00867939" w:rsidRDefault="00867939" w:rsidP="00867939">
      <w:pPr>
        <w:jc w:val="both"/>
        <w:rPr>
          <w:szCs w:val="22"/>
          <w:lang w:val="en-US" w:eastAsia="en-US"/>
        </w:rPr>
      </w:pPr>
      <w:r w:rsidRPr="00867939">
        <w:rPr>
          <w:szCs w:val="22"/>
          <w:lang w:val="en-US" w:eastAsia="en-US"/>
        </w:rPr>
        <w:t>The Company purchased gold mining equipment inventory from 1070923 B.C. Ltd. in the amount of $200,000 during the thre</w:t>
      </w:r>
      <w:r>
        <w:rPr>
          <w:szCs w:val="22"/>
          <w:lang w:val="en-US" w:eastAsia="en-US"/>
        </w:rPr>
        <w:t>e-</w:t>
      </w:r>
      <w:r w:rsidRPr="00867939">
        <w:rPr>
          <w:szCs w:val="22"/>
          <w:lang w:val="en-US" w:eastAsia="en-US"/>
        </w:rPr>
        <w:t>month period ended June 30, 2020.The equipment inventory is held for resale and is currently being actively marketed.</w:t>
      </w:r>
    </w:p>
    <w:p w14:paraId="30CED59E" w14:textId="77777777" w:rsidR="00867939" w:rsidRPr="00867939" w:rsidRDefault="00867939" w:rsidP="00867939">
      <w:pPr>
        <w:jc w:val="both"/>
        <w:rPr>
          <w:szCs w:val="22"/>
          <w:lang w:val="en-US" w:eastAsia="en-US"/>
        </w:rPr>
      </w:pPr>
    </w:p>
    <w:p w14:paraId="09E5E77E" w14:textId="77777777" w:rsidR="00867939" w:rsidRPr="00867939" w:rsidRDefault="00867939" w:rsidP="00867939">
      <w:pPr>
        <w:jc w:val="both"/>
        <w:rPr>
          <w:szCs w:val="22"/>
          <w:lang w:val="en-US" w:eastAsia="en-US"/>
        </w:rPr>
      </w:pPr>
      <w:r w:rsidRPr="00867939">
        <w:rPr>
          <w:szCs w:val="22"/>
          <w:lang w:val="en-US" w:eastAsia="en-US"/>
        </w:rPr>
        <w:t xml:space="preserve">A director of the Company purchased gold mining equipment inventory from the Company during the three months ended June 30, 2020.  The purchase price was $100,000 and resulted in a $10,000 gross profit for the Company.  </w:t>
      </w:r>
    </w:p>
    <w:p w14:paraId="53EE7F20" w14:textId="77777777" w:rsidR="00867939" w:rsidRPr="00867939" w:rsidRDefault="00867939" w:rsidP="00867939">
      <w:pPr>
        <w:jc w:val="both"/>
        <w:rPr>
          <w:szCs w:val="22"/>
          <w:lang w:val="en-US" w:eastAsia="en-US"/>
        </w:rPr>
      </w:pPr>
    </w:p>
    <w:p w14:paraId="710C8BA0" w14:textId="2E2C47F9" w:rsidR="00881401" w:rsidRPr="002A5CB6" w:rsidRDefault="00867939" w:rsidP="002A5CB6">
      <w:pPr>
        <w:jc w:val="both"/>
        <w:rPr>
          <w:szCs w:val="22"/>
          <w:lang w:val="en-US" w:eastAsia="en-US"/>
        </w:rPr>
      </w:pPr>
      <w:r w:rsidRPr="00867939">
        <w:rPr>
          <w:szCs w:val="22"/>
          <w:lang w:val="en-US" w:eastAsia="en-US"/>
        </w:rPr>
        <w:t>There was no compensation paid to any of the Company’s Directors or Officers during the nine months ended June 30, 2020.  There is currently no management contract in effect.</w:t>
      </w:r>
    </w:p>
    <w:p w14:paraId="17333380" w14:textId="24D1F8BB" w:rsidR="002A5CB6" w:rsidRDefault="002A5CB6" w:rsidP="002A5CB6">
      <w:pPr>
        <w:jc w:val="both"/>
        <w:rPr>
          <w:szCs w:val="22"/>
          <w:lang w:val="en-US" w:eastAsia="en-US"/>
        </w:rPr>
      </w:pPr>
    </w:p>
    <w:p w14:paraId="0AA2B77A" w14:textId="1C7E49AE" w:rsidR="002A5CB6" w:rsidRDefault="002A5CB6" w:rsidP="002A5CB6">
      <w:pPr>
        <w:jc w:val="both"/>
        <w:rPr>
          <w:szCs w:val="22"/>
          <w:lang w:val="en-US" w:eastAsia="en-US"/>
        </w:rPr>
      </w:pPr>
      <w:r w:rsidRPr="009F323E">
        <w:rPr>
          <w:szCs w:val="22"/>
          <w:lang w:val="en-US" w:eastAsia="en-US"/>
        </w:rPr>
        <w:t>The individuals providing the services are employees of 1070923 B.C. Ltd. who provide services to that Company as well as Green River Gold Corp.  The employees are paid by 1070923 B.C. Ltd. and the hours that are related to services on behalf of Green River Gold Corp. are charged to Green River Gold Corp. at the applicable employees’ hourly rates plus a 15% premium to cover employee benefits paid by 1070923 B.C. Ltd.</w:t>
      </w:r>
      <w:r>
        <w:rPr>
          <w:szCs w:val="22"/>
          <w:lang w:val="en-US" w:eastAsia="en-US"/>
        </w:rPr>
        <w:t xml:space="preserve"> </w:t>
      </w:r>
    </w:p>
    <w:p w14:paraId="15DE1B81" w14:textId="77777777" w:rsidR="002A5CB6" w:rsidRPr="002A5CB6" w:rsidRDefault="002A5CB6" w:rsidP="002A5CB6">
      <w:pPr>
        <w:jc w:val="both"/>
        <w:rPr>
          <w:szCs w:val="22"/>
          <w:lang w:val="en-US" w:eastAsia="en-US"/>
        </w:rPr>
      </w:pPr>
    </w:p>
    <w:p w14:paraId="3533A1E2" w14:textId="4DE76F22" w:rsidR="009F323E" w:rsidRDefault="002A5CB6" w:rsidP="008364CE">
      <w:pPr>
        <w:jc w:val="both"/>
        <w:rPr>
          <w:szCs w:val="22"/>
          <w:lang w:val="en-US" w:eastAsia="en-US"/>
        </w:rPr>
      </w:pPr>
      <w:r w:rsidRPr="002A5CB6">
        <w:rPr>
          <w:szCs w:val="22"/>
          <w:lang w:val="en-US" w:eastAsia="en-US"/>
        </w:rPr>
        <w:t xml:space="preserve">There was no compensation paid to any of the Company’s Directors or Officers during the </w:t>
      </w:r>
      <w:r w:rsidR="00CF728C">
        <w:rPr>
          <w:szCs w:val="22"/>
          <w:lang w:val="en-US" w:eastAsia="en-US"/>
        </w:rPr>
        <w:t>nine</w:t>
      </w:r>
      <w:r w:rsidRPr="002A5CB6">
        <w:rPr>
          <w:szCs w:val="22"/>
          <w:lang w:val="en-US" w:eastAsia="en-US"/>
        </w:rPr>
        <w:t xml:space="preserve"> months ended </w:t>
      </w:r>
      <w:r w:rsidR="00CF728C">
        <w:rPr>
          <w:szCs w:val="22"/>
          <w:lang w:val="en-US" w:eastAsia="en-US"/>
        </w:rPr>
        <w:t>June 30</w:t>
      </w:r>
      <w:r w:rsidRPr="002A5CB6">
        <w:rPr>
          <w:szCs w:val="22"/>
          <w:lang w:val="en-US" w:eastAsia="en-US"/>
        </w:rPr>
        <w:t>, 2020.  There is currently no management contract in effect.</w:t>
      </w:r>
    </w:p>
    <w:p w14:paraId="429F3B9A" w14:textId="71BE4B06" w:rsidR="00B549E0" w:rsidRDefault="00B549E0" w:rsidP="008364CE">
      <w:pPr>
        <w:jc w:val="both"/>
        <w:rPr>
          <w:szCs w:val="22"/>
          <w:lang w:val="en-US" w:eastAsia="en-US"/>
        </w:rPr>
      </w:pPr>
    </w:p>
    <w:p w14:paraId="2C511B58" w14:textId="3E92C3AE" w:rsidR="00B549E0" w:rsidRDefault="00B549E0" w:rsidP="008364CE">
      <w:pPr>
        <w:jc w:val="both"/>
        <w:rPr>
          <w:szCs w:val="22"/>
          <w:lang w:val="en-US" w:eastAsia="en-US"/>
        </w:rPr>
      </w:pPr>
    </w:p>
    <w:p w14:paraId="1F69B358" w14:textId="3511F53C" w:rsidR="00B549E0" w:rsidRDefault="00B549E0" w:rsidP="008364CE">
      <w:pPr>
        <w:jc w:val="both"/>
        <w:rPr>
          <w:szCs w:val="22"/>
          <w:lang w:val="en-US" w:eastAsia="en-US"/>
        </w:rPr>
      </w:pPr>
    </w:p>
    <w:p w14:paraId="0CF9D677" w14:textId="67A55AA3" w:rsidR="00B549E0" w:rsidRDefault="00B549E0" w:rsidP="008364CE">
      <w:pPr>
        <w:jc w:val="both"/>
        <w:rPr>
          <w:szCs w:val="22"/>
          <w:lang w:val="en-US" w:eastAsia="en-US"/>
        </w:rPr>
      </w:pPr>
    </w:p>
    <w:p w14:paraId="4D92FD06" w14:textId="1B01B8E8" w:rsidR="00B549E0" w:rsidRDefault="00B549E0" w:rsidP="008364CE">
      <w:pPr>
        <w:jc w:val="both"/>
        <w:rPr>
          <w:szCs w:val="22"/>
          <w:lang w:val="en-US" w:eastAsia="en-US"/>
        </w:rPr>
      </w:pPr>
    </w:p>
    <w:p w14:paraId="2C1F5B13" w14:textId="49F5A39F" w:rsidR="00B549E0" w:rsidRDefault="00B549E0" w:rsidP="008364CE">
      <w:pPr>
        <w:jc w:val="both"/>
        <w:rPr>
          <w:szCs w:val="22"/>
          <w:lang w:val="en-US" w:eastAsia="en-US"/>
        </w:rPr>
      </w:pPr>
    </w:p>
    <w:p w14:paraId="6F92DBAF" w14:textId="7002A901" w:rsidR="00B549E0" w:rsidRDefault="00B549E0" w:rsidP="008364CE">
      <w:pPr>
        <w:jc w:val="both"/>
        <w:rPr>
          <w:szCs w:val="22"/>
          <w:lang w:val="en-US" w:eastAsia="en-US"/>
        </w:rPr>
      </w:pPr>
    </w:p>
    <w:p w14:paraId="311A82E0" w14:textId="611B9A6C" w:rsidR="00B549E0" w:rsidRDefault="00B549E0" w:rsidP="008364CE">
      <w:pPr>
        <w:jc w:val="both"/>
        <w:rPr>
          <w:szCs w:val="22"/>
          <w:lang w:val="en-US" w:eastAsia="en-US"/>
        </w:rPr>
      </w:pPr>
    </w:p>
    <w:p w14:paraId="7B001346" w14:textId="4CF04FCD" w:rsidR="00B549E0" w:rsidRDefault="00B549E0" w:rsidP="008364CE">
      <w:pPr>
        <w:jc w:val="both"/>
        <w:rPr>
          <w:szCs w:val="22"/>
          <w:lang w:val="en-US" w:eastAsia="en-US"/>
        </w:rPr>
      </w:pPr>
    </w:p>
    <w:p w14:paraId="3A32508D" w14:textId="37490C56" w:rsidR="00B549E0" w:rsidRDefault="00B549E0" w:rsidP="008364CE">
      <w:pPr>
        <w:jc w:val="both"/>
        <w:rPr>
          <w:szCs w:val="22"/>
          <w:lang w:val="en-US" w:eastAsia="en-US"/>
        </w:rPr>
      </w:pPr>
    </w:p>
    <w:p w14:paraId="086B144A" w14:textId="77777777" w:rsidR="00B549E0" w:rsidRPr="00881401" w:rsidRDefault="00B549E0" w:rsidP="008364CE">
      <w:pPr>
        <w:jc w:val="both"/>
        <w:rPr>
          <w:szCs w:val="22"/>
          <w:lang w:val="en-US" w:eastAsia="en-US"/>
        </w:rPr>
      </w:pPr>
    </w:p>
    <w:p w14:paraId="5399F7BB" w14:textId="2F1F3D0F" w:rsidR="000E7369" w:rsidRDefault="000E7369" w:rsidP="005942D3">
      <w:pPr>
        <w:jc w:val="both"/>
        <w:rPr>
          <w:szCs w:val="22"/>
        </w:rPr>
      </w:pPr>
    </w:p>
    <w:p w14:paraId="54C1A69C" w14:textId="77777777" w:rsidR="00A34515" w:rsidRDefault="00A34515" w:rsidP="005942D3">
      <w:pPr>
        <w:pStyle w:val="Heading3"/>
        <w:pBdr>
          <w:top w:val="single" w:sz="4" w:space="1" w:color="auto"/>
          <w:bottom w:val="single" w:sz="4" w:space="1" w:color="auto"/>
        </w:pBdr>
        <w:rPr>
          <w:b/>
          <w:u w:val="none"/>
        </w:rPr>
      </w:pPr>
      <w:bookmarkStart w:id="42" w:name="_Toc379536681"/>
      <w:bookmarkStart w:id="43" w:name="_Toc34057634"/>
      <w:r w:rsidRPr="005942D3">
        <w:rPr>
          <w:b/>
          <w:u w:val="none"/>
        </w:rPr>
        <w:lastRenderedPageBreak/>
        <w:t>FORWARD-LOOKING STATEMENTS</w:t>
      </w:r>
      <w:bookmarkEnd w:id="42"/>
      <w:bookmarkEnd w:id="43"/>
    </w:p>
    <w:p w14:paraId="24219B2C" w14:textId="77777777" w:rsidR="0061495C" w:rsidRPr="00283891" w:rsidRDefault="0061495C" w:rsidP="0061495C">
      <w:pPr>
        <w:autoSpaceDE w:val="0"/>
        <w:autoSpaceDN w:val="0"/>
        <w:adjustRightInd w:val="0"/>
        <w:jc w:val="both"/>
        <w:rPr>
          <w:b/>
          <w:color w:val="000000"/>
          <w:szCs w:val="22"/>
        </w:rPr>
      </w:pPr>
    </w:p>
    <w:p w14:paraId="384A9B0F" w14:textId="77777777" w:rsidR="0061495C" w:rsidRPr="005942D3" w:rsidRDefault="0061495C" w:rsidP="005942D3">
      <w:pPr>
        <w:jc w:val="both"/>
        <w:rPr>
          <w:szCs w:val="22"/>
        </w:rPr>
      </w:pPr>
      <w:r w:rsidRPr="005942D3">
        <w:rPr>
          <w:szCs w:val="22"/>
        </w:rPr>
        <w:t xml:space="preserve">This management discussion and analysis (“MD&amp;A”) contains certain forward-looking statements and information relating to the Company that are based on the beliefs of its management as well as assumptions made by and information currently available to the Company. When used in this document, the words "anticipate", "believe", "estimate", "expect" and similar expressions, as they relate to the Company or its management, are intended to identify forward-looking statements. This MD&amp;A contains forward-looking statements relating to, among other things, regulatory compliance, the sufficiency of current working capital and the estimated cost and availability of funding for the continued exploration and development of the Company’s exploration properties. Such statements reflect the current views of the Company with respect to future events and are subject to certain risks, </w:t>
      </w:r>
      <w:proofErr w:type="gramStart"/>
      <w:r w:rsidRPr="005942D3">
        <w:rPr>
          <w:szCs w:val="22"/>
        </w:rPr>
        <w:t>uncertainties</w:t>
      </w:r>
      <w:proofErr w:type="gramEnd"/>
      <w:r w:rsidRPr="005942D3">
        <w:rPr>
          <w:szCs w:val="22"/>
        </w:rPr>
        <w:t xml:space="preserve"> and assumptions. Many factors could cause the actual results, </w:t>
      </w:r>
      <w:proofErr w:type="gramStart"/>
      <w:r w:rsidRPr="005942D3">
        <w:rPr>
          <w:szCs w:val="22"/>
        </w:rPr>
        <w:t>performance</w:t>
      </w:r>
      <w:proofErr w:type="gramEnd"/>
      <w:r w:rsidRPr="005942D3">
        <w:rPr>
          <w:szCs w:val="22"/>
        </w:rPr>
        <w:t xml:space="preserve"> or achievements of the Company to be materially different from any future results, performance or achievements that may be expressed or implied by such forward-looking statements. </w:t>
      </w:r>
    </w:p>
    <w:p w14:paraId="212B7182" w14:textId="77777777" w:rsidR="002708CB" w:rsidRDefault="002708CB" w:rsidP="004A3A9A">
      <w:pPr>
        <w:autoSpaceDE w:val="0"/>
        <w:autoSpaceDN w:val="0"/>
        <w:adjustRightInd w:val="0"/>
        <w:jc w:val="both"/>
        <w:rPr>
          <w:b/>
          <w:bCs/>
          <w:color w:val="000000"/>
          <w:szCs w:val="22"/>
        </w:rPr>
      </w:pPr>
    </w:p>
    <w:p w14:paraId="1AAE40A6" w14:textId="77777777" w:rsidR="00655875" w:rsidRPr="005942D3" w:rsidRDefault="00655875" w:rsidP="005942D3">
      <w:pPr>
        <w:pStyle w:val="Heading3"/>
        <w:pBdr>
          <w:top w:val="single" w:sz="4" w:space="1" w:color="auto"/>
          <w:bottom w:val="single" w:sz="4" w:space="1" w:color="auto"/>
        </w:pBdr>
        <w:rPr>
          <w:b/>
          <w:u w:val="none"/>
        </w:rPr>
      </w:pPr>
      <w:bookmarkStart w:id="44" w:name="_Toc379536682"/>
      <w:bookmarkStart w:id="45" w:name="_Toc34057635"/>
      <w:r w:rsidRPr="005942D3">
        <w:rPr>
          <w:b/>
          <w:u w:val="none"/>
        </w:rPr>
        <w:t>APPROVAL</w:t>
      </w:r>
      <w:bookmarkEnd w:id="44"/>
      <w:bookmarkEnd w:id="45"/>
    </w:p>
    <w:p w14:paraId="29F2F187" w14:textId="77777777" w:rsidR="00655875" w:rsidRDefault="00655875" w:rsidP="004A3A9A">
      <w:pPr>
        <w:autoSpaceDE w:val="0"/>
        <w:autoSpaceDN w:val="0"/>
        <w:adjustRightInd w:val="0"/>
        <w:jc w:val="both"/>
        <w:rPr>
          <w:b/>
          <w:bCs/>
          <w:color w:val="000000"/>
          <w:szCs w:val="22"/>
        </w:rPr>
      </w:pPr>
    </w:p>
    <w:p w14:paraId="68289DFC" w14:textId="46A602AE" w:rsidR="000E2F08" w:rsidRPr="004966C3" w:rsidRDefault="000E2F08" w:rsidP="004A3A9A">
      <w:pPr>
        <w:jc w:val="both"/>
        <w:rPr>
          <w:szCs w:val="22"/>
        </w:rPr>
      </w:pPr>
      <w:r w:rsidRPr="004966C3">
        <w:rPr>
          <w:color w:val="000000"/>
          <w:szCs w:val="22"/>
        </w:rPr>
        <w:t xml:space="preserve">The Board of Directors of </w:t>
      </w:r>
      <w:r w:rsidR="007E54EB">
        <w:rPr>
          <w:color w:val="000000"/>
          <w:szCs w:val="22"/>
        </w:rPr>
        <w:t>Gre</w:t>
      </w:r>
      <w:r w:rsidR="003C2568">
        <w:rPr>
          <w:color w:val="000000"/>
          <w:szCs w:val="22"/>
        </w:rPr>
        <w:t>en River Gold Corp</w:t>
      </w:r>
      <w:r w:rsidR="007E54EB">
        <w:rPr>
          <w:color w:val="000000"/>
          <w:szCs w:val="22"/>
        </w:rPr>
        <w:t>.</w:t>
      </w:r>
      <w:r w:rsidRPr="004966C3">
        <w:rPr>
          <w:color w:val="000000"/>
          <w:szCs w:val="22"/>
        </w:rPr>
        <w:t xml:space="preserve"> has approved the disclosure contained in this </w:t>
      </w:r>
      <w:r w:rsidR="00F16826" w:rsidRPr="00471178">
        <w:rPr>
          <w:color w:val="000000"/>
          <w:szCs w:val="22"/>
        </w:rPr>
        <w:t>management discussion and analysis</w:t>
      </w:r>
      <w:r w:rsidR="004966C3" w:rsidRPr="00471178">
        <w:rPr>
          <w:color w:val="000000"/>
          <w:szCs w:val="22"/>
        </w:rPr>
        <w:t xml:space="preserve"> </w:t>
      </w:r>
      <w:r w:rsidR="004966C3" w:rsidRPr="00471178">
        <w:rPr>
          <w:szCs w:val="22"/>
        </w:rPr>
        <w:t xml:space="preserve">and is effective as of </w:t>
      </w:r>
      <w:r w:rsidR="005160C0">
        <w:rPr>
          <w:szCs w:val="22"/>
        </w:rPr>
        <w:t>August 31</w:t>
      </w:r>
      <w:r w:rsidR="00F23D7D">
        <w:rPr>
          <w:szCs w:val="22"/>
        </w:rPr>
        <w:t xml:space="preserve">, 2020. </w:t>
      </w:r>
    </w:p>
    <w:p w14:paraId="7941B37F" w14:textId="77777777" w:rsidR="000E2F08" w:rsidRPr="001E2DE0" w:rsidRDefault="000E2F08" w:rsidP="004A3A9A">
      <w:pPr>
        <w:autoSpaceDE w:val="0"/>
        <w:autoSpaceDN w:val="0"/>
        <w:adjustRightInd w:val="0"/>
        <w:jc w:val="both"/>
      </w:pPr>
    </w:p>
    <w:sectPr w:rsidR="000E2F08" w:rsidRPr="001E2DE0" w:rsidSect="00236372">
      <w:headerReference w:type="default" r:id="rId11"/>
      <w:footerReference w:type="even" r:id="rId12"/>
      <w:footerReference w:type="default" r:id="rId13"/>
      <w:pgSz w:w="12240" w:h="15840" w:code="1"/>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1BB31" w14:textId="77777777" w:rsidR="002C6401" w:rsidRDefault="002C6401">
      <w:r>
        <w:separator/>
      </w:r>
    </w:p>
  </w:endnote>
  <w:endnote w:type="continuationSeparator" w:id="0">
    <w:p w14:paraId="6982EF68" w14:textId="77777777" w:rsidR="002C6401" w:rsidRDefault="002C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31F3" w14:textId="77777777" w:rsidR="00610C4F" w:rsidRDefault="00610C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CC2DF97" w14:textId="77777777" w:rsidR="00610C4F" w:rsidRDefault="00610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B9B4" w14:textId="77777777" w:rsidR="00610C4F" w:rsidRDefault="00610C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B0AEB28" w14:textId="77777777" w:rsidR="00610C4F" w:rsidRDefault="00610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7B699" w14:textId="77777777" w:rsidR="002C6401" w:rsidRDefault="002C6401">
      <w:r>
        <w:separator/>
      </w:r>
    </w:p>
  </w:footnote>
  <w:footnote w:type="continuationSeparator" w:id="0">
    <w:p w14:paraId="5D6484D8" w14:textId="77777777" w:rsidR="002C6401" w:rsidRDefault="002C6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F4050" w14:textId="77777777" w:rsidR="00610C4F" w:rsidRPr="00191585" w:rsidRDefault="00610C4F">
    <w:pPr>
      <w:pStyle w:val="Header"/>
      <w:rPr>
        <w:b/>
        <w:szCs w:val="22"/>
      </w:rPr>
    </w:pPr>
    <w:r>
      <w:rPr>
        <w:b/>
        <w:szCs w:val="22"/>
      </w:rPr>
      <w:t xml:space="preserve">GREEN RIVER GOLD CORP. </w:t>
    </w:r>
  </w:p>
  <w:p w14:paraId="0D132BA9" w14:textId="77777777" w:rsidR="00610C4F" w:rsidRPr="00191585" w:rsidRDefault="00610C4F">
    <w:pPr>
      <w:pStyle w:val="Header"/>
      <w:rPr>
        <w:b/>
        <w:szCs w:val="22"/>
      </w:rPr>
    </w:pPr>
    <w:r w:rsidRPr="00191585">
      <w:rPr>
        <w:b/>
        <w:szCs w:val="22"/>
      </w:rPr>
      <w:t>MANAGEMENT DISCUSSION &amp; ANALYSIS OF FINANCIAL CONDITION</w:t>
    </w:r>
  </w:p>
  <w:p w14:paraId="337EA9C5" w14:textId="77777777" w:rsidR="00610C4F" w:rsidRPr="00191585" w:rsidRDefault="00610C4F">
    <w:pPr>
      <w:pStyle w:val="Header"/>
      <w:rPr>
        <w:b/>
        <w:szCs w:val="22"/>
      </w:rPr>
    </w:pPr>
    <w:r w:rsidRPr="00191585">
      <w:rPr>
        <w:b/>
        <w:szCs w:val="22"/>
      </w:rPr>
      <w:t>AND RESULTS OF OPERATIONS</w:t>
    </w:r>
  </w:p>
  <w:p w14:paraId="3D89ED15" w14:textId="0329EA8F" w:rsidR="00610C4F" w:rsidRPr="00236372" w:rsidRDefault="00610C4F">
    <w:pPr>
      <w:pStyle w:val="Header"/>
      <w:rPr>
        <w:b/>
        <w:szCs w:val="22"/>
      </w:rPr>
    </w:pPr>
    <w:r>
      <w:rPr>
        <w:b/>
        <w:szCs w:val="22"/>
      </w:rPr>
      <w:t>FORM 51-102F FOR THE THREE AND NINE MONTHS ENDED JUNE 30, 2020 AND 2019</w:t>
    </w:r>
  </w:p>
  <w:p w14:paraId="4768EE47" w14:textId="77777777" w:rsidR="00610C4F" w:rsidRPr="00064531" w:rsidRDefault="00610C4F">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450"/>
        </w:tabs>
      </w:pPr>
    </w:lvl>
  </w:abstractNum>
  <w:abstractNum w:abstractNumId="1" w15:restartNumberingAfterBreak="0">
    <w:nsid w:val="03336F9C"/>
    <w:multiLevelType w:val="hybridMultilevel"/>
    <w:tmpl w:val="F822B4AE"/>
    <w:lvl w:ilvl="0" w:tplc="F5D21CC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1164D0"/>
    <w:multiLevelType w:val="hybridMultilevel"/>
    <w:tmpl w:val="718C7548"/>
    <w:lvl w:ilvl="0" w:tplc="C888A76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CA399D"/>
    <w:multiLevelType w:val="hybridMultilevel"/>
    <w:tmpl w:val="8F3EAF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546AB9"/>
    <w:multiLevelType w:val="hybridMultilevel"/>
    <w:tmpl w:val="0DDCF49A"/>
    <w:lvl w:ilvl="0" w:tplc="F5D21CC4">
      <w:numFmt w:val="bullet"/>
      <w:lvlText w:val="•"/>
      <w:lvlJc w:val="left"/>
      <w:pPr>
        <w:ind w:left="600" w:hanging="360"/>
      </w:pPr>
      <w:rPr>
        <w:rFonts w:ascii="Arial" w:eastAsia="Times New Roman" w:hAnsi="Arial" w:cs="Arial" w:hint="default"/>
      </w:rPr>
    </w:lvl>
    <w:lvl w:ilvl="1" w:tplc="10090003" w:tentative="1">
      <w:start w:val="1"/>
      <w:numFmt w:val="bullet"/>
      <w:lvlText w:val="o"/>
      <w:lvlJc w:val="left"/>
      <w:pPr>
        <w:ind w:left="1320" w:hanging="360"/>
      </w:pPr>
      <w:rPr>
        <w:rFonts w:ascii="Courier New" w:hAnsi="Courier New" w:cs="Courier New" w:hint="default"/>
      </w:rPr>
    </w:lvl>
    <w:lvl w:ilvl="2" w:tplc="10090005" w:tentative="1">
      <w:start w:val="1"/>
      <w:numFmt w:val="bullet"/>
      <w:lvlText w:val=""/>
      <w:lvlJc w:val="left"/>
      <w:pPr>
        <w:ind w:left="2040" w:hanging="360"/>
      </w:pPr>
      <w:rPr>
        <w:rFonts w:ascii="Wingdings" w:hAnsi="Wingdings" w:hint="default"/>
      </w:rPr>
    </w:lvl>
    <w:lvl w:ilvl="3" w:tplc="10090001" w:tentative="1">
      <w:start w:val="1"/>
      <w:numFmt w:val="bullet"/>
      <w:lvlText w:val=""/>
      <w:lvlJc w:val="left"/>
      <w:pPr>
        <w:ind w:left="2760" w:hanging="360"/>
      </w:pPr>
      <w:rPr>
        <w:rFonts w:ascii="Symbol" w:hAnsi="Symbol" w:hint="default"/>
      </w:rPr>
    </w:lvl>
    <w:lvl w:ilvl="4" w:tplc="10090003" w:tentative="1">
      <w:start w:val="1"/>
      <w:numFmt w:val="bullet"/>
      <w:lvlText w:val="o"/>
      <w:lvlJc w:val="left"/>
      <w:pPr>
        <w:ind w:left="3480" w:hanging="360"/>
      </w:pPr>
      <w:rPr>
        <w:rFonts w:ascii="Courier New" w:hAnsi="Courier New" w:cs="Courier New" w:hint="default"/>
      </w:rPr>
    </w:lvl>
    <w:lvl w:ilvl="5" w:tplc="10090005" w:tentative="1">
      <w:start w:val="1"/>
      <w:numFmt w:val="bullet"/>
      <w:lvlText w:val=""/>
      <w:lvlJc w:val="left"/>
      <w:pPr>
        <w:ind w:left="4200" w:hanging="360"/>
      </w:pPr>
      <w:rPr>
        <w:rFonts w:ascii="Wingdings" w:hAnsi="Wingdings" w:hint="default"/>
      </w:rPr>
    </w:lvl>
    <w:lvl w:ilvl="6" w:tplc="10090001" w:tentative="1">
      <w:start w:val="1"/>
      <w:numFmt w:val="bullet"/>
      <w:lvlText w:val=""/>
      <w:lvlJc w:val="left"/>
      <w:pPr>
        <w:ind w:left="4920" w:hanging="360"/>
      </w:pPr>
      <w:rPr>
        <w:rFonts w:ascii="Symbol" w:hAnsi="Symbol" w:hint="default"/>
      </w:rPr>
    </w:lvl>
    <w:lvl w:ilvl="7" w:tplc="10090003" w:tentative="1">
      <w:start w:val="1"/>
      <w:numFmt w:val="bullet"/>
      <w:lvlText w:val="o"/>
      <w:lvlJc w:val="left"/>
      <w:pPr>
        <w:ind w:left="5640" w:hanging="360"/>
      </w:pPr>
      <w:rPr>
        <w:rFonts w:ascii="Courier New" w:hAnsi="Courier New" w:cs="Courier New" w:hint="default"/>
      </w:rPr>
    </w:lvl>
    <w:lvl w:ilvl="8" w:tplc="10090005" w:tentative="1">
      <w:start w:val="1"/>
      <w:numFmt w:val="bullet"/>
      <w:lvlText w:val=""/>
      <w:lvlJc w:val="left"/>
      <w:pPr>
        <w:ind w:left="6360" w:hanging="360"/>
      </w:pPr>
      <w:rPr>
        <w:rFonts w:ascii="Wingdings" w:hAnsi="Wingdings" w:hint="default"/>
      </w:rPr>
    </w:lvl>
  </w:abstractNum>
  <w:abstractNum w:abstractNumId="5" w15:restartNumberingAfterBreak="0">
    <w:nsid w:val="18646235"/>
    <w:multiLevelType w:val="singleLevel"/>
    <w:tmpl w:val="AB0206DA"/>
    <w:lvl w:ilvl="0">
      <w:start w:val="1"/>
      <w:numFmt w:val="decimal"/>
      <w:lvlText w:val="%1."/>
      <w:lvlJc w:val="left"/>
      <w:pPr>
        <w:tabs>
          <w:tab w:val="num" w:pos="720"/>
        </w:tabs>
        <w:ind w:left="720" w:hanging="720"/>
      </w:pPr>
      <w:rPr>
        <w:rFonts w:hint="default"/>
      </w:rPr>
    </w:lvl>
  </w:abstractNum>
  <w:abstractNum w:abstractNumId="6" w15:restartNumberingAfterBreak="0">
    <w:nsid w:val="236A5709"/>
    <w:multiLevelType w:val="hybridMultilevel"/>
    <w:tmpl w:val="91CE3824"/>
    <w:lvl w:ilvl="0" w:tplc="86EECB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B771DE"/>
    <w:multiLevelType w:val="hybridMultilevel"/>
    <w:tmpl w:val="1FAA41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200DD5"/>
    <w:multiLevelType w:val="hybridMultilevel"/>
    <w:tmpl w:val="E45A057C"/>
    <w:lvl w:ilvl="0" w:tplc="C21E6A20">
      <w:start w:val="1"/>
      <w:numFmt w:val="lowerLetter"/>
      <w:lvlText w:val="(%1)"/>
      <w:lvlJc w:val="left"/>
      <w:pPr>
        <w:tabs>
          <w:tab w:val="num" w:pos="1320"/>
        </w:tabs>
        <w:ind w:left="1320" w:hanging="720"/>
      </w:pPr>
      <w:rPr>
        <w:rFonts w:hint="default"/>
      </w:rPr>
    </w:lvl>
    <w:lvl w:ilvl="1" w:tplc="04090019">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9" w15:restartNumberingAfterBreak="0">
    <w:nsid w:val="37B31439"/>
    <w:multiLevelType w:val="hybridMultilevel"/>
    <w:tmpl w:val="34D05FF8"/>
    <w:lvl w:ilvl="0" w:tplc="267476F6">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10AC5"/>
    <w:multiLevelType w:val="hybridMultilevel"/>
    <w:tmpl w:val="021679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47030AD"/>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4BE71440"/>
    <w:multiLevelType w:val="hybridMultilevel"/>
    <w:tmpl w:val="7F30B216"/>
    <w:lvl w:ilvl="0" w:tplc="68FAB1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555B9B"/>
    <w:multiLevelType w:val="hybridMultilevel"/>
    <w:tmpl w:val="011A8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00523"/>
    <w:multiLevelType w:val="hybridMultilevel"/>
    <w:tmpl w:val="362EF63C"/>
    <w:lvl w:ilvl="0" w:tplc="8A10260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4F9A1D9F"/>
    <w:multiLevelType w:val="hybridMultilevel"/>
    <w:tmpl w:val="206C1294"/>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578D0B89"/>
    <w:multiLevelType w:val="singleLevel"/>
    <w:tmpl w:val="7E32A6B4"/>
    <w:lvl w:ilvl="0">
      <w:start w:val="1"/>
      <w:numFmt w:val="lowerLetter"/>
      <w:lvlText w:val="(%1)"/>
      <w:lvlJc w:val="left"/>
      <w:pPr>
        <w:tabs>
          <w:tab w:val="num" w:pos="900"/>
        </w:tabs>
        <w:ind w:left="900" w:hanging="450"/>
      </w:pPr>
      <w:rPr>
        <w:rFonts w:hint="default"/>
      </w:rPr>
    </w:lvl>
  </w:abstractNum>
  <w:abstractNum w:abstractNumId="17" w15:restartNumberingAfterBreak="0">
    <w:nsid w:val="5C5E4CA2"/>
    <w:multiLevelType w:val="multilevel"/>
    <w:tmpl w:val="73D2C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991870"/>
    <w:multiLevelType w:val="singleLevel"/>
    <w:tmpl w:val="467EB9CE"/>
    <w:lvl w:ilvl="0">
      <w:start w:val="1"/>
      <w:numFmt w:val="lowerLetter"/>
      <w:lvlText w:val="(%1)"/>
      <w:lvlJc w:val="left"/>
      <w:pPr>
        <w:tabs>
          <w:tab w:val="num" w:pos="900"/>
        </w:tabs>
        <w:ind w:left="900" w:hanging="450"/>
      </w:pPr>
      <w:rPr>
        <w:rFonts w:hint="default"/>
      </w:rPr>
    </w:lvl>
  </w:abstractNum>
  <w:abstractNum w:abstractNumId="19" w15:restartNumberingAfterBreak="0">
    <w:nsid w:val="5CFA225F"/>
    <w:multiLevelType w:val="hybridMultilevel"/>
    <w:tmpl w:val="B98A5208"/>
    <w:lvl w:ilvl="0" w:tplc="532AD216">
      <w:start w:val="1"/>
      <w:numFmt w:val="upperLetter"/>
      <w:lvlText w:val="%1."/>
      <w:lvlJc w:val="left"/>
      <w:pPr>
        <w:tabs>
          <w:tab w:val="num" w:pos="1260"/>
        </w:tabs>
        <w:ind w:left="1260" w:hanging="360"/>
      </w:pPr>
      <w:rPr>
        <w:rFonts w:hint="default"/>
      </w:rPr>
    </w:lvl>
    <w:lvl w:ilvl="1" w:tplc="3C32D0D0" w:tentative="1">
      <w:start w:val="1"/>
      <w:numFmt w:val="lowerLetter"/>
      <w:lvlText w:val="%2."/>
      <w:lvlJc w:val="left"/>
      <w:pPr>
        <w:tabs>
          <w:tab w:val="num" w:pos="1980"/>
        </w:tabs>
        <w:ind w:left="1980" w:hanging="360"/>
      </w:pPr>
    </w:lvl>
    <w:lvl w:ilvl="2" w:tplc="6DDE64D8" w:tentative="1">
      <w:start w:val="1"/>
      <w:numFmt w:val="lowerRoman"/>
      <w:lvlText w:val="%3."/>
      <w:lvlJc w:val="right"/>
      <w:pPr>
        <w:tabs>
          <w:tab w:val="num" w:pos="2700"/>
        </w:tabs>
        <w:ind w:left="2700" w:hanging="180"/>
      </w:pPr>
    </w:lvl>
    <w:lvl w:ilvl="3" w:tplc="252EABE0" w:tentative="1">
      <w:start w:val="1"/>
      <w:numFmt w:val="decimal"/>
      <w:lvlText w:val="%4."/>
      <w:lvlJc w:val="left"/>
      <w:pPr>
        <w:tabs>
          <w:tab w:val="num" w:pos="3420"/>
        </w:tabs>
        <w:ind w:left="3420" w:hanging="360"/>
      </w:pPr>
    </w:lvl>
    <w:lvl w:ilvl="4" w:tplc="45FAF5E6" w:tentative="1">
      <w:start w:val="1"/>
      <w:numFmt w:val="lowerLetter"/>
      <w:lvlText w:val="%5."/>
      <w:lvlJc w:val="left"/>
      <w:pPr>
        <w:tabs>
          <w:tab w:val="num" w:pos="4140"/>
        </w:tabs>
        <w:ind w:left="4140" w:hanging="360"/>
      </w:pPr>
    </w:lvl>
    <w:lvl w:ilvl="5" w:tplc="07CA2170" w:tentative="1">
      <w:start w:val="1"/>
      <w:numFmt w:val="lowerRoman"/>
      <w:lvlText w:val="%6."/>
      <w:lvlJc w:val="right"/>
      <w:pPr>
        <w:tabs>
          <w:tab w:val="num" w:pos="4860"/>
        </w:tabs>
        <w:ind w:left="4860" w:hanging="180"/>
      </w:pPr>
    </w:lvl>
    <w:lvl w:ilvl="6" w:tplc="0F161B10" w:tentative="1">
      <w:start w:val="1"/>
      <w:numFmt w:val="decimal"/>
      <w:lvlText w:val="%7."/>
      <w:lvlJc w:val="left"/>
      <w:pPr>
        <w:tabs>
          <w:tab w:val="num" w:pos="5580"/>
        </w:tabs>
        <w:ind w:left="5580" w:hanging="360"/>
      </w:pPr>
    </w:lvl>
    <w:lvl w:ilvl="7" w:tplc="785CCEFE" w:tentative="1">
      <w:start w:val="1"/>
      <w:numFmt w:val="lowerLetter"/>
      <w:lvlText w:val="%8."/>
      <w:lvlJc w:val="left"/>
      <w:pPr>
        <w:tabs>
          <w:tab w:val="num" w:pos="6300"/>
        </w:tabs>
        <w:ind w:left="6300" w:hanging="360"/>
      </w:pPr>
    </w:lvl>
    <w:lvl w:ilvl="8" w:tplc="8042FDBC" w:tentative="1">
      <w:start w:val="1"/>
      <w:numFmt w:val="lowerRoman"/>
      <w:lvlText w:val="%9."/>
      <w:lvlJc w:val="right"/>
      <w:pPr>
        <w:tabs>
          <w:tab w:val="num" w:pos="7020"/>
        </w:tabs>
        <w:ind w:left="7020" w:hanging="180"/>
      </w:pPr>
    </w:lvl>
  </w:abstractNum>
  <w:abstractNum w:abstractNumId="20" w15:restartNumberingAfterBreak="0">
    <w:nsid w:val="6DBD3706"/>
    <w:multiLevelType w:val="hybridMultilevel"/>
    <w:tmpl w:val="3A5E79F8"/>
    <w:lvl w:ilvl="0" w:tplc="A606B59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C54E96"/>
    <w:multiLevelType w:val="hybridMultilevel"/>
    <w:tmpl w:val="2C0EA2AA"/>
    <w:lvl w:ilvl="0" w:tplc="8CA05E8A">
      <w:start w:val="2"/>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115F9B"/>
    <w:multiLevelType w:val="hybridMultilevel"/>
    <w:tmpl w:val="E048E56E"/>
    <w:lvl w:ilvl="0" w:tplc="C352C5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2848C9"/>
    <w:multiLevelType w:val="hybridMultilevel"/>
    <w:tmpl w:val="F1E461DE"/>
    <w:lvl w:ilvl="0" w:tplc="04090001">
      <w:start w:val="1"/>
      <w:numFmt w:val="bullet"/>
      <w:lvlText w:val=""/>
      <w:lvlJc w:val="left"/>
      <w:pPr>
        <w:ind w:left="720" w:hanging="360"/>
      </w:pPr>
      <w:rPr>
        <w:rFonts w:ascii="Symbol" w:hAnsi="Symbol" w:hint="default"/>
      </w:rPr>
    </w:lvl>
    <w:lvl w:ilvl="1" w:tplc="5C3008C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9306F"/>
    <w:multiLevelType w:val="singleLevel"/>
    <w:tmpl w:val="9ECC72F6"/>
    <w:lvl w:ilvl="0">
      <w:start w:val="2"/>
      <w:numFmt w:val="lowerLetter"/>
      <w:lvlText w:val="(%1)"/>
      <w:lvlJc w:val="left"/>
      <w:pPr>
        <w:tabs>
          <w:tab w:val="num" w:pos="900"/>
        </w:tabs>
        <w:ind w:left="900" w:hanging="450"/>
      </w:pPr>
      <w:rPr>
        <w:rFonts w:hint="default"/>
      </w:rPr>
    </w:lvl>
  </w:abstractNum>
  <w:abstractNum w:abstractNumId="25" w15:restartNumberingAfterBreak="0">
    <w:nsid w:val="78174F3A"/>
    <w:multiLevelType w:val="singleLevel"/>
    <w:tmpl w:val="5BFA1226"/>
    <w:lvl w:ilvl="0">
      <w:start w:val="2"/>
      <w:numFmt w:val="lowerLetter"/>
      <w:lvlText w:val="(%1)"/>
      <w:lvlJc w:val="left"/>
      <w:pPr>
        <w:tabs>
          <w:tab w:val="num" w:pos="900"/>
        </w:tabs>
        <w:ind w:left="900" w:hanging="465"/>
      </w:pPr>
      <w:rPr>
        <w:rFonts w:hint="default"/>
      </w:rPr>
    </w:lvl>
  </w:abstractNum>
  <w:abstractNum w:abstractNumId="26" w15:restartNumberingAfterBreak="0">
    <w:nsid w:val="78D72F1A"/>
    <w:multiLevelType w:val="multilevel"/>
    <w:tmpl w:val="1946118A"/>
    <w:lvl w:ilvl="0">
      <w:start w:val="1"/>
      <w:numFmt w:val="decimal"/>
      <w:pStyle w:val="ParagraphHeading"/>
      <w:lvlText w:val="%1."/>
      <w:lvlJc w:val="left"/>
      <w:pPr>
        <w:tabs>
          <w:tab w:val="num" w:pos="720"/>
        </w:tabs>
        <w:ind w:left="720" w:hanging="720"/>
      </w:pPr>
      <w:rPr>
        <w:rFonts w:ascii="Arial" w:hAnsi="Arial" w:hint="default"/>
        <w:b/>
        <w:i w:val="0"/>
        <w:sz w:val="24"/>
      </w:rPr>
    </w:lvl>
    <w:lvl w:ilvl="1">
      <w:start w:val="1"/>
      <w:numFmt w:val="lowerLetter"/>
      <w:pStyle w:val="Subparagraphwnumber"/>
      <w:lvlText w:val="(%2)"/>
      <w:lvlJc w:val="left"/>
      <w:pPr>
        <w:tabs>
          <w:tab w:val="num" w:pos="1350"/>
        </w:tabs>
        <w:ind w:left="1350" w:hanging="720"/>
      </w:pPr>
      <w:rPr>
        <w:rFonts w:ascii="Times New Roman" w:hAnsi="Times New Roman" w:cs="Times New Roman" w:hint="default"/>
        <w:b w:val="0"/>
        <w:i w:val="0"/>
        <w:sz w:val="22"/>
        <w:szCs w:val="22"/>
      </w:rPr>
    </w:lvl>
    <w:lvl w:ilvl="2">
      <w:start w:val="1"/>
      <w:numFmt w:val="lowerRoman"/>
      <w:lvlRestart w:val="0"/>
      <w:pStyle w:val="Sub-subparagraph"/>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5"/>
  </w:num>
  <w:num w:numId="3">
    <w:abstractNumId w:val="0"/>
    <w:lvlOverride w:ilvl="0">
      <w:startOverride w:val="1"/>
      <w:lvl w:ilvl="0">
        <w:start w:val="1"/>
        <w:numFmt w:val="decimal"/>
        <w:pStyle w:val="Quick1"/>
        <w:lvlText w:val="%1."/>
        <w:lvlJc w:val="left"/>
      </w:lvl>
    </w:lvlOverride>
  </w:num>
  <w:num w:numId="4">
    <w:abstractNumId w:val="24"/>
  </w:num>
  <w:num w:numId="5">
    <w:abstractNumId w:val="16"/>
  </w:num>
  <w:num w:numId="6">
    <w:abstractNumId w:val="18"/>
  </w:num>
  <w:num w:numId="7">
    <w:abstractNumId w:val="25"/>
  </w:num>
  <w:num w:numId="8">
    <w:abstractNumId w:val="0"/>
    <w:lvlOverride w:ilvl="0">
      <w:startOverride w:val="1"/>
      <w:lvl w:ilvl="0">
        <w:start w:val="1"/>
        <w:numFmt w:val="decimal"/>
        <w:pStyle w:val="Quick1"/>
        <w:lvlText w:val="%1."/>
        <w:lvlJc w:val="left"/>
      </w:lvl>
    </w:lvlOverride>
  </w:num>
  <w:num w:numId="9">
    <w:abstractNumId w:val="19"/>
  </w:num>
  <w:num w:numId="10">
    <w:abstractNumId w:val="14"/>
  </w:num>
  <w:num w:numId="11">
    <w:abstractNumId w:val="9"/>
  </w:num>
  <w:num w:numId="12">
    <w:abstractNumId w:val="22"/>
  </w:num>
  <w:num w:numId="13">
    <w:abstractNumId w:val="7"/>
  </w:num>
  <w:num w:numId="14">
    <w:abstractNumId w:val="3"/>
  </w:num>
  <w:num w:numId="15">
    <w:abstractNumId w:val="2"/>
  </w:num>
  <w:num w:numId="16">
    <w:abstractNumId w:val="12"/>
  </w:num>
  <w:num w:numId="17">
    <w:abstractNumId w:val="21"/>
  </w:num>
  <w:num w:numId="18">
    <w:abstractNumId w:val="20"/>
  </w:num>
  <w:num w:numId="19">
    <w:abstractNumId w:val="26"/>
  </w:num>
  <w:num w:numId="20">
    <w:abstractNumId w:val="17"/>
  </w:num>
  <w:num w:numId="21">
    <w:abstractNumId w:val="15"/>
  </w:num>
  <w:num w:numId="22">
    <w:abstractNumId w:val="6"/>
  </w:num>
  <w:num w:numId="23">
    <w:abstractNumId w:val="8"/>
  </w:num>
  <w:num w:numId="24">
    <w:abstractNumId w:val="13"/>
  </w:num>
  <w:num w:numId="25">
    <w:abstractNumId w:val="23"/>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97"/>
    <w:rsid w:val="00000B09"/>
    <w:rsid w:val="00000D74"/>
    <w:rsid w:val="000037B0"/>
    <w:rsid w:val="00003F59"/>
    <w:rsid w:val="000045C3"/>
    <w:rsid w:val="00005347"/>
    <w:rsid w:val="000104A2"/>
    <w:rsid w:val="000113C2"/>
    <w:rsid w:val="000115F2"/>
    <w:rsid w:val="00013EF3"/>
    <w:rsid w:val="0002276C"/>
    <w:rsid w:val="00022A2A"/>
    <w:rsid w:val="00022A37"/>
    <w:rsid w:val="00024CD2"/>
    <w:rsid w:val="000258B9"/>
    <w:rsid w:val="00026D7B"/>
    <w:rsid w:val="000271AB"/>
    <w:rsid w:val="0003067E"/>
    <w:rsid w:val="000328EA"/>
    <w:rsid w:val="00032D4E"/>
    <w:rsid w:val="00033261"/>
    <w:rsid w:val="00034B95"/>
    <w:rsid w:val="0003717E"/>
    <w:rsid w:val="0004094C"/>
    <w:rsid w:val="00043935"/>
    <w:rsid w:val="00045263"/>
    <w:rsid w:val="000457AA"/>
    <w:rsid w:val="00045B37"/>
    <w:rsid w:val="0004631C"/>
    <w:rsid w:val="000478B1"/>
    <w:rsid w:val="00050043"/>
    <w:rsid w:val="00050A9E"/>
    <w:rsid w:val="00050C86"/>
    <w:rsid w:val="000513DC"/>
    <w:rsid w:val="0005610D"/>
    <w:rsid w:val="00060CA8"/>
    <w:rsid w:val="0006221C"/>
    <w:rsid w:val="00064531"/>
    <w:rsid w:val="00072C7C"/>
    <w:rsid w:val="000745AB"/>
    <w:rsid w:val="00074E86"/>
    <w:rsid w:val="000766F6"/>
    <w:rsid w:val="00077DBD"/>
    <w:rsid w:val="00080B1D"/>
    <w:rsid w:val="00083AFA"/>
    <w:rsid w:val="00083FD6"/>
    <w:rsid w:val="00085102"/>
    <w:rsid w:val="000853B1"/>
    <w:rsid w:val="000915C2"/>
    <w:rsid w:val="00093815"/>
    <w:rsid w:val="00094696"/>
    <w:rsid w:val="00095907"/>
    <w:rsid w:val="000A381F"/>
    <w:rsid w:val="000A3957"/>
    <w:rsid w:val="000A4193"/>
    <w:rsid w:val="000A6DD5"/>
    <w:rsid w:val="000A7947"/>
    <w:rsid w:val="000B0FD3"/>
    <w:rsid w:val="000B23AC"/>
    <w:rsid w:val="000B2D7F"/>
    <w:rsid w:val="000B3A61"/>
    <w:rsid w:val="000B54C7"/>
    <w:rsid w:val="000B72FB"/>
    <w:rsid w:val="000B74A7"/>
    <w:rsid w:val="000B76DA"/>
    <w:rsid w:val="000C1D12"/>
    <w:rsid w:val="000C2A28"/>
    <w:rsid w:val="000C33AA"/>
    <w:rsid w:val="000C4391"/>
    <w:rsid w:val="000C43EB"/>
    <w:rsid w:val="000C46CD"/>
    <w:rsid w:val="000C4F8C"/>
    <w:rsid w:val="000C584E"/>
    <w:rsid w:val="000C58D4"/>
    <w:rsid w:val="000C739A"/>
    <w:rsid w:val="000D1664"/>
    <w:rsid w:val="000D555D"/>
    <w:rsid w:val="000D5DBC"/>
    <w:rsid w:val="000D5F4A"/>
    <w:rsid w:val="000D61F7"/>
    <w:rsid w:val="000E0FC7"/>
    <w:rsid w:val="000E1C94"/>
    <w:rsid w:val="000E2F08"/>
    <w:rsid w:val="000E4DC1"/>
    <w:rsid w:val="000E71FB"/>
    <w:rsid w:val="000E7369"/>
    <w:rsid w:val="000F0F51"/>
    <w:rsid w:val="000F4ED3"/>
    <w:rsid w:val="000F5280"/>
    <w:rsid w:val="001000F2"/>
    <w:rsid w:val="001027E9"/>
    <w:rsid w:val="00102B7C"/>
    <w:rsid w:val="00103268"/>
    <w:rsid w:val="00103935"/>
    <w:rsid w:val="001053E2"/>
    <w:rsid w:val="001106B8"/>
    <w:rsid w:val="001107B1"/>
    <w:rsid w:val="001124F8"/>
    <w:rsid w:val="001126C6"/>
    <w:rsid w:val="00120271"/>
    <w:rsid w:val="001327CC"/>
    <w:rsid w:val="00134F83"/>
    <w:rsid w:val="00136191"/>
    <w:rsid w:val="001368F2"/>
    <w:rsid w:val="00140B7B"/>
    <w:rsid w:val="00140C81"/>
    <w:rsid w:val="00141286"/>
    <w:rsid w:val="00141C3C"/>
    <w:rsid w:val="00142209"/>
    <w:rsid w:val="00142321"/>
    <w:rsid w:val="00144206"/>
    <w:rsid w:val="00144FFF"/>
    <w:rsid w:val="001457CC"/>
    <w:rsid w:val="00145B1A"/>
    <w:rsid w:val="00146536"/>
    <w:rsid w:val="00147088"/>
    <w:rsid w:val="001508B8"/>
    <w:rsid w:val="001524D4"/>
    <w:rsid w:val="001528FE"/>
    <w:rsid w:val="00155055"/>
    <w:rsid w:val="001552F7"/>
    <w:rsid w:val="00160E52"/>
    <w:rsid w:val="00162F59"/>
    <w:rsid w:val="00163958"/>
    <w:rsid w:val="00165623"/>
    <w:rsid w:val="001676E7"/>
    <w:rsid w:val="0017025A"/>
    <w:rsid w:val="0017038A"/>
    <w:rsid w:val="0017146D"/>
    <w:rsid w:val="00173AD9"/>
    <w:rsid w:val="001776A9"/>
    <w:rsid w:val="001805BF"/>
    <w:rsid w:val="00180B9D"/>
    <w:rsid w:val="00181C72"/>
    <w:rsid w:val="00181D74"/>
    <w:rsid w:val="00187BA2"/>
    <w:rsid w:val="0019037D"/>
    <w:rsid w:val="00191176"/>
    <w:rsid w:val="0019148F"/>
    <w:rsid w:val="00191585"/>
    <w:rsid w:val="00191EE4"/>
    <w:rsid w:val="001954CA"/>
    <w:rsid w:val="00195B27"/>
    <w:rsid w:val="001A3224"/>
    <w:rsid w:val="001A4389"/>
    <w:rsid w:val="001A54FC"/>
    <w:rsid w:val="001A62E1"/>
    <w:rsid w:val="001B0524"/>
    <w:rsid w:val="001B0E32"/>
    <w:rsid w:val="001B0E6C"/>
    <w:rsid w:val="001B424E"/>
    <w:rsid w:val="001B58D3"/>
    <w:rsid w:val="001B5A9F"/>
    <w:rsid w:val="001B6F8C"/>
    <w:rsid w:val="001C0E60"/>
    <w:rsid w:val="001C2F3A"/>
    <w:rsid w:val="001C4514"/>
    <w:rsid w:val="001D1A34"/>
    <w:rsid w:val="001D2880"/>
    <w:rsid w:val="001D35BD"/>
    <w:rsid w:val="001D7912"/>
    <w:rsid w:val="001E2052"/>
    <w:rsid w:val="001E2B41"/>
    <w:rsid w:val="001E2DE0"/>
    <w:rsid w:val="001E3F20"/>
    <w:rsid w:val="001E461E"/>
    <w:rsid w:val="001E6496"/>
    <w:rsid w:val="001F2F8D"/>
    <w:rsid w:val="001F3CCD"/>
    <w:rsid w:val="001F4832"/>
    <w:rsid w:val="001F4FB2"/>
    <w:rsid w:val="00201AFD"/>
    <w:rsid w:val="0020295C"/>
    <w:rsid w:val="00203405"/>
    <w:rsid w:val="00203C74"/>
    <w:rsid w:val="00205E52"/>
    <w:rsid w:val="0021144A"/>
    <w:rsid w:val="00211511"/>
    <w:rsid w:val="002116A5"/>
    <w:rsid w:val="00213C43"/>
    <w:rsid w:val="00214C70"/>
    <w:rsid w:val="00215632"/>
    <w:rsid w:val="002159B3"/>
    <w:rsid w:val="002168BC"/>
    <w:rsid w:val="00217103"/>
    <w:rsid w:val="00221BC9"/>
    <w:rsid w:val="00221D0B"/>
    <w:rsid w:val="0022214E"/>
    <w:rsid w:val="0022656F"/>
    <w:rsid w:val="00231A9A"/>
    <w:rsid w:val="0023456D"/>
    <w:rsid w:val="00236144"/>
    <w:rsid w:val="00236201"/>
    <w:rsid w:val="00236372"/>
    <w:rsid w:val="00237D84"/>
    <w:rsid w:val="00240F71"/>
    <w:rsid w:val="002423A1"/>
    <w:rsid w:val="00243B73"/>
    <w:rsid w:val="002452FB"/>
    <w:rsid w:val="00246EDE"/>
    <w:rsid w:val="00252900"/>
    <w:rsid w:val="00252C89"/>
    <w:rsid w:val="00254DE8"/>
    <w:rsid w:val="002552FA"/>
    <w:rsid w:val="0025694B"/>
    <w:rsid w:val="00263382"/>
    <w:rsid w:val="0026723F"/>
    <w:rsid w:val="00267759"/>
    <w:rsid w:val="002708CB"/>
    <w:rsid w:val="00271A77"/>
    <w:rsid w:val="00272883"/>
    <w:rsid w:val="00274189"/>
    <w:rsid w:val="00275074"/>
    <w:rsid w:val="00280AC3"/>
    <w:rsid w:val="00281C97"/>
    <w:rsid w:val="002821F6"/>
    <w:rsid w:val="0028360D"/>
    <w:rsid w:val="00285FAA"/>
    <w:rsid w:val="00286FA7"/>
    <w:rsid w:val="00287D17"/>
    <w:rsid w:val="00287F04"/>
    <w:rsid w:val="0029098D"/>
    <w:rsid w:val="00294A26"/>
    <w:rsid w:val="00296458"/>
    <w:rsid w:val="00296F58"/>
    <w:rsid w:val="002A0166"/>
    <w:rsid w:val="002A1537"/>
    <w:rsid w:val="002A2136"/>
    <w:rsid w:val="002A4EE0"/>
    <w:rsid w:val="002A5CB6"/>
    <w:rsid w:val="002B1433"/>
    <w:rsid w:val="002B2C99"/>
    <w:rsid w:val="002B3901"/>
    <w:rsid w:val="002B57F4"/>
    <w:rsid w:val="002B5FFE"/>
    <w:rsid w:val="002B6FAF"/>
    <w:rsid w:val="002B724B"/>
    <w:rsid w:val="002C14B6"/>
    <w:rsid w:val="002C22FC"/>
    <w:rsid w:val="002C24EF"/>
    <w:rsid w:val="002C2BB0"/>
    <w:rsid w:val="002C30D2"/>
    <w:rsid w:val="002C35EC"/>
    <w:rsid w:val="002C433B"/>
    <w:rsid w:val="002C4AD6"/>
    <w:rsid w:val="002C5465"/>
    <w:rsid w:val="002C6401"/>
    <w:rsid w:val="002C66D7"/>
    <w:rsid w:val="002D04D4"/>
    <w:rsid w:val="002D1FB4"/>
    <w:rsid w:val="002D2CDB"/>
    <w:rsid w:val="002D4318"/>
    <w:rsid w:val="002D5439"/>
    <w:rsid w:val="002E008A"/>
    <w:rsid w:val="002E0E09"/>
    <w:rsid w:val="002E2C6D"/>
    <w:rsid w:val="002E2D6A"/>
    <w:rsid w:val="002E4227"/>
    <w:rsid w:val="002E60B0"/>
    <w:rsid w:val="002E6A7F"/>
    <w:rsid w:val="002E7BDA"/>
    <w:rsid w:val="002F011D"/>
    <w:rsid w:val="002F074E"/>
    <w:rsid w:val="002F14D8"/>
    <w:rsid w:val="002F3124"/>
    <w:rsid w:val="002F619F"/>
    <w:rsid w:val="003014CA"/>
    <w:rsid w:val="00302BCA"/>
    <w:rsid w:val="0030498B"/>
    <w:rsid w:val="00304A72"/>
    <w:rsid w:val="00305C05"/>
    <w:rsid w:val="00307A61"/>
    <w:rsid w:val="00307B33"/>
    <w:rsid w:val="00312207"/>
    <w:rsid w:val="0031306E"/>
    <w:rsid w:val="00314AFB"/>
    <w:rsid w:val="003153BF"/>
    <w:rsid w:val="00316882"/>
    <w:rsid w:val="00317AB9"/>
    <w:rsid w:val="00321275"/>
    <w:rsid w:val="0032182D"/>
    <w:rsid w:val="00322C83"/>
    <w:rsid w:val="0032361C"/>
    <w:rsid w:val="00323FA1"/>
    <w:rsid w:val="0032466D"/>
    <w:rsid w:val="00325E0A"/>
    <w:rsid w:val="003260A6"/>
    <w:rsid w:val="00327A92"/>
    <w:rsid w:val="00330A86"/>
    <w:rsid w:val="003312EE"/>
    <w:rsid w:val="00331EA4"/>
    <w:rsid w:val="00335EFE"/>
    <w:rsid w:val="00337E70"/>
    <w:rsid w:val="0034142A"/>
    <w:rsid w:val="00341D06"/>
    <w:rsid w:val="00342806"/>
    <w:rsid w:val="00344301"/>
    <w:rsid w:val="00345C2B"/>
    <w:rsid w:val="00350375"/>
    <w:rsid w:val="00350586"/>
    <w:rsid w:val="00351A2F"/>
    <w:rsid w:val="00351CCF"/>
    <w:rsid w:val="00351EA3"/>
    <w:rsid w:val="0035278E"/>
    <w:rsid w:val="00354686"/>
    <w:rsid w:val="00354C73"/>
    <w:rsid w:val="00355323"/>
    <w:rsid w:val="003557F9"/>
    <w:rsid w:val="0035626E"/>
    <w:rsid w:val="003605FD"/>
    <w:rsid w:val="00361CE8"/>
    <w:rsid w:val="003648D5"/>
    <w:rsid w:val="00364E2D"/>
    <w:rsid w:val="00364FE5"/>
    <w:rsid w:val="00365CF4"/>
    <w:rsid w:val="00367D3C"/>
    <w:rsid w:val="00372981"/>
    <w:rsid w:val="003739B3"/>
    <w:rsid w:val="00374D09"/>
    <w:rsid w:val="003770DA"/>
    <w:rsid w:val="00382289"/>
    <w:rsid w:val="003836BC"/>
    <w:rsid w:val="0038376A"/>
    <w:rsid w:val="00383F61"/>
    <w:rsid w:val="003844B6"/>
    <w:rsid w:val="00384EEF"/>
    <w:rsid w:val="003854A7"/>
    <w:rsid w:val="00386B6A"/>
    <w:rsid w:val="003873D0"/>
    <w:rsid w:val="00391CB5"/>
    <w:rsid w:val="003942BB"/>
    <w:rsid w:val="0039615A"/>
    <w:rsid w:val="003A0C4F"/>
    <w:rsid w:val="003A24D8"/>
    <w:rsid w:val="003A3BD3"/>
    <w:rsid w:val="003B15C6"/>
    <w:rsid w:val="003B1920"/>
    <w:rsid w:val="003B2EBB"/>
    <w:rsid w:val="003B3DA2"/>
    <w:rsid w:val="003B5AA5"/>
    <w:rsid w:val="003B5EDD"/>
    <w:rsid w:val="003B6A82"/>
    <w:rsid w:val="003C0D94"/>
    <w:rsid w:val="003C2568"/>
    <w:rsid w:val="003C55C4"/>
    <w:rsid w:val="003D04C9"/>
    <w:rsid w:val="003D0BC1"/>
    <w:rsid w:val="003D16C2"/>
    <w:rsid w:val="003D4075"/>
    <w:rsid w:val="003D7B5F"/>
    <w:rsid w:val="003E033B"/>
    <w:rsid w:val="003E164E"/>
    <w:rsid w:val="003E5F79"/>
    <w:rsid w:val="003E7299"/>
    <w:rsid w:val="003F14FD"/>
    <w:rsid w:val="003F1B78"/>
    <w:rsid w:val="003F442A"/>
    <w:rsid w:val="003F4A70"/>
    <w:rsid w:val="003F5F53"/>
    <w:rsid w:val="00400862"/>
    <w:rsid w:val="00400A37"/>
    <w:rsid w:val="00402F79"/>
    <w:rsid w:val="00403BC2"/>
    <w:rsid w:val="00405DDC"/>
    <w:rsid w:val="004116A7"/>
    <w:rsid w:val="004147FD"/>
    <w:rsid w:val="004152FE"/>
    <w:rsid w:val="00415F7A"/>
    <w:rsid w:val="00416A2C"/>
    <w:rsid w:val="00416E10"/>
    <w:rsid w:val="004206AD"/>
    <w:rsid w:val="004213FF"/>
    <w:rsid w:val="00421630"/>
    <w:rsid w:val="00423B09"/>
    <w:rsid w:val="00423F3A"/>
    <w:rsid w:val="0042416C"/>
    <w:rsid w:val="004243EC"/>
    <w:rsid w:val="004246D4"/>
    <w:rsid w:val="00425A23"/>
    <w:rsid w:val="00425C62"/>
    <w:rsid w:val="00425DEC"/>
    <w:rsid w:val="00426848"/>
    <w:rsid w:val="004277B5"/>
    <w:rsid w:val="00430DB1"/>
    <w:rsid w:val="004337A6"/>
    <w:rsid w:val="00434427"/>
    <w:rsid w:val="00434985"/>
    <w:rsid w:val="004408D3"/>
    <w:rsid w:val="00442784"/>
    <w:rsid w:val="00442C50"/>
    <w:rsid w:val="00445054"/>
    <w:rsid w:val="004519B4"/>
    <w:rsid w:val="004521DA"/>
    <w:rsid w:val="00452F02"/>
    <w:rsid w:val="004532F8"/>
    <w:rsid w:val="00453DEC"/>
    <w:rsid w:val="00454A96"/>
    <w:rsid w:val="00455360"/>
    <w:rsid w:val="004572C3"/>
    <w:rsid w:val="004577F8"/>
    <w:rsid w:val="00462F05"/>
    <w:rsid w:val="00463B7B"/>
    <w:rsid w:val="0046567E"/>
    <w:rsid w:val="00467230"/>
    <w:rsid w:val="00471178"/>
    <w:rsid w:val="00471DA3"/>
    <w:rsid w:val="0047203E"/>
    <w:rsid w:val="00472616"/>
    <w:rsid w:val="00473917"/>
    <w:rsid w:val="00474930"/>
    <w:rsid w:val="00474CCE"/>
    <w:rsid w:val="004778BE"/>
    <w:rsid w:val="004779C1"/>
    <w:rsid w:val="004779F4"/>
    <w:rsid w:val="0048205F"/>
    <w:rsid w:val="00482344"/>
    <w:rsid w:val="00482AFE"/>
    <w:rsid w:val="00483D96"/>
    <w:rsid w:val="004848A4"/>
    <w:rsid w:val="00484B89"/>
    <w:rsid w:val="004857AB"/>
    <w:rsid w:val="00491058"/>
    <w:rsid w:val="0049136B"/>
    <w:rsid w:val="00491874"/>
    <w:rsid w:val="0049423B"/>
    <w:rsid w:val="004966C3"/>
    <w:rsid w:val="00496A1A"/>
    <w:rsid w:val="004A3A9A"/>
    <w:rsid w:val="004A610A"/>
    <w:rsid w:val="004A7CC9"/>
    <w:rsid w:val="004A7EED"/>
    <w:rsid w:val="004B12C8"/>
    <w:rsid w:val="004B2433"/>
    <w:rsid w:val="004B362A"/>
    <w:rsid w:val="004B3A23"/>
    <w:rsid w:val="004B3DF9"/>
    <w:rsid w:val="004B4194"/>
    <w:rsid w:val="004B42A0"/>
    <w:rsid w:val="004C15AB"/>
    <w:rsid w:val="004C263D"/>
    <w:rsid w:val="004C3395"/>
    <w:rsid w:val="004C5032"/>
    <w:rsid w:val="004C6A66"/>
    <w:rsid w:val="004C6D22"/>
    <w:rsid w:val="004C7A4D"/>
    <w:rsid w:val="004D1AA8"/>
    <w:rsid w:val="004D37FD"/>
    <w:rsid w:val="004D3D05"/>
    <w:rsid w:val="004E05CF"/>
    <w:rsid w:val="004E338D"/>
    <w:rsid w:val="004E46A4"/>
    <w:rsid w:val="004E57AD"/>
    <w:rsid w:val="004E7949"/>
    <w:rsid w:val="004F053D"/>
    <w:rsid w:val="004F36A0"/>
    <w:rsid w:val="004F4737"/>
    <w:rsid w:val="004F4888"/>
    <w:rsid w:val="004F5ACD"/>
    <w:rsid w:val="004F5C3F"/>
    <w:rsid w:val="004F5D70"/>
    <w:rsid w:val="004F621A"/>
    <w:rsid w:val="004F6B47"/>
    <w:rsid w:val="00503176"/>
    <w:rsid w:val="005044C2"/>
    <w:rsid w:val="00506F95"/>
    <w:rsid w:val="0050760C"/>
    <w:rsid w:val="00507CF1"/>
    <w:rsid w:val="00510037"/>
    <w:rsid w:val="00510EBD"/>
    <w:rsid w:val="00510F11"/>
    <w:rsid w:val="0051215E"/>
    <w:rsid w:val="005122C7"/>
    <w:rsid w:val="005160C0"/>
    <w:rsid w:val="00520E43"/>
    <w:rsid w:val="00523076"/>
    <w:rsid w:val="00526D5F"/>
    <w:rsid w:val="00527DFD"/>
    <w:rsid w:val="00530031"/>
    <w:rsid w:val="00532D7E"/>
    <w:rsid w:val="00534B11"/>
    <w:rsid w:val="00537108"/>
    <w:rsid w:val="005371EC"/>
    <w:rsid w:val="00537B93"/>
    <w:rsid w:val="005403BD"/>
    <w:rsid w:val="00540ED7"/>
    <w:rsid w:val="00541269"/>
    <w:rsid w:val="00541FFF"/>
    <w:rsid w:val="00542CDC"/>
    <w:rsid w:val="005444A2"/>
    <w:rsid w:val="005507A1"/>
    <w:rsid w:val="00554B7D"/>
    <w:rsid w:val="00556986"/>
    <w:rsid w:val="00564DAA"/>
    <w:rsid w:val="0056533F"/>
    <w:rsid w:val="005653A8"/>
    <w:rsid w:val="00572E00"/>
    <w:rsid w:val="00574A40"/>
    <w:rsid w:val="00574B9E"/>
    <w:rsid w:val="005756D4"/>
    <w:rsid w:val="00576FD5"/>
    <w:rsid w:val="00580587"/>
    <w:rsid w:val="00580678"/>
    <w:rsid w:val="00582A42"/>
    <w:rsid w:val="00584AE6"/>
    <w:rsid w:val="00586985"/>
    <w:rsid w:val="0058707F"/>
    <w:rsid w:val="00590CC2"/>
    <w:rsid w:val="0059232F"/>
    <w:rsid w:val="0059244B"/>
    <w:rsid w:val="00593EBC"/>
    <w:rsid w:val="00593FFF"/>
    <w:rsid w:val="005942D3"/>
    <w:rsid w:val="00597039"/>
    <w:rsid w:val="005A01BC"/>
    <w:rsid w:val="005A123E"/>
    <w:rsid w:val="005A2C35"/>
    <w:rsid w:val="005A2C5D"/>
    <w:rsid w:val="005A35B6"/>
    <w:rsid w:val="005A3ACF"/>
    <w:rsid w:val="005A5637"/>
    <w:rsid w:val="005B16C3"/>
    <w:rsid w:val="005B4292"/>
    <w:rsid w:val="005B47C4"/>
    <w:rsid w:val="005B49E1"/>
    <w:rsid w:val="005B51C1"/>
    <w:rsid w:val="005B539C"/>
    <w:rsid w:val="005B5C71"/>
    <w:rsid w:val="005B6D47"/>
    <w:rsid w:val="005B7DA9"/>
    <w:rsid w:val="005C12EF"/>
    <w:rsid w:val="005C2036"/>
    <w:rsid w:val="005C2060"/>
    <w:rsid w:val="005C5D04"/>
    <w:rsid w:val="005D0488"/>
    <w:rsid w:val="005D05FB"/>
    <w:rsid w:val="005D0822"/>
    <w:rsid w:val="005D387F"/>
    <w:rsid w:val="005D5F28"/>
    <w:rsid w:val="005D627B"/>
    <w:rsid w:val="005E0408"/>
    <w:rsid w:val="005E2641"/>
    <w:rsid w:val="005E4B07"/>
    <w:rsid w:val="005E73F3"/>
    <w:rsid w:val="005E7931"/>
    <w:rsid w:val="005F1C92"/>
    <w:rsid w:val="005F7406"/>
    <w:rsid w:val="0060093B"/>
    <w:rsid w:val="00601483"/>
    <w:rsid w:val="00604FFF"/>
    <w:rsid w:val="0060572B"/>
    <w:rsid w:val="00610C4F"/>
    <w:rsid w:val="0061495C"/>
    <w:rsid w:val="00614B77"/>
    <w:rsid w:val="00616682"/>
    <w:rsid w:val="00617F5B"/>
    <w:rsid w:val="00620E10"/>
    <w:rsid w:val="0062189F"/>
    <w:rsid w:val="00624161"/>
    <w:rsid w:val="0062420A"/>
    <w:rsid w:val="00625F0C"/>
    <w:rsid w:val="0062625E"/>
    <w:rsid w:val="00635CD1"/>
    <w:rsid w:val="006371BC"/>
    <w:rsid w:val="00637E6B"/>
    <w:rsid w:val="00640C5C"/>
    <w:rsid w:val="00641E16"/>
    <w:rsid w:val="006421FC"/>
    <w:rsid w:val="00646908"/>
    <w:rsid w:val="00653758"/>
    <w:rsid w:val="00654F43"/>
    <w:rsid w:val="00655071"/>
    <w:rsid w:val="00655875"/>
    <w:rsid w:val="00656072"/>
    <w:rsid w:val="0066519F"/>
    <w:rsid w:val="00672F7F"/>
    <w:rsid w:val="00675432"/>
    <w:rsid w:val="006756B7"/>
    <w:rsid w:val="00677803"/>
    <w:rsid w:val="00677F55"/>
    <w:rsid w:val="006820AB"/>
    <w:rsid w:val="00682642"/>
    <w:rsid w:val="00683EC2"/>
    <w:rsid w:val="0068449B"/>
    <w:rsid w:val="00690B9C"/>
    <w:rsid w:val="00690FC2"/>
    <w:rsid w:val="0069383A"/>
    <w:rsid w:val="00693C6D"/>
    <w:rsid w:val="00694663"/>
    <w:rsid w:val="00694A6A"/>
    <w:rsid w:val="00696531"/>
    <w:rsid w:val="00697758"/>
    <w:rsid w:val="006A1CD9"/>
    <w:rsid w:val="006A5CC9"/>
    <w:rsid w:val="006A642F"/>
    <w:rsid w:val="006A7C8E"/>
    <w:rsid w:val="006B23E5"/>
    <w:rsid w:val="006B4023"/>
    <w:rsid w:val="006B66F7"/>
    <w:rsid w:val="006B6C31"/>
    <w:rsid w:val="006C1FE0"/>
    <w:rsid w:val="006C202B"/>
    <w:rsid w:val="006C38A2"/>
    <w:rsid w:val="006C3A92"/>
    <w:rsid w:val="006C6049"/>
    <w:rsid w:val="006C6AB9"/>
    <w:rsid w:val="006C7CB9"/>
    <w:rsid w:val="006C7D94"/>
    <w:rsid w:val="006D45B0"/>
    <w:rsid w:val="006D4EDF"/>
    <w:rsid w:val="006D57E9"/>
    <w:rsid w:val="006D6DB1"/>
    <w:rsid w:val="006D7272"/>
    <w:rsid w:val="006D73B1"/>
    <w:rsid w:val="006E0B68"/>
    <w:rsid w:val="006E1125"/>
    <w:rsid w:val="006E3A49"/>
    <w:rsid w:val="006E4F7E"/>
    <w:rsid w:val="006E600B"/>
    <w:rsid w:val="006E64AC"/>
    <w:rsid w:val="006E7512"/>
    <w:rsid w:val="006F0FD3"/>
    <w:rsid w:val="006F13D8"/>
    <w:rsid w:val="006F2C8A"/>
    <w:rsid w:val="006F3057"/>
    <w:rsid w:val="006F3EB9"/>
    <w:rsid w:val="006F6D2D"/>
    <w:rsid w:val="006F7085"/>
    <w:rsid w:val="0070078A"/>
    <w:rsid w:val="00701EF0"/>
    <w:rsid w:val="00704301"/>
    <w:rsid w:val="00704973"/>
    <w:rsid w:val="0070681E"/>
    <w:rsid w:val="007116DA"/>
    <w:rsid w:val="00714E92"/>
    <w:rsid w:val="00715147"/>
    <w:rsid w:val="0072201C"/>
    <w:rsid w:val="0072209D"/>
    <w:rsid w:val="00724A65"/>
    <w:rsid w:val="00724E77"/>
    <w:rsid w:val="007255E2"/>
    <w:rsid w:val="00726677"/>
    <w:rsid w:val="00730703"/>
    <w:rsid w:val="0073072C"/>
    <w:rsid w:val="00732610"/>
    <w:rsid w:val="00734578"/>
    <w:rsid w:val="007346E6"/>
    <w:rsid w:val="00734B6F"/>
    <w:rsid w:val="00737216"/>
    <w:rsid w:val="007373A8"/>
    <w:rsid w:val="00737AAB"/>
    <w:rsid w:val="00740FBC"/>
    <w:rsid w:val="0074169E"/>
    <w:rsid w:val="007418E3"/>
    <w:rsid w:val="00742A1A"/>
    <w:rsid w:val="0074520F"/>
    <w:rsid w:val="00747320"/>
    <w:rsid w:val="007501D2"/>
    <w:rsid w:val="00750C04"/>
    <w:rsid w:val="00752270"/>
    <w:rsid w:val="00752FCB"/>
    <w:rsid w:val="0075314C"/>
    <w:rsid w:val="007531FC"/>
    <w:rsid w:val="00754C88"/>
    <w:rsid w:val="007625A9"/>
    <w:rsid w:val="0076353D"/>
    <w:rsid w:val="00765B95"/>
    <w:rsid w:val="00765D47"/>
    <w:rsid w:val="0076669C"/>
    <w:rsid w:val="00770D24"/>
    <w:rsid w:val="00772291"/>
    <w:rsid w:val="00774208"/>
    <w:rsid w:val="00774E06"/>
    <w:rsid w:val="00775E3B"/>
    <w:rsid w:val="00776659"/>
    <w:rsid w:val="00777552"/>
    <w:rsid w:val="0078031B"/>
    <w:rsid w:val="00781526"/>
    <w:rsid w:val="00781AC6"/>
    <w:rsid w:val="00781B43"/>
    <w:rsid w:val="00783D7B"/>
    <w:rsid w:val="00785CBF"/>
    <w:rsid w:val="00786A9F"/>
    <w:rsid w:val="00786BE4"/>
    <w:rsid w:val="00787567"/>
    <w:rsid w:val="00793C2A"/>
    <w:rsid w:val="007945AB"/>
    <w:rsid w:val="007976F2"/>
    <w:rsid w:val="007A018C"/>
    <w:rsid w:val="007A1681"/>
    <w:rsid w:val="007A405A"/>
    <w:rsid w:val="007A4E49"/>
    <w:rsid w:val="007A6DC9"/>
    <w:rsid w:val="007B1930"/>
    <w:rsid w:val="007B2CAF"/>
    <w:rsid w:val="007B5CD3"/>
    <w:rsid w:val="007C05C6"/>
    <w:rsid w:val="007C2E00"/>
    <w:rsid w:val="007C4295"/>
    <w:rsid w:val="007C467E"/>
    <w:rsid w:val="007C4750"/>
    <w:rsid w:val="007C648E"/>
    <w:rsid w:val="007D0C1C"/>
    <w:rsid w:val="007D1941"/>
    <w:rsid w:val="007D29F3"/>
    <w:rsid w:val="007D3653"/>
    <w:rsid w:val="007D4FC4"/>
    <w:rsid w:val="007D5DF8"/>
    <w:rsid w:val="007D7F32"/>
    <w:rsid w:val="007E26E8"/>
    <w:rsid w:val="007E326A"/>
    <w:rsid w:val="007E4FBA"/>
    <w:rsid w:val="007E54EB"/>
    <w:rsid w:val="007E5EE4"/>
    <w:rsid w:val="007E7104"/>
    <w:rsid w:val="007F048C"/>
    <w:rsid w:val="007F0A3D"/>
    <w:rsid w:val="007F42A7"/>
    <w:rsid w:val="007F7754"/>
    <w:rsid w:val="007F7DEF"/>
    <w:rsid w:val="00801525"/>
    <w:rsid w:val="008018A7"/>
    <w:rsid w:val="00802419"/>
    <w:rsid w:val="0080280B"/>
    <w:rsid w:val="00804426"/>
    <w:rsid w:val="00806295"/>
    <w:rsid w:val="00807234"/>
    <w:rsid w:val="00810CED"/>
    <w:rsid w:val="00810E27"/>
    <w:rsid w:val="00812B59"/>
    <w:rsid w:val="008136AA"/>
    <w:rsid w:val="00814320"/>
    <w:rsid w:val="00814DD6"/>
    <w:rsid w:val="008153D0"/>
    <w:rsid w:val="00821639"/>
    <w:rsid w:val="0082165B"/>
    <w:rsid w:val="008224F7"/>
    <w:rsid w:val="0082269A"/>
    <w:rsid w:val="00825165"/>
    <w:rsid w:val="00825297"/>
    <w:rsid w:val="008301E1"/>
    <w:rsid w:val="00831284"/>
    <w:rsid w:val="00833662"/>
    <w:rsid w:val="0083549C"/>
    <w:rsid w:val="00835A32"/>
    <w:rsid w:val="008364CE"/>
    <w:rsid w:val="00836D13"/>
    <w:rsid w:val="00836DD4"/>
    <w:rsid w:val="00841EDC"/>
    <w:rsid w:val="00842761"/>
    <w:rsid w:val="0084484F"/>
    <w:rsid w:val="008452FF"/>
    <w:rsid w:val="00845811"/>
    <w:rsid w:val="00846ECC"/>
    <w:rsid w:val="00851E0A"/>
    <w:rsid w:val="00852192"/>
    <w:rsid w:val="008534EA"/>
    <w:rsid w:val="008552F3"/>
    <w:rsid w:val="00856325"/>
    <w:rsid w:val="008601EC"/>
    <w:rsid w:val="0086216A"/>
    <w:rsid w:val="00867939"/>
    <w:rsid w:val="0087174B"/>
    <w:rsid w:val="00871A78"/>
    <w:rsid w:val="00871E84"/>
    <w:rsid w:val="008722FA"/>
    <w:rsid w:val="00872AD0"/>
    <w:rsid w:val="00872B35"/>
    <w:rsid w:val="00872B53"/>
    <w:rsid w:val="00873426"/>
    <w:rsid w:val="00873FB6"/>
    <w:rsid w:val="008749D3"/>
    <w:rsid w:val="008771AF"/>
    <w:rsid w:val="00877BBF"/>
    <w:rsid w:val="008812A7"/>
    <w:rsid w:val="00881401"/>
    <w:rsid w:val="00881B82"/>
    <w:rsid w:val="008832D2"/>
    <w:rsid w:val="008852F0"/>
    <w:rsid w:val="00886EDD"/>
    <w:rsid w:val="0088748C"/>
    <w:rsid w:val="008877E6"/>
    <w:rsid w:val="00887EC4"/>
    <w:rsid w:val="00895DE6"/>
    <w:rsid w:val="008A221B"/>
    <w:rsid w:val="008A5CA1"/>
    <w:rsid w:val="008A6156"/>
    <w:rsid w:val="008B31BA"/>
    <w:rsid w:val="008B4DC7"/>
    <w:rsid w:val="008B4EC8"/>
    <w:rsid w:val="008B6B9F"/>
    <w:rsid w:val="008C1288"/>
    <w:rsid w:val="008C1A3B"/>
    <w:rsid w:val="008C2D30"/>
    <w:rsid w:val="008C3203"/>
    <w:rsid w:val="008C4722"/>
    <w:rsid w:val="008C566A"/>
    <w:rsid w:val="008D0C1F"/>
    <w:rsid w:val="008D5823"/>
    <w:rsid w:val="008E0F1A"/>
    <w:rsid w:val="008E199C"/>
    <w:rsid w:val="008E207A"/>
    <w:rsid w:val="008E29B1"/>
    <w:rsid w:val="008E3BCD"/>
    <w:rsid w:val="008E45CD"/>
    <w:rsid w:val="008E5209"/>
    <w:rsid w:val="008E5262"/>
    <w:rsid w:val="008E67F8"/>
    <w:rsid w:val="008E794E"/>
    <w:rsid w:val="008F0DFA"/>
    <w:rsid w:val="008F10D9"/>
    <w:rsid w:val="008F1513"/>
    <w:rsid w:val="008F5D3C"/>
    <w:rsid w:val="008F654C"/>
    <w:rsid w:val="00900560"/>
    <w:rsid w:val="009006FD"/>
    <w:rsid w:val="00902AE1"/>
    <w:rsid w:val="00904B50"/>
    <w:rsid w:val="00904C0C"/>
    <w:rsid w:val="00912695"/>
    <w:rsid w:val="00912CA4"/>
    <w:rsid w:val="00912DA4"/>
    <w:rsid w:val="00913071"/>
    <w:rsid w:val="009173F8"/>
    <w:rsid w:val="0092047B"/>
    <w:rsid w:val="0092213C"/>
    <w:rsid w:val="00922E3E"/>
    <w:rsid w:val="00927762"/>
    <w:rsid w:val="00927B2A"/>
    <w:rsid w:val="00930914"/>
    <w:rsid w:val="009317A0"/>
    <w:rsid w:val="009322A1"/>
    <w:rsid w:val="00933DFC"/>
    <w:rsid w:val="00935312"/>
    <w:rsid w:val="0093636B"/>
    <w:rsid w:val="009365C6"/>
    <w:rsid w:val="009365CB"/>
    <w:rsid w:val="0094602B"/>
    <w:rsid w:val="00950EB5"/>
    <w:rsid w:val="0095352E"/>
    <w:rsid w:val="009537B6"/>
    <w:rsid w:val="00953CB7"/>
    <w:rsid w:val="00955E66"/>
    <w:rsid w:val="00957742"/>
    <w:rsid w:val="009610F3"/>
    <w:rsid w:val="009616AC"/>
    <w:rsid w:val="0096213F"/>
    <w:rsid w:val="009715FB"/>
    <w:rsid w:val="00971A45"/>
    <w:rsid w:val="00971D38"/>
    <w:rsid w:val="00973EAF"/>
    <w:rsid w:val="009749F7"/>
    <w:rsid w:val="00975E9A"/>
    <w:rsid w:val="00977A50"/>
    <w:rsid w:val="009823D9"/>
    <w:rsid w:val="00983BAF"/>
    <w:rsid w:val="0098449B"/>
    <w:rsid w:val="00985921"/>
    <w:rsid w:val="00987095"/>
    <w:rsid w:val="0099077C"/>
    <w:rsid w:val="009A3645"/>
    <w:rsid w:val="009A7357"/>
    <w:rsid w:val="009B0059"/>
    <w:rsid w:val="009B20C4"/>
    <w:rsid w:val="009B27B2"/>
    <w:rsid w:val="009B39A8"/>
    <w:rsid w:val="009B51B5"/>
    <w:rsid w:val="009B591C"/>
    <w:rsid w:val="009B5F4E"/>
    <w:rsid w:val="009B780B"/>
    <w:rsid w:val="009C0251"/>
    <w:rsid w:val="009C2A53"/>
    <w:rsid w:val="009C3CC8"/>
    <w:rsid w:val="009C5388"/>
    <w:rsid w:val="009C5DAC"/>
    <w:rsid w:val="009C5FEA"/>
    <w:rsid w:val="009C697F"/>
    <w:rsid w:val="009D0624"/>
    <w:rsid w:val="009D0EC4"/>
    <w:rsid w:val="009D1440"/>
    <w:rsid w:val="009D14D2"/>
    <w:rsid w:val="009D1557"/>
    <w:rsid w:val="009D211B"/>
    <w:rsid w:val="009D2E83"/>
    <w:rsid w:val="009D5C1A"/>
    <w:rsid w:val="009D6547"/>
    <w:rsid w:val="009E00CA"/>
    <w:rsid w:val="009E0ECB"/>
    <w:rsid w:val="009E1B71"/>
    <w:rsid w:val="009E22A2"/>
    <w:rsid w:val="009E25F7"/>
    <w:rsid w:val="009E30F6"/>
    <w:rsid w:val="009E469F"/>
    <w:rsid w:val="009E518E"/>
    <w:rsid w:val="009E6CBD"/>
    <w:rsid w:val="009F323E"/>
    <w:rsid w:val="009F3B30"/>
    <w:rsid w:val="009F6950"/>
    <w:rsid w:val="009F7D6F"/>
    <w:rsid w:val="00A006C1"/>
    <w:rsid w:val="00A00792"/>
    <w:rsid w:val="00A01760"/>
    <w:rsid w:val="00A030F9"/>
    <w:rsid w:val="00A03962"/>
    <w:rsid w:val="00A03E89"/>
    <w:rsid w:val="00A0548D"/>
    <w:rsid w:val="00A06C88"/>
    <w:rsid w:val="00A077A3"/>
    <w:rsid w:val="00A07E37"/>
    <w:rsid w:val="00A107C0"/>
    <w:rsid w:val="00A13D46"/>
    <w:rsid w:val="00A144DA"/>
    <w:rsid w:val="00A14509"/>
    <w:rsid w:val="00A14E5D"/>
    <w:rsid w:val="00A15689"/>
    <w:rsid w:val="00A161A1"/>
    <w:rsid w:val="00A1625B"/>
    <w:rsid w:val="00A17067"/>
    <w:rsid w:val="00A1761F"/>
    <w:rsid w:val="00A20099"/>
    <w:rsid w:val="00A2134A"/>
    <w:rsid w:val="00A22B49"/>
    <w:rsid w:val="00A24966"/>
    <w:rsid w:val="00A27BB8"/>
    <w:rsid w:val="00A3018D"/>
    <w:rsid w:val="00A30B85"/>
    <w:rsid w:val="00A3174B"/>
    <w:rsid w:val="00A3191E"/>
    <w:rsid w:val="00A31EB0"/>
    <w:rsid w:val="00A32CE2"/>
    <w:rsid w:val="00A33938"/>
    <w:rsid w:val="00A33F7F"/>
    <w:rsid w:val="00A3450F"/>
    <w:rsid w:val="00A34515"/>
    <w:rsid w:val="00A34CB1"/>
    <w:rsid w:val="00A37775"/>
    <w:rsid w:val="00A377A2"/>
    <w:rsid w:val="00A40F08"/>
    <w:rsid w:val="00A41160"/>
    <w:rsid w:val="00A50033"/>
    <w:rsid w:val="00A514BA"/>
    <w:rsid w:val="00A5156A"/>
    <w:rsid w:val="00A51DC6"/>
    <w:rsid w:val="00A529CC"/>
    <w:rsid w:val="00A52A88"/>
    <w:rsid w:val="00A55201"/>
    <w:rsid w:val="00A61EEF"/>
    <w:rsid w:val="00A638E6"/>
    <w:rsid w:val="00A63A06"/>
    <w:rsid w:val="00A64C90"/>
    <w:rsid w:val="00A66A79"/>
    <w:rsid w:val="00A6715B"/>
    <w:rsid w:val="00A70518"/>
    <w:rsid w:val="00A70541"/>
    <w:rsid w:val="00A70B66"/>
    <w:rsid w:val="00A7260B"/>
    <w:rsid w:val="00A761C9"/>
    <w:rsid w:val="00A808AD"/>
    <w:rsid w:val="00A83B48"/>
    <w:rsid w:val="00A83EA7"/>
    <w:rsid w:val="00A91344"/>
    <w:rsid w:val="00A920DA"/>
    <w:rsid w:val="00A93123"/>
    <w:rsid w:val="00A94C57"/>
    <w:rsid w:val="00A94D78"/>
    <w:rsid w:val="00A95594"/>
    <w:rsid w:val="00A96791"/>
    <w:rsid w:val="00A96F0F"/>
    <w:rsid w:val="00A973B4"/>
    <w:rsid w:val="00A97BA2"/>
    <w:rsid w:val="00A97E2F"/>
    <w:rsid w:val="00AA036C"/>
    <w:rsid w:val="00AA05A0"/>
    <w:rsid w:val="00AA1D28"/>
    <w:rsid w:val="00AA3CC0"/>
    <w:rsid w:val="00AA4848"/>
    <w:rsid w:val="00AA4B4B"/>
    <w:rsid w:val="00AA5EEA"/>
    <w:rsid w:val="00AA6428"/>
    <w:rsid w:val="00AA642D"/>
    <w:rsid w:val="00AA6549"/>
    <w:rsid w:val="00AB1975"/>
    <w:rsid w:val="00AB1AA5"/>
    <w:rsid w:val="00AB251A"/>
    <w:rsid w:val="00AB288A"/>
    <w:rsid w:val="00AB4C70"/>
    <w:rsid w:val="00AB751D"/>
    <w:rsid w:val="00AC01FA"/>
    <w:rsid w:val="00AC180D"/>
    <w:rsid w:val="00AC1CE8"/>
    <w:rsid w:val="00AC3AF0"/>
    <w:rsid w:val="00AC4203"/>
    <w:rsid w:val="00AC6AC2"/>
    <w:rsid w:val="00AC7908"/>
    <w:rsid w:val="00AD2921"/>
    <w:rsid w:val="00AD3B43"/>
    <w:rsid w:val="00AD58B6"/>
    <w:rsid w:val="00AD646B"/>
    <w:rsid w:val="00AD6658"/>
    <w:rsid w:val="00AD6664"/>
    <w:rsid w:val="00AE2CB3"/>
    <w:rsid w:val="00AE3039"/>
    <w:rsid w:val="00AE303A"/>
    <w:rsid w:val="00AE4B8A"/>
    <w:rsid w:val="00AE7275"/>
    <w:rsid w:val="00AE75EC"/>
    <w:rsid w:val="00AF0466"/>
    <w:rsid w:val="00AF3297"/>
    <w:rsid w:val="00B01415"/>
    <w:rsid w:val="00B02F01"/>
    <w:rsid w:val="00B04A83"/>
    <w:rsid w:val="00B06C00"/>
    <w:rsid w:val="00B07323"/>
    <w:rsid w:val="00B076AD"/>
    <w:rsid w:val="00B11C17"/>
    <w:rsid w:val="00B14F3C"/>
    <w:rsid w:val="00B150ED"/>
    <w:rsid w:val="00B153DA"/>
    <w:rsid w:val="00B15F96"/>
    <w:rsid w:val="00B17D6A"/>
    <w:rsid w:val="00B23AB9"/>
    <w:rsid w:val="00B23E9A"/>
    <w:rsid w:val="00B27070"/>
    <w:rsid w:val="00B3049A"/>
    <w:rsid w:val="00B32939"/>
    <w:rsid w:val="00B3475B"/>
    <w:rsid w:val="00B3784B"/>
    <w:rsid w:val="00B400D5"/>
    <w:rsid w:val="00B40328"/>
    <w:rsid w:val="00B404AD"/>
    <w:rsid w:val="00B40929"/>
    <w:rsid w:val="00B40C0C"/>
    <w:rsid w:val="00B418BC"/>
    <w:rsid w:val="00B41BF5"/>
    <w:rsid w:val="00B5059B"/>
    <w:rsid w:val="00B52CCE"/>
    <w:rsid w:val="00B52DEF"/>
    <w:rsid w:val="00B549E0"/>
    <w:rsid w:val="00B54A90"/>
    <w:rsid w:val="00B560B1"/>
    <w:rsid w:val="00B56383"/>
    <w:rsid w:val="00B61AED"/>
    <w:rsid w:val="00B6309C"/>
    <w:rsid w:val="00B63CC6"/>
    <w:rsid w:val="00B64DCD"/>
    <w:rsid w:val="00B66771"/>
    <w:rsid w:val="00B67C38"/>
    <w:rsid w:val="00B7281E"/>
    <w:rsid w:val="00B741D8"/>
    <w:rsid w:val="00B76DFA"/>
    <w:rsid w:val="00B825AD"/>
    <w:rsid w:val="00B83B09"/>
    <w:rsid w:val="00B8425A"/>
    <w:rsid w:val="00B849F2"/>
    <w:rsid w:val="00B84AD4"/>
    <w:rsid w:val="00B94BB5"/>
    <w:rsid w:val="00B94E95"/>
    <w:rsid w:val="00B963A8"/>
    <w:rsid w:val="00B964D9"/>
    <w:rsid w:val="00B9722B"/>
    <w:rsid w:val="00BA1517"/>
    <w:rsid w:val="00BA1F75"/>
    <w:rsid w:val="00BA2FEC"/>
    <w:rsid w:val="00BA3FDF"/>
    <w:rsid w:val="00BA5D59"/>
    <w:rsid w:val="00BA6EA1"/>
    <w:rsid w:val="00BB19A2"/>
    <w:rsid w:val="00BB1EC4"/>
    <w:rsid w:val="00BB26B5"/>
    <w:rsid w:val="00BB52E5"/>
    <w:rsid w:val="00BB6061"/>
    <w:rsid w:val="00BB62CF"/>
    <w:rsid w:val="00BB6969"/>
    <w:rsid w:val="00BB6BF4"/>
    <w:rsid w:val="00BC0B62"/>
    <w:rsid w:val="00BC27C3"/>
    <w:rsid w:val="00BC3CD1"/>
    <w:rsid w:val="00BC3D56"/>
    <w:rsid w:val="00BC7C9E"/>
    <w:rsid w:val="00BD0AD6"/>
    <w:rsid w:val="00BD13CE"/>
    <w:rsid w:val="00BD16CB"/>
    <w:rsid w:val="00BD2737"/>
    <w:rsid w:val="00BD3379"/>
    <w:rsid w:val="00BD471E"/>
    <w:rsid w:val="00BE2D2B"/>
    <w:rsid w:val="00BE4C90"/>
    <w:rsid w:val="00BE6270"/>
    <w:rsid w:val="00BE67FD"/>
    <w:rsid w:val="00BE6EB9"/>
    <w:rsid w:val="00BF0A67"/>
    <w:rsid w:val="00BF0EC4"/>
    <w:rsid w:val="00BF16EE"/>
    <w:rsid w:val="00BF37AF"/>
    <w:rsid w:val="00BF652D"/>
    <w:rsid w:val="00C021CA"/>
    <w:rsid w:val="00C02945"/>
    <w:rsid w:val="00C02FEA"/>
    <w:rsid w:val="00C05137"/>
    <w:rsid w:val="00C07A76"/>
    <w:rsid w:val="00C101B2"/>
    <w:rsid w:val="00C1116E"/>
    <w:rsid w:val="00C11762"/>
    <w:rsid w:val="00C125AE"/>
    <w:rsid w:val="00C14B7B"/>
    <w:rsid w:val="00C160B0"/>
    <w:rsid w:val="00C16409"/>
    <w:rsid w:val="00C17D3D"/>
    <w:rsid w:val="00C24345"/>
    <w:rsid w:val="00C24EC0"/>
    <w:rsid w:val="00C24FD4"/>
    <w:rsid w:val="00C2634D"/>
    <w:rsid w:val="00C27B2A"/>
    <w:rsid w:val="00C322D5"/>
    <w:rsid w:val="00C32B0A"/>
    <w:rsid w:val="00C33701"/>
    <w:rsid w:val="00C36391"/>
    <w:rsid w:val="00C36859"/>
    <w:rsid w:val="00C37EA6"/>
    <w:rsid w:val="00C40799"/>
    <w:rsid w:val="00C42A6D"/>
    <w:rsid w:val="00C468D7"/>
    <w:rsid w:val="00C46C38"/>
    <w:rsid w:val="00C47806"/>
    <w:rsid w:val="00C5112E"/>
    <w:rsid w:val="00C516D0"/>
    <w:rsid w:val="00C51CC0"/>
    <w:rsid w:val="00C54958"/>
    <w:rsid w:val="00C57AF5"/>
    <w:rsid w:val="00C61200"/>
    <w:rsid w:val="00C61A11"/>
    <w:rsid w:val="00C61C53"/>
    <w:rsid w:val="00C6290A"/>
    <w:rsid w:val="00C6292A"/>
    <w:rsid w:val="00C631E5"/>
    <w:rsid w:val="00C63B36"/>
    <w:rsid w:val="00C6519B"/>
    <w:rsid w:val="00C66A47"/>
    <w:rsid w:val="00C700E9"/>
    <w:rsid w:val="00C7187A"/>
    <w:rsid w:val="00C72797"/>
    <w:rsid w:val="00C74157"/>
    <w:rsid w:val="00C83279"/>
    <w:rsid w:val="00C841E6"/>
    <w:rsid w:val="00C869B9"/>
    <w:rsid w:val="00C875E5"/>
    <w:rsid w:val="00C87BED"/>
    <w:rsid w:val="00C87C6B"/>
    <w:rsid w:val="00C915E6"/>
    <w:rsid w:val="00C931C7"/>
    <w:rsid w:val="00C93D9C"/>
    <w:rsid w:val="00C941D2"/>
    <w:rsid w:val="00C976FC"/>
    <w:rsid w:val="00C977E3"/>
    <w:rsid w:val="00CA03D9"/>
    <w:rsid w:val="00CA417E"/>
    <w:rsid w:val="00CA4F3F"/>
    <w:rsid w:val="00CA5B54"/>
    <w:rsid w:val="00CA6711"/>
    <w:rsid w:val="00CA68AF"/>
    <w:rsid w:val="00CB03A6"/>
    <w:rsid w:val="00CB03D3"/>
    <w:rsid w:val="00CB09A2"/>
    <w:rsid w:val="00CB3536"/>
    <w:rsid w:val="00CB3A34"/>
    <w:rsid w:val="00CB456C"/>
    <w:rsid w:val="00CB505C"/>
    <w:rsid w:val="00CB55DB"/>
    <w:rsid w:val="00CB7428"/>
    <w:rsid w:val="00CB7EDE"/>
    <w:rsid w:val="00CC13DC"/>
    <w:rsid w:val="00CC268A"/>
    <w:rsid w:val="00CC36FA"/>
    <w:rsid w:val="00CC4D76"/>
    <w:rsid w:val="00CC56E5"/>
    <w:rsid w:val="00CC5A98"/>
    <w:rsid w:val="00CC7A7B"/>
    <w:rsid w:val="00CC7C8F"/>
    <w:rsid w:val="00CD097B"/>
    <w:rsid w:val="00CD2297"/>
    <w:rsid w:val="00CD4CAC"/>
    <w:rsid w:val="00CD6BBA"/>
    <w:rsid w:val="00CD6D2E"/>
    <w:rsid w:val="00CD7327"/>
    <w:rsid w:val="00CE1CB2"/>
    <w:rsid w:val="00CE2F2D"/>
    <w:rsid w:val="00CE5EF6"/>
    <w:rsid w:val="00CF0135"/>
    <w:rsid w:val="00CF0A99"/>
    <w:rsid w:val="00CF10B2"/>
    <w:rsid w:val="00CF3C83"/>
    <w:rsid w:val="00CF5808"/>
    <w:rsid w:val="00CF582D"/>
    <w:rsid w:val="00CF60C3"/>
    <w:rsid w:val="00CF728C"/>
    <w:rsid w:val="00CF74A9"/>
    <w:rsid w:val="00D0235F"/>
    <w:rsid w:val="00D02386"/>
    <w:rsid w:val="00D02BC4"/>
    <w:rsid w:val="00D02CAD"/>
    <w:rsid w:val="00D03004"/>
    <w:rsid w:val="00D04C29"/>
    <w:rsid w:val="00D11769"/>
    <w:rsid w:val="00D11C55"/>
    <w:rsid w:val="00D12B9D"/>
    <w:rsid w:val="00D15B3C"/>
    <w:rsid w:val="00D1605C"/>
    <w:rsid w:val="00D16443"/>
    <w:rsid w:val="00D16602"/>
    <w:rsid w:val="00D20814"/>
    <w:rsid w:val="00D20F1E"/>
    <w:rsid w:val="00D2386E"/>
    <w:rsid w:val="00D23D2B"/>
    <w:rsid w:val="00D25B3C"/>
    <w:rsid w:val="00D325A4"/>
    <w:rsid w:val="00D347A7"/>
    <w:rsid w:val="00D34C2B"/>
    <w:rsid w:val="00D3733B"/>
    <w:rsid w:val="00D37BE5"/>
    <w:rsid w:val="00D37F5A"/>
    <w:rsid w:val="00D403DE"/>
    <w:rsid w:val="00D4078B"/>
    <w:rsid w:val="00D40FF8"/>
    <w:rsid w:val="00D45794"/>
    <w:rsid w:val="00D53E96"/>
    <w:rsid w:val="00D5405F"/>
    <w:rsid w:val="00D6008B"/>
    <w:rsid w:val="00D609BA"/>
    <w:rsid w:val="00D62E1E"/>
    <w:rsid w:val="00D642C8"/>
    <w:rsid w:val="00D7076E"/>
    <w:rsid w:val="00D708AF"/>
    <w:rsid w:val="00D71190"/>
    <w:rsid w:val="00D71E30"/>
    <w:rsid w:val="00D72A1D"/>
    <w:rsid w:val="00D7372E"/>
    <w:rsid w:val="00D74DFF"/>
    <w:rsid w:val="00D75821"/>
    <w:rsid w:val="00D77C6F"/>
    <w:rsid w:val="00D80109"/>
    <w:rsid w:val="00D827A6"/>
    <w:rsid w:val="00D842E1"/>
    <w:rsid w:val="00D862A6"/>
    <w:rsid w:val="00D87621"/>
    <w:rsid w:val="00D90AD6"/>
    <w:rsid w:val="00D92412"/>
    <w:rsid w:val="00D929CE"/>
    <w:rsid w:val="00D94824"/>
    <w:rsid w:val="00D9661A"/>
    <w:rsid w:val="00D97F1A"/>
    <w:rsid w:val="00DA2294"/>
    <w:rsid w:val="00DA5665"/>
    <w:rsid w:val="00DA577B"/>
    <w:rsid w:val="00DA5AEC"/>
    <w:rsid w:val="00DA5C9F"/>
    <w:rsid w:val="00DA5CCF"/>
    <w:rsid w:val="00DA6337"/>
    <w:rsid w:val="00DB0716"/>
    <w:rsid w:val="00DB1C63"/>
    <w:rsid w:val="00DB4022"/>
    <w:rsid w:val="00DB4C20"/>
    <w:rsid w:val="00DB506F"/>
    <w:rsid w:val="00DB640D"/>
    <w:rsid w:val="00DB6917"/>
    <w:rsid w:val="00DC0F9A"/>
    <w:rsid w:val="00DC3D8F"/>
    <w:rsid w:val="00DC63AE"/>
    <w:rsid w:val="00DC6AF4"/>
    <w:rsid w:val="00DD1229"/>
    <w:rsid w:val="00DD2104"/>
    <w:rsid w:val="00DD27B3"/>
    <w:rsid w:val="00DD2A24"/>
    <w:rsid w:val="00DD3526"/>
    <w:rsid w:val="00DD4813"/>
    <w:rsid w:val="00DD5B4A"/>
    <w:rsid w:val="00DD5C53"/>
    <w:rsid w:val="00DE01D8"/>
    <w:rsid w:val="00DE03BF"/>
    <w:rsid w:val="00DE082E"/>
    <w:rsid w:val="00DE1A4A"/>
    <w:rsid w:val="00DE22E5"/>
    <w:rsid w:val="00DE26A1"/>
    <w:rsid w:val="00DE3076"/>
    <w:rsid w:val="00DE79C1"/>
    <w:rsid w:val="00DE7FD9"/>
    <w:rsid w:val="00DF1E14"/>
    <w:rsid w:val="00DF62A6"/>
    <w:rsid w:val="00E00296"/>
    <w:rsid w:val="00E01C24"/>
    <w:rsid w:val="00E054F6"/>
    <w:rsid w:val="00E068E7"/>
    <w:rsid w:val="00E10315"/>
    <w:rsid w:val="00E10B50"/>
    <w:rsid w:val="00E127ED"/>
    <w:rsid w:val="00E1312F"/>
    <w:rsid w:val="00E15742"/>
    <w:rsid w:val="00E16193"/>
    <w:rsid w:val="00E1649A"/>
    <w:rsid w:val="00E20D85"/>
    <w:rsid w:val="00E2580A"/>
    <w:rsid w:val="00E270EA"/>
    <w:rsid w:val="00E31634"/>
    <w:rsid w:val="00E334B3"/>
    <w:rsid w:val="00E33801"/>
    <w:rsid w:val="00E33BE3"/>
    <w:rsid w:val="00E355DB"/>
    <w:rsid w:val="00E40D9A"/>
    <w:rsid w:val="00E422CC"/>
    <w:rsid w:val="00E44B5F"/>
    <w:rsid w:val="00E44C44"/>
    <w:rsid w:val="00E44F1B"/>
    <w:rsid w:val="00E45C8D"/>
    <w:rsid w:val="00E473F6"/>
    <w:rsid w:val="00E515A3"/>
    <w:rsid w:val="00E5241B"/>
    <w:rsid w:val="00E54020"/>
    <w:rsid w:val="00E54D34"/>
    <w:rsid w:val="00E57CC9"/>
    <w:rsid w:val="00E62804"/>
    <w:rsid w:val="00E62CFA"/>
    <w:rsid w:val="00E63467"/>
    <w:rsid w:val="00E703D5"/>
    <w:rsid w:val="00E70974"/>
    <w:rsid w:val="00E7532F"/>
    <w:rsid w:val="00E819E1"/>
    <w:rsid w:val="00E854A6"/>
    <w:rsid w:val="00E86223"/>
    <w:rsid w:val="00E90228"/>
    <w:rsid w:val="00E90F67"/>
    <w:rsid w:val="00E926E8"/>
    <w:rsid w:val="00E945E3"/>
    <w:rsid w:val="00E96440"/>
    <w:rsid w:val="00EA131E"/>
    <w:rsid w:val="00EA3459"/>
    <w:rsid w:val="00EA3641"/>
    <w:rsid w:val="00EA5FD9"/>
    <w:rsid w:val="00EA6647"/>
    <w:rsid w:val="00EA6CD1"/>
    <w:rsid w:val="00EB0800"/>
    <w:rsid w:val="00EB1FC5"/>
    <w:rsid w:val="00EB2573"/>
    <w:rsid w:val="00EC03A5"/>
    <w:rsid w:val="00EC1122"/>
    <w:rsid w:val="00EC18C6"/>
    <w:rsid w:val="00EC3BA1"/>
    <w:rsid w:val="00EC4567"/>
    <w:rsid w:val="00EC5258"/>
    <w:rsid w:val="00EC533F"/>
    <w:rsid w:val="00EC75FD"/>
    <w:rsid w:val="00ED1098"/>
    <w:rsid w:val="00ED36E6"/>
    <w:rsid w:val="00ED45F9"/>
    <w:rsid w:val="00ED7241"/>
    <w:rsid w:val="00EE0C34"/>
    <w:rsid w:val="00EE2654"/>
    <w:rsid w:val="00EE2EA0"/>
    <w:rsid w:val="00EE6532"/>
    <w:rsid w:val="00EE68E5"/>
    <w:rsid w:val="00EE7F13"/>
    <w:rsid w:val="00EF241E"/>
    <w:rsid w:val="00EF4B76"/>
    <w:rsid w:val="00EF5F86"/>
    <w:rsid w:val="00EF7018"/>
    <w:rsid w:val="00EF7768"/>
    <w:rsid w:val="00F00B31"/>
    <w:rsid w:val="00F0131D"/>
    <w:rsid w:val="00F02EA2"/>
    <w:rsid w:val="00F03995"/>
    <w:rsid w:val="00F03DD2"/>
    <w:rsid w:val="00F040B7"/>
    <w:rsid w:val="00F067D0"/>
    <w:rsid w:val="00F07A61"/>
    <w:rsid w:val="00F07F45"/>
    <w:rsid w:val="00F116D7"/>
    <w:rsid w:val="00F13848"/>
    <w:rsid w:val="00F142F6"/>
    <w:rsid w:val="00F14426"/>
    <w:rsid w:val="00F155F8"/>
    <w:rsid w:val="00F16826"/>
    <w:rsid w:val="00F1747B"/>
    <w:rsid w:val="00F20D5E"/>
    <w:rsid w:val="00F23D7D"/>
    <w:rsid w:val="00F258B1"/>
    <w:rsid w:val="00F26D03"/>
    <w:rsid w:val="00F3080A"/>
    <w:rsid w:val="00F33DEC"/>
    <w:rsid w:val="00F40141"/>
    <w:rsid w:val="00F41D80"/>
    <w:rsid w:val="00F439BF"/>
    <w:rsid w:val="00F43E51"/>
    <w:rsid w:val="00F47E78"/>
    <w:rsid w:val="00F52CF6"/>
    <w:rsid w:val="00F61D5D"/>
    <w:rsid w:val="00F65A1D"/>
    <w:rsid w:val="00F67D39"/>
    <w:rsid w:val="00F70B83"/>
    <w:rsid w:val="00F72E6C"/>
    <w:rsid w:val="00F750ED"/>
    <w:rsid w:val="00F753DF"/>
    <w:rsid w:val="00F76FAB"/>
    <w:rsid w:val="00F80218"/>
    <w:rsid w:val="00F80AF8"/>
    <w:rsid w:val="00F812A6"/>
    <w:rsid w:val="00F81300"/>
    <w:rsid w:val="00F82326"/>
    <w:rsid w:val="00F846C8"/>
    <w:rsid w:val="00F847D3"/>
    <w:rsid w:val="00F863B4"/>
    <w:rsid w:val="00F86C83"/>
    <w:rsid w:val="00F900D6"/>
    <w:rsid w:val="00F90B9E"/>
    <w:rsid w:val="00F92B99"/>
    <w:rsid w:val="00F947B9"/>
    <w:rsid w:val="00F94F11"/>
    <w:rsid w:val="00F96798"/>
    <w:rsid w:val="00F9751E"/>
    <w:rsid w:val="00FA1271"/>
    <w:rsid w:val="00FA3B9E"/>
    <w:rsid w:val="00FA5D36"/>
    <w:rsid w:val="00FB1197"/>
    <w:rsid w:val="00FB147E"/>
    <w:rsid w:val="00FB393B"/>
    <w:rsid w:val="00FB4756"/>
    <w:rsid w:val="00FB626F"/>
    <w:rsid w:val="00FB6B2D"/>
    <w:rsid w:val="00FB7BCB"/>
    <w:rsid w:val="00FC21C2"/>
    <w:rsid w:val="00FC79E0"/>
    <w:rsid w:val="00FD01A1"/>
    <w:rsid w:val="00FD142A"/>
    <w:rsid w:val="00FD19BB"/>
    <w:rsid w:val="00FD4CFA"/>
    <w:rsid w:val="00FD60E9"/>
    <w:rsid w:val="00FD78AE"/>
    <w:rsid w:val="00FE2665"/>
    <w:rsid w:val="00FE3E5F"/>
    <w:rsid w:val="00FE55C9"/>
    <w:rsid w:val="00FF16A3"/>
    <w:rsid w:val="00FF181E"/>
    <w:rsid w:val="00FF4765"/>
    <w:rsid w:val="00FF7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A501CC5"/>
  <w15:chartTrackingRefBased/>
  <w15:docId w15:val="{C02F8FD1-0C82-4A01-9998-8F3449A8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18"/>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center"/>
      <w:outlineLvl w:val="1"/>
    </w:pPr>
    <w:rPr>
      <w:i/>
      <w:sz w:val="24"/>
    </w:rPr>
  </w:style>
  <w:style w:type="paragraph" w:styleId="Heading3">
    <w:name w:val="heading 3"/>
    <w:basedOn w:val="Normal"/>
    <w:next w:val="Normal"/>
    <w:qFormat/>
    <w:pPr>
      <w:keepNext/>
      <w:tabs>
        <w:tab w:val="right" w:pos="9360"/>
      </w:tabs>
      <w:suppressAutoHyphens/>
      <w:jc w:val="both"/>
      <w:outlineLvl w:val="2"/>
    </w:pPr>
    <w:rPr>
      <w:spacing w:val="-3"/>
      <w:u w:val="single"/>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numPr>
        <w:numId w:val="3"/>
      </w:numPr>
    </w:pPr>
    <w:rPr>
      <w:snapToGrid w:val="0"/>
      <w:sz w:val="24"/>
      <w:lang w:eastAsia="en-US"/>
    </w:rPr>
  </w:style>
  <w:style w:type="paragraph" w:styleId="BodyTextIndent">
    <w:name w:val="Body Text Indent"/>
    <w:basedOn w:val="Normal"/>
    <w:pPr>
      <w:tabs>
        <w:tab w:val="left" w:pos="-1080"/>
        <w:tab w:val="left" w:pos="-720"/>
        <w:tab w:val="left" w:pos="0"/>
        <w:tab w:val="left" w:pos="450"/>
        <w:tab w:val="left" w:pos="900"/>
        <w:tab w:val="left" w:pos="2160"/>
      </w:tabs>
      <w:ind w:left="900"/>
      <w:jc w:val="both"/>
    </w:pPr>
  </w:style>
  <w:style w:type="paragraph" w:styleId="BodyText">
    <w:name w:val="Body Text"/>
    <w:basedOn w:val="Normal"/>
    <w:pPr>
      <w:tabs>
        <w:tab w:val="left" w:pos="-1080"/>
        <w:tab w:val="left" w:pos="-720"/>
        <w:tab w:val="left" w:pos="0"/>
        <w:tab w:val="left" w:pos="450"/>
        <w:tab w:val="left" w:pos="900"/>
        <w:tab w:val="left" w:pos="2160"/>
      </w:tabs>
      <w:jc w:val="both"/>
    </w:pPr>
  </w:style>
  <w:style w:type="character" w:styleId="PageNumber">
    <w:name w:val="page number"/>
    <w:basedOn w:val="DefaultParagraphFont"/>
  </w:style>
  <w:style w:type="paragraph" w:styleId="BodyTextIndent2">
    <w:name w:val="Body Text Indent 2"/>
    <w:basedOn w:val="Normal"/>
    <w:pPr>
      <w:ind w:left="720"/>
      <w:jc w:val="both"/>
    </w:pPr>
  </w:style>
  <w:style w:type="paragraph" w:styleId="BodyTextIndent3">
    <w:name w:val="Body Text Indent 3"/>
    <w:basedOn w:val="Normal"/>
    <w:pPr>
      <w:ind w:left="284"/>
      <w:jc w:val="both"/>
    </w:pPr>
  </w:style>
  <w:style w:type="paragraph" w:styleId="BodyText2">
    <w:name w:val="Body Text 2"/>
    <w:basedOn w:val="Normal"/>
    <w:pPr>
      <w:jc w:val="both"/>
    </w:pPr>
  </w:style>
  <w:style w:type="paragraph" w:styleId="BodyText3">
    <w:name w:val="Body Text 3"/>
    <w:basedOn w:val="Normal"/>
    <w:pPr>
      <w:jc w:val="both"/>
    </w:pPr>
  </w:style>
  <w:style w:type="paragraph" w:styleId="NormalWeb">
    <w:name w:val="Normal (Web)"/>
    <w:aliases w:val="Style 21,Style 89,普通 (Web),Style 183,Style 150"/>
    <w:basedOn w:val="Normal"/>
    <w:pPr>
      <w:spacing w:before="100" w:beforeAutospacing="1" w:after="100" w:afterAutospacing="1"/>
    </w:pPr>
    <w:rPr>
      <w:color w:val="000000"/>
      <w:sz w:val="24"/>
      <w:szCs w:val="24"/>
    </w:rPr>
  </w:style>
  <w:style w:type="paragraph" w:styleId="PlainText">
    <w:name w:val="Plain Text"/>
    <w:basedOn w:val="Normal"/>
    <w:rPr>
      <w:rFonts w:ascii="Courier New" w:hAnsi="Courier New" w:cs="Courier New"/>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xl28">
    <w:name w:val="xl28"/>
    <w:basedOn w:val="Normal"/>
    <w:pPr>
      <w:spacing w:before="100" w:beforeAutospacing="1" w:after="100" w:afterAutospacing="1"/>
    </w:pPr>
    <w:rPr>
      <w:rFonts w:eastAsia="Arial Unicode MS"/>
      <w:szCs w:val="22"/>
    </w:rPr>
  </w:style>
  <w:style w:type="paragraph" w:customStyle="1" w:styleId="Paragraph">
    <w:name w:val="Paragraph"/>
    <w:basedOn w:val="Normal"/>
    <w:pPr>
      <w:tabs>
        <w:tab w:val="left" w:pos="-2250"/>
      </w:tabs>
      <w:spacing w:after="240"/>
      <w:ind w:left="540"/>
      <w:jc w:val="both"/>
    </w:pPr>
    <w:rPr>
      <w:rFonts w:ascii="Arial" w:hAnsi="Arial"/>
      <w:sz w:val="23"/>
      <w:lang w:val="en-GB"/>
    </w:rPr>
  </w:style>
  <w:style w:type="paragraph" w:customStyle="1" w:styleId="Subparagraph">
    <w:name w:val="Subparagraph"/>
    <w:basedOn w:val="BodyTextIndent"/>
    <w:pPr>
      <w:tabs>
        <w:tab w:val="clear" w:pos="-1080"/>
        <w:tab w:val="clear" w:pos="-720"/>
        <w:tab w:val="clear" w:pos="0"/>
        <w:tab w:val="clear" w:pos="450"/>
        <w:tab w:val="clear" w:pos="900"/>
        <w:tab w:val="clear" w:pos="2160"/>
      </w:tabs>
      <w:spacing w:after="240"/>
      <w:ind w:left="1080"/>
    </w:pPr>
    <w:rPr>
      <w:rFonts w:ascii="Arial" w:hAnsi="Arial"/>
      <w:sz w:val="23"/>
      <w:lang w:val="en-GB"/>
    </w:rPr>
  </w:style>
  <w:style w:type="paragraph" w:styleId="List">
    <w:name w:val="List"/>
    <w:basedOn w:val="BodyText"/>
    <w:rsid w:val="00203405"/>
    <w:pPr>
      <w:tabs>
        <w:tab w:val="clear" w:pos="-1080"/>
        <w:tab w:val="clear" w:pos="-720"/>
        <w:tab w:val="clear" w:pos="0"/>
        <w:tab w:val="clear" w:pos="450"/>
        <w:tab w:val="clear" w:pos="900"/>
        <w:tab w:val="clear" w:pos="2160"/>
      </w:tabs>
      <w:spacing w:before="240"/>
      <w:ind w:left="1080" w:hanging="1080"/>
      <w:jc w:val="left"/>
    </w:pPr>
    <w:rPr>
      <w:sz w:val="24"/>
      <w:lang w:val="en-GB"/>
    </w:rPr>
  </w:style>
  <w:style w:type="paragraph" w:customStyle="1" w:styleId="ParagraphHeading">
    <w:name w:val="Paragraph Heading"/>
    <w:basedOn w:val="Normal"/>
    <w:next w:val="Paragraph"/>
    <w:pPr>
      <w:keepNext/>
      <w:numPr>
        <w:numId w:val="19"/>
      </w:numPr>
      <w:tabs>
        <w:tab w:val="left" w:pos="720"/>
      </w:tabs>
      <w:spacing w:before="240" w:after="240"/>
      <w:jc w:val="both"/>
    </w:pPr>
    <w:rPr>
      <w:rFonts w:ascii="Arial" w:hAnsi="Arial"/>
      <w:b/>
      <w:sz w:val="24"/>
    </w:rPr>
  </w:style>
  <w:style w:type="paragraph" w:customStyle="1" w:styleId="Subparagraphwnumber">
    <w:name w:val="Subparagraph w/ number"/>
    <w:basedOn w:val="Subparagraph"/>
    <w:next w:val="Subparagraph"/>
    <w:pPr>
      <w:numPr>
        <w:ilvl w:val="1"/>
        <w:numId w:val="19"/>
      </w:numPr>
    </w:pPr>
    <w:rPr>
      <w:sz w:val="24"/>
      <w:lang w:val="en-US"/>
    </w:rPr>
  </w:style>
  <w:style w:type="paragraph" w:customStyle="1" w:styleId="Sub-subparagraph">
    <w:name w:val="Sub-subparagraph"/>
    <w:basedOn w:val="Subparagraph"/>
    <w:pPr>
      <w:numPr>
        <w:ilvl w:val="2"/>
        <w:numId w:val="19"/>
      </w:numPr>
    </w:pPr>
    <w:rPr>
      <w:sz w:val="24"/>
      <w:lang w:val="en-US"/>
    </w:rPr>
  </w:style>
  <w:style w:type="paragraph" w:customStyle="1" w:styleId="subheadingnotes">
    <w:name w:val="sub heading/notes"/>
    <w:aliases w:val="SH"/>
    <w:basedOn w:val="Normal"/>
    <w:pPr>
      <w:tabs>
        <w:tab w:val="decimal" w:pos="6380"/>
        <w:tab w:val="decimal" w:pos="7920"/>
      </w:tabs>
      <w:overflowPunct w:val="0"/>
      <w:autoSpaceDE w:val="0"/>
      <w:autoSpaceDN w:val="0"/>
      <w:adjustRightInd w:val="0"/>
      <w:ind w:left="360" w:hanging="360"/>
      <w:textAlignment w:val="baseline"/>
    </w:pPr>
    <w:rPr>
      <w:b/>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027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F048C"/>
    <w:pPr>
      <w:widowControl w:val="0"/>
      <w:tabs>
        <w:tab w:val="right" w:pos="9072"/>
        <w:tab w:val="right" w:pos="9360"/>
      </w:tabs>
      <w:autoSpaceDE w:val="0"/>
      <w:autoSpaceDN w:val="0"/>
      <w:adjustRightInd w:val="0"/>
      <w:spacing w:line="479" w:lineRule="exact"/>
    </w:pPr>
    <w:rPr>
      <w:color w:val="000000"/>
      <w:sz w:val="22"/>
      <w:szCs w:val="18"/>
      <w:lang w:val="en-US" w:eastAsia="en-US"/>
    </w:rPr>
  </w:style>
  <w:style w:type="character" w:styleId="FollowedHyperlink">
    <w:name w:val="FollowedHyperlink"/>
    <w:rsid w:val="00374D09"/>
    <w:rPr>
      <w:color w:val="800080"/>
      <w:u w:val="single"/>
    </w:rPr>
  </w:style>
  <w:style w:type="paragraph" w:styleId="CommentText">
    <w:name w:val="annotation text"/>
    <w:basedOn w:val="Normal"/>
    <w:link w:val="CommentTextChar"/>
    <w:rsid w:val="006D6DB1"/>
  </w:style>
  <w:style w:type="character" w:customStyle="1" w:styleId="CommentTextChar">
    <w:name w:val="Comment Text Char"/>
    <w:link w:val="CommentText"/>
    <w:rsid w:val="006D6DB1"/>
    <w:rPr>
      <w:lang w:val="en-US" w:eastAsia="en-US" w:bidi="ar-SA"/>
    </w:rPr>
  </w:style>
  <w:style w:type="paragraph" w:customStyle="1" w:styleId="Default">
    <w:name w:val="Default"/>
    <w:rsid w:val="00386B6A"/>
    <w:pPr>
      <w:autoSpaceDE w:val="0"/>
      <w:autoSpaceDN w:val="0"/>
      <w:adjustRightInd w:val="0"/>
    </w:pPr>
    <w:rPr>
      <w:color w:val="000000"/>
      <w:sz w:val="24"/>
      <w:szCs w:val="24"/>
      <w:lang w:val="en-US" w:eastAsia="en-US"/>
    </w:rPr>
  </w:style>
  <w:style w:type="paragraph" w:styleId="Title">
    <w:name w:val="Title"/>
    <w:basedOn w:val="Normal"/>
    <w:qFormat/>
    <w:rsid w:val="00331EA4"/>
    <w:pPr>
      <w:widowControl w:val="0"/>
      <w:tabs>
        <w:tab w:val="left" w:pos="720"/>
        <w:tab w:val="center" w:pos="7056"/>
        <w:tab w:val="center" w:pos="8496"/>
      </w:tabs>
      <w:autoSpaceDE w:val="0"/>
      <w:autoSpaceDN w:val="0"/>
      <w:adjustRightInd w:val="0"/>
      <w:spacing w:before="72" w:after="72"/>
    </w:pPr>
    <w:rPr>
      <w:b/>
      <w:bCs/>
      <w:color w:val="000000"/>
    </w:rPr>
  </w:style>
  <w:style w:type="character" w:customStyle="1" w:styleId="bodytextChar">
    <w:name w:val="body text Char"/>
    <w:link w:val="BodyText1"/>
    <w:locked/>
    <w:rsid w:val="004966C3"/>
    <w:rPr>
      <w:rFonts w:ascii="Arial" w:hAnsi="Arial" w:cs="Arial"/>
      <w:bCs/>
      <w:iCs/>
      <w:color w:val="4F81BD"/>
      <w:sz w:val="22"/>
      <w:szCs w:val="28"/>
      <w:lang w:val="en-US" w:eastAsia="en-US"/>
    </w:rPr>
  </w:style>
  <w:style w:type="paragraph" w:customStyle="1" w:styleId="BodyText1">
    <w:name w:val="Body Text1"/>
    <w:basedOn w:val="Heading2"/>
    <w:link w:val="bodytextChar"/>
    <w:rsid w:val="004966C3"/>
    <w:pPr>
      <w:keepNext w:val="0"/>
      <w:widowControl w:val="0"/>
      <w:tabs>
        <w:tab w:val="left" w:pos="720"/>
      </w:tabs>
      <w:spacing w:after="240"/>
      <w:jc w:val="both"/>
    </w:pPr>
    <w:rPr>
      <w:rFonts w:ascii="Arial" w:hAnsi="Arial"/>
      <w:bCs/>
      <w:i w:val="0"/>
      <w:iCs/>
      <w:color w:val="4F81BD"/>
      <w:sz w:val="22"/>
      <w:szCs w:val="28"/>
    </w:rPr>
  </w:style>
  <w:style w:type="character" w:styleId="CommentReference">
    <w:name w:val="annotation reference"/>
    <w:semiHidden/>
    <w:rsid w:val="00D708AF"/>
    <w:rPr>
      <w:sz w:val="16"/>
      <w:szCs w:val="16"/>
    </w:rPr>
  </w:style>
  <w:style w:type="paragraph" w:styleId="CommentSubject">
    <w:name w:val="annotation subject"/>
    <w:basedOn w:val="CommentText"/>
    <w:next w:val="CommentText"/>
    <w:semiHidden/>
    <w:rsid w:val="00D708AF"/>
    <w:rPr>
      <w:b/>
      <w:bCs/>
    </w:rPr>
  </w:style>
  <w:style w:type="paragraph" w:customStyle="1" w:styleId="B0MarginTitle">
    <w:name w:val="B0 Margin Title"/>
    <w:rsid w:val="000853B1"/>
    <w:pPr>
      <w:widowControl w:val="0"/>
      <w:tabs>
        <w:tab w:val="left" w:pos="9648"/>
      </w:tabs>
      <w:autoSpaceDE w:val="0"/>
      <w:autoSpaceDN w:val="0"/>
      <w:adjustRightInd w:val="0"/>
    </w:pPr>
    <w:rPr>
      <w:b/>
      <w:bCs/>
      <w:color w:val="000000"/>
      <w:sz w:val="22"/>
      <w:szCs w:val="22"/>
      <w:lang w:val="en-US" w:eastAsia="en-US"/>
    </w:rPr>
  </w:style>
  <w:style w:type="paragraph" w:styleId="TOCHeading">
    <w:name w:val="TOC Heading"/>
    <w:basedOn w:val="Heading1"/>
    <w:next w:val="Normal"/>
    <w:uiPriority w:val="39"/>
    <w:semiHidden/>
    <w:unhideWhenUsed/>
    <w:qFormat/>
    <w:rsid w:val="005942D3"/>
    <w:pPr>
      <w:keepLines/>
      <w:spacing w:before="480" w:line="276" w:lineRule="auto"/>
      <w:jc w:val="left"/>
      <w:outlineLvl w:val="9"/>
    </w:pPr>
    <w:rPr>
      <w:rFonts w:ascii="Cambria" w:hAnsi="Cambria"/>
      <w:b/>
      <w:bCs/>
      <w:color w:val="365F91"/>
      <w:szCs w:val="28"/>
    </w:rPr>
  </w:style>
  <w:style w:type="paragraph" w:styleId="TOC1">
    <w:name w:val="toc 1"/>
    <w:basedOn w:val="Normal"/>
    <w:next w:val="Normal"/>
    <w:autoRedefine/>
    <w:uiPriority w:val="39"/>
    <w:rsid w:val="005942D3"/>
  </w:style>
  <w:style w:type="paragraph" w:styleId="TOC3">
    <w:name w:val="toc 3"/>
    <w:basedOn w:val="Normal"/>
    <w:next w:val="Normal"/>
    <w:autoRedefine/>
    <w:uiPriority w:val="39"/>
    <w:rsid w:val="005942D3"/>
    <w:pPr>
      <w:ind w:left="400"/>
    </w:pPr>
  </w:style>
  <w:style w:type="paragraph" w:styleId="TOC2">
    <w:name w:val="toc 2"/>
    <w:basedOn w:val="Normal"/>
    <w:next w:val="Normal"/>
    <w:autoRedefine/>
    <w:uiPriority w:val="39"/>
    <w:rsid w:val="005942D3"/>
    <w:pPr>
      <w:ind w:left="200"/>
    </w:pPr>
  </w:style>
  <w:style w:type="paragraph" w:styleId="ListParagraph">
    <w:name w:val="List Paragraph"/>
    <w:basedOn w:val="Normal"/>
    <w:uiPriority w:val="99"/>
    <w:qFormat/>
    <w:rsid w:val="00CB09A2"/>
    <w:pPr>
      <w:ind w:left="720"/>
    </w:pPr>
    <w:rPr>
      <w:sz w:val="24"/>
      <w:szCs w:val="24"/>
    </w:rPr>
  </w:style>
  <w:style w:type="paragraph" w:styleId="TableofFigures">
    <w:name w:val="table of figures"/>
    <w:basedOn w:val="Normal"/>
    <w:next w:val="Normal"/>
    <w:rsid w:val="005942D3"/>
  </w:style>
  <w:style w:type="paragraph" w:customStyle="1" w:styleId="Note4colindtext">
    <w:name w:val="Note 4$col ind text"/>
    <w:uiPriority w:val="99"/>
    <w:rsid w:val="004F5ACD"/>
    <w:pPr>
      <w:widowControl w:val="0"/>
      <w:tabs>
        <w:tab w:val="center" w:pos="4608"/>
        <w:tab w:val="center" w:pos="5976"/>
        <w:tab w:val="center" w:pos="7344"/>
        <w:tab w:val="center" w:pos="8712"/>
        <w:tab w:val="left" w:pos="9648"/>
      </w:tabs>
      <w:autoSpaceDE w:val="0"/>
      <w:autoSpaceDN w:val="0"/>
      <w:adjustRightInd w:val="0"/>
      <w:ind w:left="864" w:right="6048" w:hanging="288"/>
    </w:pPr>
    <w:rPr>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4873">
      <w:bodyDiv w:val="1"/>
      <w:marLeft w:val="0"/>
      <w:marRight w:val="0"/>
      <w:marTop w:val="0"/>
      <w:marBottom w:val="0"/>
      <w:divBdr>
        <w:top w:val="none" w:sz="0" w:space="0" w:color="auto"/>
        <w:left w:val="none" w:sz="0" w:space="0" w:color="auto"/>
        <w:bottom w:val="none" w:sz="0" w:space="0" w:color="auto"/>
        <w:right w:val="none" w:sz="0" w:space="0" w:color="auto"/>
      </w:divBdr>
    </w:div>
    <w:div w:id="630012379">
      <w:bodyDiv w:val="1"/>
      <w:marLeft w:val="0"/>
      <w:marRight w:val="0"/>
      <w:marTop w:val="0"/>
      <w:marBottom w:val="0"/>
      <w:divBdr>
        <w:top w:val="none" w:sz="0" w:space="0" w:color="auto"/>
        <w:left w:val="none" w:sz="0" w:space="0" w:color="auto"/>
        <w:bottom w:val="none" w:sz="0" w:space="0" w:color="auto"/>
        <w:right w:val="none" w:sz="0" w:space="0" w:color="auto"/>
      </w:divBdr>
    </w:div>
    <w:div w:id="833648117">
      <w:bodyDiv w:val="1"/>
      <w:marLeft w:val="0"/>
      <w:marRight w:val="0"/>
      <w:marTop w:val="0"/>
      <w:marBottom w:val="0"/>
      <w:divBdr>
        <w:top w:val="none" w:sz="0" w:space="0" w:color="auto"/>
        <w:left w:val="none" w:sz="0" w:space="0" w:color="auto"/>
        <w:bottom w:val="none" w:sz="0" w:space="0" w:color="auto"/>
        <w:right w:val="none" w:sz="0" w:space="0" w:color="auto"/>
      </w:divBdr>
    </w:div>
    <w:div w:id="890309151">
      <w:bodyDiv w:val="1"/>
      <w:marLeft w:val="0"/>
      <w:marRight w:val="0"/>
      <w:marTop w:val="0"/>
      <w:marBottom w:val="0"/>
      <w:divBdr>
        <w:top w:val="none" w:sz="0" w:space="0" w:color="auto"/>
        <w:left w:val="none" w:sz="0" w:space="0" w:color="auto"/>
        <w:bottom w:val="none" w:sz="0" w:space="0" w:color="auto"/>
        <w:right w:val="none" w:sz="0" w:space="0" w:color="auto"/>
      </w:divBdr>
    </w:div>
    <w:div w:id="13889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F9380-A2C2-4E86-AF79-CC1C986E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20</Pages>
  <Words>8594</Words>
  <Characters>48992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March 6, 1998</vt:lpstr>
    </vt:vector>
  </TitlesOfParts>
  <Company>Dell Computer Corporation</Company>
  <LinksUpToDate>false</LinksUpToDate>
  <CharactersWithSpaces>57472</CharactersWithSpaces>
  <SharedDoc>false</SharedDoc>
  <HLinks>
    <vt:vector size="114" baseType="variant">
      <vt:variant>
        <vt:i4>4194325</vt:i4>
      </vt:variant>
      <vt:variant>
        <vt:i4>111</vt:i4>
      </vt:variant>
      <vt:variant>
        <vt:i4>0</vt:i4>
      </vt:variant>
      <vt:variant>
        <vt:i4>5</vt:i4>
      </vt:variant>
      <vt:variant>
        <vt:lpwstr>http://www.sedar.com/</vt:lpwstr>
      </vt:variant>
      <vt:variant>
        <vt:lpwstr/>
      </vt:variant>
      <vt:variant>
        <vt:i4>1245235</vt:i4>
      </vt:variant>
      <vt:variant>
        <vt:i4>104</vt:i4>
      </vt:variant>
      <vt:variant>
        <vt:i4>0</vt:i4>
      </vt:variant>
      <vt:variant>
        <vt:i4>5</vt:i4>
      </vt:variant>
      <vt:variant>
        <vt:lpwstr/>
      </vt:variant>
      <vt:variant>
        <vt:lpwstr>_Toc503948151</vt:lpwstr>
      </vt:variant>
      <vt:variant>
        <vt:i4>1245235</vt:i4>
      </vt:variant>
      <vt:variant>
        <vt:i4>98</vt:i4>
      </vt:variant>
      <vt:variant>
        <vt:i4>0</vt:i4>
      </vt:variant>
      <vt:variant>
        <vt:i4>5</vt:i4>
      </vt:variant>
      <vt:variant>
        <vt:lpwstr/>
      </vt:variant>
      <vt:variant>
        <vt:lpwstr>_Toc503948150</vt:lpwstr>
      </vt:variant>
      <vt:variant>
        <vt:i4>1179699</vt:i4>
      </vt:variant>
      <vt:variant>
        <vt:i4>92</vt:i4>
      </vt:variant>
      <vt:variant>
        <vt:i4>0</vt:i4>
      </vt:variant>
      <vt:variant>
        <vt:i4>5</vt:i4>
      </vt:variant>
      <vt:variant>
        <vt:lpwstr/>
      </vt:variant>
      <vt:variant>
        <vt:lpwstr>_Toc503948149</vt:lpwstr>
      </vt:variant>
      <vt:variant>
        <vt:i4>1179699</vt:i4>
      </vt:variant>
      <vt:variant>
        <vt:i4>86</vt:i4>
      </vt:variant>
      <vt:variant>
        <vt:i4>0</vt:i4>
      </vt:variant>
      <vt:variant>
        <vt:i4>5</vt:i4>
      </vt:variant>
      <vt:variant>
        <vt:lpwstr/>
      </vt:variant>
      <vt:variant>
        <vt:lpwstr>_Toc503948148</vt:lpwstr>
      </vt:variant>
      <vt:variant>
        <vt:i4>1179699</vt:i4>
      </vt:variant>
      <vt:variant>
        <vt:i4>80</vt:i4>
      </vt:variant>
      <vt:variant>
        <vt:i4>0</vt:i4>
      </vt:variant>
      <vt:variant>
        <vt:i4>5</vt:i4>
      </vt:variant>
      <vt:variant>
        <vt:lpwstr/>
      </vt:variant>
      <vt:variant>
        <vt:lpwstr>_Toc503948147</vt:lpwstr>
      </vt:variant>
      <vt:variant>
        <vt:i4>1179699</vt:i4>
      </vt:variant>
      <vt:variant>
        <vt:i4>74</vt:i4>
      </vt:variant>
      <vt:variant>
        <vt:i4>0</vt:i4>
      </vt:variant>
      <vt:variant>
        <vt:i4>5</vt:i4>
      </vt:variant>
      <vt:variant>
        <vt:lpwstr/>
      </vt:variant>
      <vt:variant>
        <vt:lpwstr>_Toc503948146</vt:lpwstr>
      </vt:variant>
      <vt:variant>
        <vt:i4>1179699</vt:i4>
      </vt:variant>
      <vt:variant>
        <vt:i4>68</vt:i4>
      </vt:variant>
      <vt:variant>
        <vt:i4>0</vt:i4>
      </vt:variant>
      <vt:variant>
        <vt:i4>5</vt:i4>
      </vt:variant>
      <vt:variant>
        <vt:lpwstr/>
      </vt:variant>
      <vt:variant>
        <vt:lpwstr>_Toc503948145</vt:lpwstr>
      </vt:variant>
      <vt:variant>
        <vt:i4>1179699</vt:i4>
      </vt:variant>
      <vt:variant>
        <vt:i4>62</vt:i4>
      </vt:variant>
      <vt:variant>
        <vt:i4>0</vt:i4>
      </vt:variant>
      <vt:variant>
        <vt:i4>5</vt:i4>
      </vt:variant>
      <vt:variant>
        <vt:lpwstr/>
      </vt:variant>
      <vt:variant>
        <vt:lpwstr>_Toc503948144</vt:lpwstr>
      </vt:variant>
      <vt:variant>
        <vt:i4>1179699</vt:i4>
      </vt:variant>
      <vt:variant>
        <vt:i4>56</vt:i4>
      </vt:variant>
      <vt:variant>
        <vt:i4>0</vt:i4>
      </vt:variant>
      <vt:variant>
        <vt:i4>5</vt:i4>
      </vt:variant>
      <vt:variant>
        <vt:lpwstr/>
      </vt:variant>
      <vt:variant>
        <vt:lpwstr>_Toc503948143</vt:lpwstr>
      </vt:variant>
      <vt:variant>
        <vt:i4>1179699</vt:i4>
      </vt:variant>
      <vt:variant>
        <vt:i4>50</vt:i4>
      </vt:variant>
      <vt:variant>
        <vt:i4>0</vt:i4>
      </vt:variant>
      <vt:variant>
        <vt:i4>5</vt:i4>
      </vt:variant>
      <vt:variant>
        <vt:lpwstr/>
      </vt:variant>
      <vt:variant>
        <vt:lpwstr>_Toc503948142</vt:lpwstr>
      </vt:variant>
      <vt:variant>
        <vt:i4>1179699</vt:i4>
      </vt:variant>
      <vt:variant>
        <vt:i4>44</vt:i4>
      </vt:variant>
      <vt:variant>
        <vt:i4>0</vt:i4>
      </vt:variant>
      <vt:variant>
        <vt:i4>5</vt:i4>
      </vt:variant>
      <vt:variant>
        <vt:lpwstr/>
      </vt:variant>
      <vt:variant>
        <vt:lpwstr>_Toc503948141</vt:lpwstr>
      </vt:variant>
      <vt:variant>
        <vt:i4>1179699</vt:i4>
      </vt:variant>
      <vt:variant>
        <vt:i4>38</vt:i4>
      </vt:variant>
      <vt:variant>
        <vt:i4>0</vt:i4>
      </vt:variant>
      <vt:variant>
        <vt:i4>5</vt:i4>
      </vt:variant>
      <vt:variant>
        <vt:lpwstr/>
      </vt:variant>
      <vt:variant>
        <vt:lpwstr>_Toc503948140</vt:lpwstr>
      </vt:variant>
      <vt:variant>
        <vt:i4>1376307</vt:i4>
      </vt:variant>
      <vt:variant>
        <vt:i4>32</vt:i4>
      </vt:variant>
      <vt:variant>
        <vt:i4>0</vt:i4>
      </vt:variant>
      <vt:variant>
        <vt:i4>5</vt:i4>
      </vt:variant>
      <vt:variant>
        <vt:lpwstr/>
      </vt:variant>
      <vt:variant>
        <vt:lpwstr>_Toc503948139</vt:lpwstr>
      </vt:variant>
      <vt:variant>
        <vt:i4>1376307</vt:i4>
      </vt:variant>
      <vt:variant>
        <vt:i4>26</vt:i4>
      </vt:variant>
      <vt:variant>
        <vt:i4>0</vt:i4>
      </vt:variant>
      <vt:variant>
        <vt:i4>5</vt:i4>
      </vt:variant>
      <vt:variant>
        <vt:lpwstr/>
      </vt:variant>
      <vt:variant>
        <vt:lpwstr>_Toc503948138</vt:lpwstr>
      </vt:variant>
      <vt:variant>
        <vt:i4>1376307</vt:i4>
      </vt:variant>
      <vt:variant>
        <vt:i4>20</vt:i4>
      </vt:variant>
      <vt:variant>
        <vt:i4>0</vt:i4>
      </vt:variant>
      <vt:variant>
        <vt:i4>5</vt:i4>
      </vt:variant>
      <vt:variant>
        <vt:lpwstr/>
      </vt:variant>
      <vt:variant>
        <vt:lpwstr>_Toc503948137</vt:lpwstr>
      </vt:variant>
      <vt:variant>
        <vt:i4>1376307</vt:i4>
      </vt:variant>
      <vt:variant>
        <vt:i4>14</vt:i4>
      </vt:variant>
      <vt:variant>
        <vt:i4>0</vt:i4>
      </vt:variant>
      <vt:variant>
        <vt:i4>5</vt:i4>
      </vt:variant>
      <vt:variant>
        <vt:lpwstr/>
      </vt:variant>
      <vt:variant>
        <vt:lpwstr>_Toc503948136</vt:lpwstr>
      </vt:variant>
      <vt:variant>
        <vt:i4>1376307</vt:i4>
      </vt:variant>
      <vt:variant>
        <vt:i4>8</vt:i4>
      </vt:variant>
      <vt:variant>
        <vt:i4>0</vt:i4>
      </vt:variant>
      <vt:variant>
        <vt:i4>5</vt:i4>
      </vt:variant>
      <vt:variant>
        <vt:lpwstr/>
      </vt:variant>
      <vt:variant>
        <vt:lpwstr>_Toc503948135</vt:lpwstr>
      </vt:variant>
      <vt:variant>
        <vt:i4>1376307</vt:i4>
      </vt:variant>
      <vt:variant>
        <vt:i4>2</vt:i4>
      </vt:variant>
      <vt:variant>
        <vt:i4>0</vt:i4>
      </vt:variant>
      <vt:variant>
        <vt:i4>5</vt:i4>
      </vt:variant>
      <vt:variant>
        <vt:lpwstr/>
      </vt:variant>
      <vt:variant>
        <vt:lpwstr>_Toc503948134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1998</dc:title>
  <dc:subject/>
  <dc:creator>Cameron Richardson</dc:creator>
  <cp:keywords/>
  <cp:lastModifiedBy>Perry Little</cp:lastModifiedBy>
  <cp:revision>30</cp:revision>
  <cp:lastPrinted>2020-06-01T20:25:00Z</cp:lastPrinted>
  <dcterms:created xsi:type="dcterms:W3CDTF">2020-08-23T04:19:00Z</dcterms:created>
  <dcterms:modified xsi:type="dcterms:W3CDTF">2020-09-01T02:45:00Z</dcterms:modified>
</cp:coreProperties>
</file>