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C91A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BDD9436" w14:textId="2746B10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036B4">
        <w:rPr>
          <w:rFonts w:ascii="Arial" w:hAnsi="Arial"/>
          <w:b/>
          <w:color w:val="000000"/>
          <w:u w:val="single"/>
        </w:rPr>
        <w:t>Summa Silver Corp</w:t>
      </w:r>
      <w:r w:rsidR="00564E92">
        <w:rPr>
          <w:rFonts w:ascii="Arial" w:hAnsi="Arial"/>
          <w:b/>
          <w:color w:val="000000"/>
          <w:u w:val="single"/>
        </w:rPr>
        <w:t>.</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4E8B807B" w14:textId="67660CD6"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036B4">
        <w:rPr>
          <w:rFonts w:ascii="Arial" w:hAnsi="Arial"/>
          <w:b/>
          <w:color w:val="000000"/>
          <w:u w:val="single"/>
        </w:rPr>
        <w:t>SSVR</w:t>
      </w:r>
      <w:r>
        <w:rPr>
          <w:rFonts w:ascii="Arial" w:hAnsi="Arial"/>
          <w:color w:val="000000"/>
          <w:u w:val="single"/>
        </w:rPr>
        <w:tab/>
      </w:r>
      <w:r>
        <w:rPr>
          <w:rFonts w:ascii="Arial" w:hAnsi="Arial"/>
          <w:color w:val="000000"/>
          <w:u w:val="single"/>
        </w:rPr>
        <w:tab/>
      </w:r>
    </w:p>
    <w:p w14:paraId="58CCD69C" w14:textId="0D3DE9EC"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B35126">
        <w:rPr>
          <w:rFonts w:ascii="Arial" w:hAnsi="Arial"/>
          <w:b/>
          <w:color w:val="000000"/>
          <w:u w:val="single"/>
          <w:lang w:val="en-US"/>
        </w:rPr>
        <w:t>51</w:t>
      </w:r>
      <w:r w:rsidR="002123F1">
        <w:rPr>
          <w:rFonts w:ascii="Arial" w:hAnsi="Arial"/>
          <w:b/>
          <w:color w:val="000000"/>
          <w:u w:val="single"/>
          <w:lang w:val="en-US"/>
        </w:rPr>
        <w:t>,</w:t>
      </w:r>
      <w:r w:rsidR="00E26BB9">
        <w:rPr>
          <w:rFonts w:ascii="Arial" w:hAnsi="Arial"/>
          <w:b/>
          <w:color w:val="000000"/>
          <w:u w:val="single"/>
          <w:lang w:val="en-US"/>
        </w:rPr>
        <w:t>358</w:t>
      </w:r>
      <w:r w:rsidR="002123F1">
        <w:rPr>
          <w:rFonts w:ascii="Arial" w:hAnsi="Arial"/>
          <w:b/>
          <w:color w:val="000000"/>
          <w:u w:val="single"/>
          <w:lang w:val="en-US"/>
        </w:rPr>
        <w:t>,</w:t>
      </w:r>
      <w:r w:rsidR="00E26BB9">
        <w:rPr>
          <w:rFonts w:ascii="Arial" w:hAnsi="Arial"/>
          <w:b/>
          <w:color w:val="000000"/>
          <w:u w:val="single"/>
          <w:lang w:val="en-US"/>
        </w:rPr>
        <w:t>804</w:t>
      </w:r>
      <w:r>
        <w:rPr>
          <w:rFonts w:ascii="Arial" w:hAnsi="Arial"/>
          <w:color w:val="000000"/>
          <w:u w:val="single"/>
        </w:rPr>
        <w:tab/>
      </w:r>
      <w:r>
        <w:rPr>
          <w:rFonts w:ascii="Arial" w:hAnsi="Arial"/>
          <w:color w:val="000000"/>
          <w:u w:val="single"/>
        </w:rPr>
        <w:tab/>
      </w:r>
    </w:p>
    <w:p w14:paraId="4551F60A" w14:textId="5724E9C1"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E26BB9">
        <w:rPr>
          <w:rFonts w:ascii="Arial" w:hAnsi="Arial"/>
          <w:b/>
          <w:color w:val="000000"/>
          <w:u w:val="single"/>
        </w:rPr>
        <w:t xml:space="preserve">September </w:t>
      </w:r>
      <w:r w:rsidR="001A5DFD">
        <w:rPr>
          <w:rFonts w:ascii="Arial" w:hAnsi="Arial"/>
          <w:b/>
          <w:color w:val="000000"/>
          <w:u w:val="single"/>
        </w:rPr>
        <w:t>2020</w:t>
      </w:r>
      <w:r>
        <w:rPr>
          <w:rFonts w:ascii="Arial" w:hAnsi="Arial"/>
          <w:color w:val="000000"/>
          <w:u w:val="single"/>
        </w:rPr>
        <w:tab/>
      </w:r>
      <w:r>
        <w:rPr>
          <w:rFonts w:ascii="Arial" w:hAnsi="Arial"/>
          <w:color w:val="000000"/>
          <w:u w:val="single"/>
        </w:rPr>
        <w:tab/>
      </w:r>
    </w:p>
    <w:p w14:paraId="7458AF87" w14:textId="41B82F01"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0952BC5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46101778"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261237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9A9A5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D20F80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13CD4D7" w14:textId="77777777" w:rsidR="0085769A" w:rsidRDefault="0085769A">
      <w:pPr>
        <w:pStyle w:val="List"/>
        <w:keepLines/>
        <w:spacing w:before="120"/>
        <w:ind w:left="0" w:firstLine="0"/>
        <w:rPr>
          <w:rFonts w:ascii="Arial" w:hAnsi="Arial"/>
          <w:b/>
        </w:rPr>
      </w:pPr>
      <w:r>
        <w:rPr>
          <w:rFonts w:ascii="Arial" w:hAnsi="Arial"/>
          <w:b/>
        </w:rPr>
        <w:br w:type="page"/>
      </w:r>
    </w:p>
    <w:p w14:paraId="64D7928F" w14:textId="3255D0ED" w:rsidR="00640E94" w:rsidRDefault="00640E94" w:rsidP="0085769A">
      <w:pPr>
        <w:pStyle w:val="List"/>
        <w:keepLines/>
        <w:spacing w:before="0"/>
        <w:ind w:left="0" w:firstLine="0"/>
        <w:rPr>
          <w:rFonts w:ascii="Arial" w:hAnsi="Arial"/>
          <w:b/>
        </w:rPr>
      </w:pPr>
      <w:r>
        <w:rPr>
          <w:rFonts w:ascii="Arial" w:hAnsi="Arial"/>
          <w:b/>
        </w:rPr>
        <w:lastRenderedPageBreak/>
        <w:t>Report on Business</w:t>
      </w:r>
    </w:p>
    <w:p w14:paraId="3D1E616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24484F6" w14:textId="77777777" w:rsidR="00517D61" w:rsidRDefault="00517D61" w:rsidP="00A63AB0">
      <w:pPr>
        <w:autoSpaceDE w:val="0"/>
        <w:autoSpaceDN w:val="0"/>
        <w:adjustRightInd w:val="0"/>
        <w:ind w:left="720"/>
        <w:rPr>
          <w:rFonts w:ascii="Avenir" w:hAnsi="Avenir"/>
          <w:i/>
          <w:iCs/>
          <w:color w:val="000000"/>
          <w:shd w:val="clear" w:color="auto" w:fill="FFFFFF"/>
        </w:rPr>
      </w:pPr>
    </w:p>
    <w:p w14:paraId="24496FC5" w14:textId="3F732C36" w:rsidR="002123F1" w:rsidRDefault="002123F1" w:rsidP="002123F1">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Summa Silver</w:t>
      </w:r>
      <w:r w:rsidRPr="004C62B6">
        <w:rPr>
          <w:rFonts w:ascii="Arial" w:hAnsi="Arial" w:cs="Arial"/>
          <w:b/>
          <w:bCs/>
          <w:color w:val="000000"/>
          <w:sz w:val="24"/>
          <w:szCs w:val="24"/>
          <w:shd w:val="clear" w:color="auto" w:fill="FFFFFF"/>
        </w:rPr>
        <w:t xml:space="preserve"> Corp. is a Canadian junior mineral exploration company</w:t>
      </w:r>
      <w:r w:rsidR="00C53D4F">
        <w:rPr>
          <w:rFonts w:ascii="Arial" w:hAnsi="Arial" w:cs="Arial"/>
          <w:b/>
          <w:bCs/>
          <w:color w:val="000000"/>
          <w:sz w:val="24"/>
          <w:szCs w:val="24"/>
          <w:shd w:val="clear" w:color="auto" w:fill="FFFFFF"/>
        </w:rPr>
        <w:t xml:space="preserve"> whose portfolio includes</w:t>
      </w:r>
      <w:r w:rsidRPr="004C62B6">
        <w:rPr>
          <w:rFonts w:ascii="Arial" w:hAnsi="Arial" w:cs="Arial"/>
          <w:b/>
          <w:bCs/>
          <w:color w:val="000000"/>
          <w:sz w:val="24"/>
          <w:szCs w:val="24"/>
          <w:shd w:val="clear" w:color="auto" w:fill="FFFFFF"/>
        </w:rPr>
        <w:t xml:space="preserve"> the optioned Hughes Property consisting of 57 patented mining claims and 103 un-patented mining claims totaling 2,547 acres located in central Nevada.</w:t>
      </w:r>
    </w:p>
    <w:p w14:paraId="4073E7C3" w14:textId="1B43C7E5" w:rsidR="005065EF" w:rsidRDefault="005065EF" w:rsidP="002123F1">
      <w:pPr>
        <w:pStyle w:val="ListParagraph"/>
        <w:autoSpaceDE w:val="0"/>
        <w:autoSpaceDN w:val="0"/>
        <w:adjustRightInd w:val="0"/>
        <w:jc w:val="both"/>
        <w:rPr>
          <w:rFonts w:ascii="Arial" w:hAnsi="Arial" w:cs="Arial"/>
          <w:b/>
          <w:bCs/>
          <w:color w:val="000000"/>
          <w:sz w:val="24"/>
          <w:szCs w:val="24"/>
          <w:shd w:val="clear" w:color="auto" w:fill="FFFFFF"/>
        </w:rPr>
      </w:pPr>
    </w:p>
    <w:p w14:paraId="125868C5" w14:textId="64F55A23" w:rsidR="00E26BB9" w:rsidRDefault="00E26BB9" w:rsidP="002123F1">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During the month of September 2020, the Company continued drilling on the Hughes Property, after the drilling program began in late June 2020. Approximately 6,200 m has been drilled of what the Company anticipates </w:t>
      </w:r>
      <w:proofErr w:type="gramStart"/>
      <w:r>
        <w:rPr>
          <w:rFonts w:ascii="Arial" w:hAnsi="Arial" w:cs="Arial"/>
          <w:b/>
          <w:bCs/>
          <w:color w:val="000000"/>
          <w:sz w:val="24"/>
          <w:szCs w:val="24"/>
          <w:shd w:val="clear" w:color="auto" w:fill="FFFFFF"/>
        </w:rPr>
        <w:t>to be</w:t>
      </w:r>
      <w:proofErr w:type="gramEnd"/>
      <w:r>
        <w:rPr>
          <w:rFonts w:ascii="Arial" w:hAnsi="Arial" w:cs="Arial"/>
          <w:b/>
          <w:bCs/>
          <w:color w:val="000000"/>
          <w:sz w:val="24"/>
          <w:szCs w:val="24"/>
          <w:shd w:val="clear" w:color="auto" w:fill="FFFFFF"/>
        </w:rPr>
        <w:t xml:space="preserve"> a minimum of 7,500 m total. </w:t>
      </w:r>
    </w:p>
    <w:p w14:paraId="338FEF7F" w14:textId="33E39B80" w:rsidR="00E26BB9" w:rsidRDefault="00E26BB9" w:rsidP="002123F1">
      <w:pPr>
        <w:pStyle w:val="ListParagraph"/>
        <w:autoSpaceDE w:val="0"/>
        <w:autoSpaceDN w:val="0"/>
        <w:adjustRightInd w:val="0"/>
        <w:jc w:val="both"/>
        <w:rPr>
          <w:rFonts w:ascii="Arial" w:hAnsi="Arial" w:cs="Arial"/>
          <w:b/>
          <w:bCs/>
          <w:color w:val="000000"/>
          <w:sz w:val="24"/>
          <w:szCs w:val="24"/>
          <w:shd w:val="clear" w:color="auto" w:fill="FFFFFF"/>
        </w:rPr>
      </w:pPr>
    </w:p>
    <w:p w14:paraId="3DD15877" w14:textId="687119C6" w:rsidR="00E26BB9" w:rsidRDefault="00E26BB9" w:rsidP="002123F1">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On September 30, 2020, the Company provided an update on the initial results from their ongoing drill program. Each of the three holes reported encountered high grade silver and gold within vein zones over a broad area around the Belmont mine. </w:t>
      </w:r>
    </w:p>
    <w:p w14:paraId="05B5EA83" w14:textId="77777777" w:rsidR="00E26BB9" w:rsidRDefault="00E26BB9" w:rsidP="002123F1">
      <w:pPr>
        <w:pStyle w:val="ListParagraph"/>
        <w:autoSpaceDE w:val="0"/>
        <w:autoSpaceDN w:val="0"/>
        <w:adjustRightInd w:val="0"/>
        <w:jc w:val="both"/>
        <w:rPr>
          <w:rFonts w:ascii="Arial" w:hAnsi="Arial" w:cs="Arial"/>
          <w:b/>
          <w:bCs/>
          <w:color w:val="000000"/>
          <w:sz w:val="24"/>
          <w:szCs w:val="24"/>
          <w:shd w:val="clear" w:color="auto" w:fill="FFFFFF"/>
        </w:rPr>
      </w:pPr>
    </w:p>
    <w:p w14:paraId="03BB2C92" w14:textId="63399AB5" w:rsidR="00B35126" w:rsidRDefault="00E26BB9" w:rsidP="002123F1">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On September 22, 2020, the Company announced that its common shares have been approved for trading on the OTCQB Venture Market. The US listing will trade under the symbol SSVRF, while the Company’s primary Canadian listing will continue to trade on the Canadian Securities Exchange under SSVR.  </w:t>
      </w:r>
    </w:p>
    <w:p w14:paraId="7BE90453" w14:textId="77777777" w:rsidR="00B35126" w:rsidRPr="00353D48" w:rsidRDefault="00B35126" w:rsidP="00353D48">
      <w:pPr>
        <w:autoSpaceDE w:val="0"/>
        <w:autoSpaceDN w:val="0"/>
        <w:adjustRightInd w:val="0"/>
        <w:jc w:val="both"/>
        <w:rPr>
          <w:rFonts w:ascii="Arial" w:hAnsi="Arial" w:cs="Arial"/>
          <w:b/>
          <w:bCs/>
          <w:color w:val="000000"/>
          <w:sz w:val="24"/>
          <w:szCs w:val="24"/>
          <w:shd w:val="clear" w:color="auto" w:fill="FFFFFF"/>
        </w:rPr>
      </w:pPr>
    </w:p>
    <w:p w14:paraId="6AE0618D" w14:textId="77777777" w:rsidR="00640E94" w:rsidRDefault="00640E94" w:rsidP="00517D61">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6E5EEA09" w14:textId="77777777" w:rsidR="00517D61" w:rsidRDefault="00517D61" w:rsidP="00517D61">
      <w:pPr>
        <w:pStyle w:val="ListParagraph"/>
        <w:autoSpaceDE w:val="0"/>
        <w:autoSpaceDN w:val="0"/>
        <w:adjustRightInd w:val="0"/>
        <w:jc w:val="both"/>
        <w:rPr>
          <w:rFonts w:ascii="Arial" w:hAnsi="Arial" w:cs="Arial"/>
          <w:b/>
          <w:bCs/>
          <w:color w:val="000000"/>
          <w:sz w:val="24"/>
          <w:szCs w:val="24"/>
          <w:shd w:val="clear" w:color="auto" w:fill="FFFFFF"/>
        </w:rPr>
      </w:pPr>
    </w:p>
    <w:p w14:paraId="15B7B02F" w14:textId="61C15208" w:rsidR="00517D61" w:rsidRDefault="002123F1" w:rsidP="00517D61">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Management continued its focus on data review of the Hughes silver-gold property in central Nevada. </w:t>
      </w:r>
      <w:r w:rsidRPr="002123F1">
        <w:rPr>
          <w:rFonts w:ascii="Arial" w:hAnsi="Arial" w:cs="Arial"/>
          <w:b/>
          <w:bCs/>
          <w:color w:val="000000"/>
          <w:sz w:val="24"/>
          <w:szCs w:val="24"/>
          <w:shd w:val="clear" w:color="auto" w:fill="FFFFFF"/>
        </w:rPr>
        <w:t>The Company is finalizing targets for a summer drilling and exploration program. In Nevada, mining has been declared an essential business and mining companies have been directed to adopt strict social distancing measures throughout operations.</w:t>
      </w:r>
    </w:p>
    <w:p w14:paraId="5074F9D0" w14:textId="32A07289" w:rsidR="00B35126" w:rsidRDefault="00B35126" w:rsidP="00517D61">
      <w:pPr>
        <w:pStyle w:val="ListParagraph"/>
        <w:autoSpaceDE w:val="0"/>
        <w:autoSpaceDN w:val="0"/>
        <w:adjustRightInd w:val="0"/>
        <w:jc w:val="both"/>
        <w:rPr>
          <w:rFonts w:ascii="Arial" w:hAnsi="Arial" w:cs="Arial"/>
          <w:b/>
          <w:bCs/>
          <w:color w:val="000000"/>
          <w:sz w:val="24"/>
          <w:szCs w:val="24"/>
          <w:shd w:val="clear" w:color="auto" w:fill="FFFFFF"/>
        </w:rPr>
      </w:pPr>
    </w:p>
    <w:p w14:paraId="5056C0AB" w14:textId="34EE1680" w:rsidR="00B35126" w:rsidRPr="00517D61" w:rsidRDefault="00B35126" w:rsidP="00517D61">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In addition, management will evaluate the Mogollon property to determine a suitable exploration plan.</w:t>
      </w:r>
    </w:p>
    <w:p w14:paraId="7466B90E" w14:textId="2CE208D0" w:rsidR="00B35126" w:rsidRDefault="00B35126">
      <w:pPr>
        <w:rPr>
          <w:rFonts w:ascii="Arial" w:hAnsi="Arial"/>
          <w:sz w:val="24"/>
          <w:lang w:val="en-GB"/>
        </w:rPr>
      </w:pPr>
      <w:r>
        <w:rPr>
          <w:rFonts w:ascii="Arial" w:hAnsi="Arial"/>
        </w:rPr>
        <w:br w:type="page"/>
      </w:r>
    </w:p>
    <w:p w14:paraId="7678E502" w14:textId="77777777" w:rsidR="00564E92" w:rsidRDefault="00564E92" w:rsidP="0085769A">
      <w:pPr>
        <w:pStyle w:val="List"/>
        <w:spacing w:before="0"/>
        <w:jc w:val="both"/>
        <w:rPr>
          <w:rFonts w:ascii="Arial" w:hAnsi="Arial"/>
        </w:rPr>
      </w:pPr>
    </w:p>
    <w:p w14:paraId="23D63A49" w14:textId="4A4559F9" w:rsidR="00640E94" w:rsidRDefault="00640E94" w:rsidP="00517D61">
      <w:pPr>
        <w:pStyle w:val="List"/>
        <w:numPr>
          <w:ilvl w:val="0"/>
          <w:numId w:val="28"/>
        </w:numPr>
        <w:spacing w:before="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199854A" w14:textId="77777777" w:rsidR="00517D61" w:rsidRDefault="00517D61" w:rsidP="00517D61">
      <w:pPr>
        <w:pStyle w:val="List"/>
        <w:spacing w:before="120"/>
        <w:ind w:left="720" w:firstLine="0"/>
        <w:jc w:val="both"/>
        <w:rPr>
          <w:rFonts w:ascii="Arial" w:hAnsi="Arial"/>
        </w:rPr>
      </w:pPr>
    </w:p>
    <w:p w14:paraId="69C24C91" w14:textId="3674190E" w:rsidR="00B35126" w:rsidRPr="00B35126" w:rsidRDefault="00B35126" w:rsidP="00B35126">
      <w:pPr>
        <w:pStyle w:val="ListParagraph"/>
        <w:jc w:val="both"/>
        <w:rPr>
          <w:rFonts w:ascii="Arial" w:hAnsi="Arial" w:cs="Arial"/>
          <w:b/>
          <w:bCs/>
          <w:color w:val="000000"/>
          <w:sz w:val="24"/>
          <w:szCs w:val="24"/>
          <w:shd w:val="clear" w:color="auto" w:fill="FFFFFF"/>
        </w:rPr>
      </w:pPr>
      <w:r w:rsidRPr="00B35126">
        <w:rPr>
          <w:rFonts w:ascii="Arial" w:hAnsi="Arial" w:cs="Arial"/>
          <w:b/>
          <w:bCs/>
          <w:color w:val="000000"/>
          <w:sz w:val="24"/>
          <w:szCs w:val="24"/>
          <w:shd w:val="clear" w:color="auto" w:fill="FFFFFF"/>
        </w:rPr>
        <w:t xml:space="preserve">During the month of </w:t>
      </w:r>
      <w:r w:rsidR="00353D48">
        <w:rPr>
          <w:rFonts w:ascii="Arial" w:hAnsi="Arial" w:cs="Arial"/>
          <w:b/>
          <w:bCs/>
          <w:color w:val="000000"/>
          <w:sz w:val="24"/>
          <w:szCs w:val="24"/>
          <w:shd w:val="clear" w:color="auto" w:fill="FFFFFF"/>
        </w:rPr>
        <w:t>September</w:t>
      </w:r>
      <w:r w:rsidRPr="00B35126">
        <w:rPr>
          <w:rFonts w:ascii="Arial" w:hAnsi="Arial" w:cs="Arial"/>
          <w:b/>
          <w:bCs/>
          <w:color w:val="000000"/>
          <w:sz w:val="24"/>
          <w:szCs w:val="24"/>
          <w:shd w:val="clear" w:color="auto" w:fill="FFFFFF"/>
        </w:rPr>
        <w:t xml:space="preserve"> 2020, the Company continued drilling on the Hughes Property after mobilizing drilling equipment in late June 2020 and added a second rig in August 2020.  The Company anticipates a minimum 7,500 m drill program for the summer of 2020.</w:t>
      </w:r>
      <w:r w:rsidR="00353D48">
        <w:rPr>
          <w:rFonts w:ascii="Arial" w:hAnsi="Arial" w:cs="Arial"/>
          <w:b/>
          <w:bCs/>
          <w:color w:val="000000"/>
          <w:sz w:val="24"/>
          <w:szCs w:val="24"/>
          <w:shd w:val="clear" w:color="auto" w:fill="FFFFFF"/>
        </w:rPr>
        <w:t xml:space="preserve"> Refer to #1 above for further information on the drill program.</w:t>
      </w:r>
    </w:p>
    <w:p w14:paraId="4326CB7D" w14:textId="4C235DA7" w:rsidR="00E16EA5" w:rsidRDefault="00E16EA5" w:rsidP="00B35126">
      <w:pPr>
        <w:pStyle w:val="ListParagraph"/>
        <w:autoSpaceDE w:val="0"/>
        <w:autoSpaceDN w:val="0"/>
        <w:adjustRightInd w:val="0"/>
        <w:jc w:val="both"/>
        <w:rPr>
          <w:rFonts w:ascii="Arial" w:hAnsi="Arial" w:cs="Arial"/>
          <w:b/>
          <w:bCs/>
          <w:color w:val="000000"/>
          <w:sz w:val="24"/>
          <w:szCs w:val="24"/>
          <w:shd w:val="clear" w:color="auto" w:fill="FFFFFF"/>
        </w:rPr>
      </w:pPr>
    </w:p>
    <w:p w14:paraId="35C44DD5" w14:textId="310B5353" w:rsidR="00B35126" w:rsidRPr="00B35126" w:rsidRDefault="00353D48" w:rsidP="00B35126">
      <w:pPr>
        <w:pStyle w:val="ListParagraph"/>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In August 2020, t</w:t>
      </w:r>
      <w:r w:rsidR="00B35126" w:rsidRPr="00B35126">
        <w:rPr>
          <w:rFonts w:ascii="Arial" w:hAnsi="Arial" w:cs="Arial"/>
          <w:b/>
          <w:bCs/>
          <w:color w:val="000000"/>
          <w:sz w:val="24"/>
          <w:szCs w:val="24"/>
          <w:shd w:val="clear" w:color="auto" w:fill="FFFFFF"/>
        </w:rPr>
        <w:t>he Company optioned a second property where it can earn a 100% interest (over two phases) in the Mogollon Property in New Mexico.  Phase I is an option to earn a 75% interest in the Property over three years for staged payments totaling US$350,000 in cash, 200,000 shares, US$1,450,000 of value in shares, and a final payment of US$1,000,000 which may be paid in cash and/or shares at the election of the Company. Additionally, the Phase I earn-in includes a US$3,000,000 work commitment on the Property.  After Phase I is complete, the Company can then elect to either form a 75/25 Joint Venture or purchase the remaining 25% interest for US$3,000,000 in cash and shares, a minimum of US$1,000,000, of which must be in cash.</w:t>
      </w:r>
      <w:r>
        <w:rPr>
          <w:rFonts w:ascii="Arial" w:hAnsi="Arial" w:cs="Arial"/>
          <w:b/>
          <w:bCs/>
          <w:color w:val="000000"/>
          <w:sz w:val="24"/>
          <w:szCs w:val="24"/>
          <w:shd w:val="clear" w:color="auto" w:fill="FFFFFF"/>
        </w:rPr>
        <w:t xml:space="preserve"> There were no significant updates throughout September 2020. </w:t>
      </w:r>
    </w:p>
    <w:p w14:paraId="75879D66" w14:textId="6EAE5015" w:rsidR="005065EF" w:rsidRDefault="005065EF" w:rsidP="00E16EA5">
      <w:pPr>
        <w:pStyle w:val="ListParagraph"/>
        <w:autoSpaceDE w:val="0"/>
        <w:autoSpaceDN w:val="0"/>
        <w:adjustRightInd w:val="0"/>
        <w:jc w:val="both"/>
        <w:rPr>
          <w:rFonts w:ascii="Arial" w:hAnsi="Arial" w:cs="Arial"/>
          <w:b/>
          <w:bCs/>
          <w:color w:val="000000"/>
          <w:sz w:val="24"/>
          <w:szCs w:val="24"/>
          <w:shd w:val="clear" w:color="auto" w:fill="FFFFFF"/>
        </w:rPr>
      </w:pPr>
    </w:p>
    <w:p w14:paraId="04ECED10" w14:textId="599B4DEF" w:rsidR="00640E94" w:rsidRDefault="00640E94" w:rsidP="00517D61">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609B2CD" w14:textId="77777777" w:rsidR="00517D61" w:rsidRDefault="00517D61" w:rsidP="00517D61">
      <w:pPr>
        <w:pStyle w:val="List"/>
        <w:spacing w:before="120"/>
        <w:ind w:left="720" w:firstLine="0"/>
        <w:jc w:val="both"/>
        <w:rPr>
          <w:rFonts w:ascii="Arial" w:hAnsi="Arial"/>
        </w:rPr>
      </w:pPr>
    </w:p>
    <w:p w14:paraId="4671D346" w14:textId="41565AC4" w:rsidR="008565ED" w:rsidRDefault="008565ED" w:rsidP="00C53D4F">
      <w:pPr>
        <w:pStyle w:val="List"/>
        <w:spacing w:before="0"/>
        <w:ind w:left="709" w:firstLine="0"/>
        <w:jc w:val="both"/>
        <w:rPr>
          <w:rFonts w:ascii="Arial" w:hAnsi="Arial" w:cs="Arial"/>
          <w:b/>
          <w:szCs w:val="24"/>
          <w:lang w:val="en-US"/>
        </w:rPr>
      </w:pPr>
      <w:r>
        <w:rPr>
          <w:rFonts w:ascii="Arial" w:hAnsi="Arial" w:cs="Arial"/>
          <w:b/>
          <w:szCs w:val="24"/>
          <w:lang w:val="en-US"/>
        </w:rPr>
        <w:t>None.</w:t>
      </w:r>
    </w:p>
    <w:p w14:paraId="4F8C6706" w14:textId="04B441CD" w:rsidR="00961A72" w:rsidRDefault="00961A72" w:rsidP="00961A72">
      <w:pPr>
        <w:pStyle w:val="List"/>
        <w:spacing w:before="0"/>
        <w:ind w:left="720" w:firstLine="0"/>
        <w:jc w:val="both"/>
        <w:rPr>
          <w:rFonts w:ascii="Arial" w:hAnsi="Arial"/>
        </w:rPr>
      </w:pPr>
    </w:p>
    <w:p w14:paraId="17C304A4" w14:textId="3EB56264" w:rsidR="00640E94" w:rsidRDefault="00640E94" w:rsidP="00517D61">
      <w:pPr>
        <w:pStyle w:val="List"/>
        <w:numPr>
          <w:ilvl w:val="0"/>
          <w:numId w:val="28"/>
        </w:numPr>
        <w:spacing w:before="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2A01D43" w14:textId="77777777" w:rsidR="00517D61" w:rsidRDefault="00517D61" w:rsidP="00517D61">
      <w:pPr>
        <w:pStyle w:val="List"/>
        <w:spacing w:before="120"/>
        <w:ind w:left="720" w:firstLine="0"/>
        <w:jc w:val="both"/>
        <w:rPr>
          <w:rFonts w:ascii="Arial" w:hAnsi="Arial"/>
        </w:rPr>
      </w:pPr>
    </w:p>
    <w:p w14:paraId="2F95C3BF"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1F834AC2" w14:textId="77777777" w:rsidR="00564E92" w:rsidRDefault="00564E92" w:rsidP="0085769A">
      <w:pPr>
        <w:pStyle w:val="List"/>
        <w:spacing w:before="0"/>
        <w:jc w:val="both"/>
        <w:rPr>
          <w:rFonts w:ascii="Arial" w:hAnsi="Arial"/>
        </w:rPr>
      </w:pPr>
    </w:p>
    <w:p w14:paraId="0AD7BC30" w14:textId="0B9A82D3" w:rsidR="00640E94" w:rsidRDefault="00640E94" w:rsidP="00517D61">
      <w:pPr>
        <w:pStyle w:val="List"/>
        <w:numPr>
          <w:ilvl w:val="0"/>
          <w:numId w:val="28"/>
        </w:numPr>
        <w:spacing w:befor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19980F7" w14:textId="77777777" w:rsidR="00517D61" w:rsidRDefault="00517D61" w:rsidP="00517D61">
      <w:pPr>
        <w:pStyle w:val="List"/>
        <w:spacing w:before="120"/>
        <w:ind w:left="720" w:firstLine="0"/>
        <w:jc w:val="both"/>
        <w:rPr>
          <w:rFonts w:ascii="Arial" w:hAnsi="Arial"/>
        </w:rPr>
      </w:pPr>
    </w:p>
    <w:p w14:paraId="115B2A66" w14:textId="798855F3" w:rsidR="00517D61"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7E564974" w14:textId="6E688AAD" w:rsidR="00B35126" w:rsidRDefault="00B35126">
      <w:pPr>
        <w:rPr>
          <w:rFonts w:ascii="Arial" w:hAnsi="Arial" w:cs="Arial"/>
          <w:b/>
          <w:sz w:val="24"/>
          <w:szCs w:val="24"/>
          <w:lang w:val="en-GB"/>
        </w:rPr>
      </w:pPr>
      <w:r>
        <w:rPr>
          <w:rFonts w:ascii="Arial" w:hAnsi="Arial" w:cs="Arial"/>
          <w:b/>
          <w:sz w:val="24"/>
          <w:szCs w:val="24"/>
          <w:lang w:val="en-GB"/>
        </w:rPr>
        <w:br w:type="page"/>
      </w:r>
    </w:p>
    <w:p w14:paraId="3B9D1306" w14:textId="77777777" w:rsidR="00517D61" w:rsidRDefault="00517D61">
      <w:pPr>
        <w:rPr>
          <w:rFonts w:ascii="Arial" w:hAnsi="Arial" w:cs="Arial"/>
          <w:b/>
          <w:sz w:val="24"/>
          <w:szCs w:val="24"/>
          <w:lang w:val="en-GB"/>
        </w:rPr>
      </w:pPr>
    </w:p>
    <w:p w14:paraId="6032BA1C" w14:textId="5753FA7F" w:rsidR="00640E94" w:rsidRDefault="00640E94" w:rsidP="00517D61">
      <w:pPr>
        <w:pStyle w:val="List"/>
        <w:numPr>
          <w:ilvl w:val="0"/>
          <w:numId w:val="28"/>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BBDB074" w14:textId="77777777" w:rsidR="00517D61" w:rsidRDefault="00517D61" w:rsidP="00517D61">
      <w:pPr>
        <w:pStyle w:val="List"/>
        <w:spacing w:before="0"/>
        <w:ind w:left="720" w:firstLine="0"/>
        <w:jc w:val="both"/>
        <w:rPr>
          <w:rFonts w:ascii="Arial" w:hAnsi="Arial"/>
        </w:rPr>
      </w:pPr>
    </w:p>
    <w:p w14:paraId="151ABEAF" w14:textId="4713A2A9" w:rsidR="00564E92" w:rsidRDefault="00517D61" w:rsidP="00517D61">
      <w:pPr>
        <w:pStyle w:val="List"/>
        <w:spacing w:before="0"/>
        <w:ind w:left="720" w:firstLine="0"/>
        <w:jc w:val="both"/>
        <w:rPr>
          <w:rFonts w:ascii="Arial" w:hAnsi="Arial" w:cs="Arial"/>
          <w:b/>
          <w:szCs w:val="24"/>
        </w:rPr>
      </w:pPr>
      <w:r>
        <w:rPr>
          <w:rFonts w:ascii="Arial" w:hAnsi="Arial" w:cs="Arial"/>
          <w:b/>
          <w:szCs w:val="24"/>
        </w:rPr>
        <w:t>N/A</w:t>
      </w:r>
    </w:p>
    <w:p w14:paraId="3E11F260" w14:textId="77777777" w:rsidR="00564E92" w:rsidRDefault="00564E92" w:rsidP="0085769A">
      <w:pPr>
        <w:pStyle w:val="List"/>
        <w:spacing w:before="0"/>
        <w:ind w:left="720" w:firstLine="0"/>
        <w:jc w:val="both"/>
        <w:rPr>
          <w:rFonts w:ascii="Arial" w:hAnsi="Arial" w:cs="Arial"/>
          <w:b/>
          <w:szCs w:val="24"/>
        </w:rPr>
      </w:pPr>
    </w:p>
    <w:p w14:paraId="518C2C8F" w14:textId="4F4CE2D9" w:rsidR="00640E94" w:rsidRDefault="00640E94" w:rsidP="00517D61">
      <w:pPr>
        <w:pStyle w:val="List"/>
        <w:numPr>
          <w:ilvl w:val="0"/>
          <w:numId w:val="28"/>
        </w:numPr>
        <w:spacing w:before="0"/>
        <w:jc w:val="both"/>
        <w:rPr>
          <w:rFonts w:ascii="Arial" w:hAnsi="Arial"/>
        </w:rPr>
      </w:pPr>
      <w:r>
        <w:rPr>
          <w:rFonts w:ascii="Arial" w:hAnsi="Arial"/>
        </w:rPr>
        <w:t>Describe the acquisition of new customers or loss of customers.</w:t>
      </w:r>
    </w:p>
    <w:p w14:paraId="53A77479" w14:textId="77777777" w:rsidR="00517D61" w:rsidRDefault="00517D61" w:rsidP="00517D61">
      <w:pPr>
        <w:pStyle w:val="List"/>
        <w:spacing w:before="0"/>
        <w:ind w:left="720" w:firstLine="0"/>
        <w:jc w:val="both"/>
        <w:rPr>
          <w:rFonts w:ascii="Arial" w:hAnsi="Arial"/>
        </w:rPr>
      </w:pPr>
    </w:p>
    <w:p w14:paraId="09964212"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64715107" w14:textId="77777777" w:rsidR="00564E92" w:rsidRDefault="00564E92" w:rsidP="0085769A">
      <w:pPr>
        <w:pStyle w:val="List"/>
        <w:spacing w:before="0"/>
        <w:jc w:val="both"/>
        <w:rPr>
          <w:rFonts w:ascii="Arial" w:hAnsi="Arial"/>
        </w:rPr>
      </w:pPr>
    </w:p>
    <w:p w14:paraId="6A3E64FD" w14:textId="5A2C3766" w:rsidR="00640E94" w:rsidRDefault="00640E94" w:rsidP="00517D61">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D561E0B" w14:textId="77777777" w:rsidR="00517D61" w:rsidRDefault="00517D61" w:rsidP="00517D61">
      <w:pPr>
        <w:pStyle w:val="List"/>
        <w:spacing w:before="0"/>
        <w:ind w:left="720" w:firstLine="0"/>
        <w:jc w:val="both"/>
        <w:rPr>
          <w:rFonts w:ascii="Arial" w:hAnsi="Arial"/>
        </w:rPr>
      </w:pPr>
    </w:p>
    <w:p w14:paraId="76B529E1"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2EAB177B" w14:textId="77777777" w:rsidR="00564E92" w:rsidRDefault="00564E92" w:rsidP="0085769A">
      <w:pPr>
        <w:pStyle w:val="List"/>
        <w:spacing w:before="0"/>
        <w:jc w:val="both"/>
        <w:rPr>
          <w:rFonts w:ascii="Arial" w:hAnsi="Arial"/>
        </w:rPr>
      </w:pPr>
    </w:p>
    <w:p w14:paraId="735D0C29" w14:textId="2F1236E9" w:rsidR="00640E94" w:rsidRDefault="00640E94" w:rsidP="00517D61">
      <w:pPr>
        <w:pStyle w:val="List"/>
        <w:numPr>
          <w:ilvl w:val="0"/>
          <w:numId w:val="28"/>
        </w:numPr>
        <w:spacing w:before="0"/>
        <w:jc w:val="both"/>
        <w:rPr>
          <w:rFonts w:ascii="Arial" w:hAnsi="Arial"/>
        </w:rPr>
      </w:pPr>
      <w:r>
        <w:rPr>
          <w:rFonts w:ascii="Arial" w:hAnsi="Arial"/>
        </w:rPr>
        <w:t xml:space="preserve">Report on any employee </w:t>
      </w:r>
      <w:r w:rsidR="00B93A11">
        <w:rPr>
          <w:rFonts w:ascii="Arial" w:hAnsi="Arial"/>
        </w:rPr>
        <w:t>hiring’s</w:t>
      </w:r>
      <w:r>
        <w:rPr>
          <w:rFonts w:ascii="Arial" w:hAnsi="Arial"/>
        </w:rPr>
        <w:t xml:space="preserve">, </w:t>
      </w:r>
      <w:proofErr w:type="gramStart"/>
      <w:r>
        <w:rPr>
          <w:rFonts w:ascii="Arial" w:hAnsi="Arial"/>
        </w:rPr>
        <w:t>terminations</w:t>
      </w:r>
      <w:proofErr w:type="gramEnd"/>
      <w:r>
        <w:rPr>
          <w:rFonts w:ascii="Arial" w:hAnsi="Arial"/>
        </w:rPr>
        <w:t xml:space="preserve"> or lay-offs with details of anticipated length of lay-offs.</w:t>
      </w:r>
    </w:p>
    <w:p w14:paraId="65EBEA74" w14:textId="77777777" w:rsidR="00517D61" w:rsidRDefault="00517D61" w:rsidP="00517D61">
      <w:pPr>
        <w:pStyle w:val="List"/>
        <w:spacing w:before="0"/>
        <w:ind w:left="720" w:firstLine="0"/>
        <w:jc w:val="both"/>
        <w:rPr>
          <w:rFonts w:ascii="Arial" w:hAnsi="Arial"/>
        </w:rPr>
      </w:pPr>
    </w:p>
    <w:p w14:paraId="53A8836B"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02C689E6" w14:textId="77777777" w:rsidR="00564E92" w:rsidRDefault="00564E92" w:rsidP="0085769A">
      <w:pPr>
        <w:pStyle w:val="List"/>
        <w:spacing w:before="0"/>
        <w:jc w:val="both"/>
        <w:rPr>
          <w:rFonts w:ascii="Arial" w:hAnsi="Arial"/>
        </w:rPr>
      </w:pPr>
    </w:p>
    <w:p w14:paraId="15A4F0DC" w14:textId="268E597B" w:rsidR="00640E94" w:rsidRDefault="00640E94" w:rsidP="00517D61">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3E0B8865" w14:textId="77777777" w:rsidR="00517D61" w:rsidRDefault="00517D61" w:rsidP="00517D61">
      <w:pPr>
        <w:pStyle w:val="List"/>
        <w:spacing w:before="0"/>
        <w:ind w:left="720" w:firstLine="0"/>
        <w:jc w:val="both"/>
        <w:rPr>
          <w:rFonts w:ascii="Arial" w:hAnsi="Arial"/>
        </w:rPr>
      </w:pPr>
    </w:p>
    <w:p w14:paraId="73B8D328"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009FCBB5" w14:textId="779B88C7" w:rsidR="00961A72" w:rsidRDefault="00961A72" w:rsidP="00961A72">
      <w:pPr>
        <w:pStyle w:val="List"/>
        <w:spacing w:before="0"/>
        <w:ind w:left="720" w:firstLine="0"/>
        <w:jc w:val="both"/>
        <w:rPr>
          <w:rFonts w:ascii="Arial" w:hAnsi="Arial"/>
        </w:rPr>
      </w:pPr>
    </w:p>
    <w:p w14:paraId="7C3E165B" w14:textId="736EE6F9" w:rsidR="00640E94" w:rsidRDefault="00640E94" w:rsidP="00517D61">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BA883EB" w14:textId="77777777" w:rsidR="00517D61" w:rsidRDefault="00517D61" w:rsidP="00517D61">
      <w:pPr>
        <w:pStyle w:val="List"/>
        <w:spacing w:before="0"/>
        <w:ind w:left="720" w:firstLine="0"/>
        <w:jc w:val="both"/>
        <w:rPr>
          <w:rFonts w:ascii="Arial" w:hAnsi="Arial"/>
        </w:rPr>
      </w:pPr>
    </w:p>
    <w:p w14:paraId="74EC9A97"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33F384AC" w14:textId="77777777" w:rsidR="00564E92" w:rsidRDefault="00564E92" w:rsidP="0085769A">
      <w:pPr>
        <w:pStyle w:val="List"/>
        <w:spacing w:before="0"/>
        <w:jc w:val="both"/>
        <w:rPr>
          <w:rFonts w:ascii="Arial" w:hAnsi="Arial"/>
        </w:rPr>
      </w:pPr>
    </w:p>
    <w:p w14:paraId="69AB75C6" w14:textId="1AD9A60A" w:rsidR="00793415" w:rsidRDefault="00793415" w:rsidP="00517D61">
      <w:pPr>
        <w:pStyle w:val="List"/>
        <w:numPr>
          <w:ilvl w:val="0"/>
          <w:numId w:val="28"/>
        </w:numPr>
        <w:spacing w:before="0"/>
        <w:jc w:val="both"/>
        <w:rPr>
          <w:rFonts w:ascii="Arial" w:hAnsi="Arial"/>
        </w:rPr>
      </w:pPr>
      <w:r>
        <w:rPr>
          <w:rFonts w:ascii="Arial" w:hAnsi="Arial"/>
        </w:rPr>
        <w:t>Provide details of any indebtedness incurred or repaid by the Issuer together with the terms of such indebtedness.</w:t>
      </w:r>
    </w:p>
    <w:p w14:paraId="2AC3950B" w14:textId="77777777" w:rsidR="00517D61" w:rsidRDefault="00517D61" w:rsidP="00517D61">
      <w:pPr>
        <w:pStyle w:val="List"/>
        <w:spacing w:before="0"/>
        <w:ind w:left="720" w:firstLine="0"/>
        <w:jc w:val="both"/>
        <w:rPr>
          <w:rFonts w:ascii="Arial" w:hAnsi="Arial"/>
        </w:rPr>
      </w:pPr>
    </w:p>
    <w:p w14:paraId="71D22D34" w14:textId="77777777" w:rsidR="00793415" w:rsidRDefault="00793415" w:rsidP="00517D61">
      <w:pPr>
        <w:pStyle w:val="List"/>
        <w:spacing w:before="0"/>
        <w:ind w:left="1800"/>
        <w:jc w:val="both"/>
        <w:rPr>
          <w:rFonts w:ascii="Arial" w:hAnsi="Arial"/>
          <w:b/>
          <w:bCs/>
        </w:rPr>
      </w:pPr>
      <w:r w:rsidRPr="00564E92">
        <w:rPr>
          <w:rFonts w:ascii="Arial" w:hAnsi="Arial"/>
          <w:b/>
          <w:bCs/>
        </w:rPr>
        <w:t>None.</w:t>
      </w:r>
      <w:r>
        <w:rPr>
          <w:rFonts w:ascii="Arial" w:hAnsi="Arial"/>
          <w:b/>
          <w:bCs/>
        </w:rPr>
        <w:t xml:space="preserve"> </w:t>
      </w:r>
    </w:p>
    <w:p w14:paraId="34B49EC7" w14:textId="6888E349" w:rsidR="00B35126" w:rsidRDefault="00B35126">
      <w:pPr>
        <w:rPr>
          <w:rFonts w:ascii="Arial" w:hAnsi="Arial"/>
          <w:sz w:val="24"/>
          <w:lang w:val="en-GB"/>
        </w:rPr>
      </w:pPr>
      <w:r>
        <w:rPr>
          <w:rFonts w:ascii="Arial" w:hAnsi="Arial"/>
          <w:sz w:val="24"/>
          <w:lang w:val="en-GB"/>
        </w:rPr>
        <w:br w:type="page"/>
      </w:r>
    </w:p>
    <w:p w14:paraId="66844999" w14:textId="77777777" w:rsidR="00517D61" w:rsidRDefault="00517D61">
      <w:pPr>
        <w:rPr>
          <w:rFonts w:ascii="Arial" w:hAnsi="Arial"/>
          <w:sz w:val="24"/>
          <w:lang w:val="en-GB"/>
        </w:rPr>
      </w:pPr>
    </w:p>
    <w:p w14:paraId="6665304C" w14:textId="103BF716" w:rsidR="00640E94" w:rsidRDefault="00640E94" w:rsidP="00517D61">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782C2B5" w14:textId="66FDCB34" w:rsidR="00517D61" w:rsidRDefault="00517D61" w:rsidP="00517D61">
      <w:pPr>
        <w:pStyle w:val="List"/>
        <w:spacing w:before="0"/>
        <w:ind w:left="720" w:firstLine="0"/>
        <w:jc w:val="both"/>
        <w:rPr>
          <w:rFonts w:ascii="Arial" w:hAnsi="Arial"/>
        </w:rPr>
      </w:pP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276"/>
        <w:gridCol w:w="3402"/>
        <w:gridCol w:w="2126"/>
      </w:tblGrid>
      <w:tr w:rsidR="00DD5DB8" w14:paraId="72B0F819" w14:textId="77777777" w:rsidTr="00961A72">
        <w:tc>
          <w:tcPr>
            <w:tcW w:w="1730" w:type="dxa"/>
          </w:tcPr>
          <w:p w14:paraId="0DDBE978" w14:textId="77777777" w:rsidR="00DD5DB8" w:rsidRDefault="00DD5DB8" w:rsidP="007B329E">
            <w:pPr>
              <w:pStyle w:val="List"/>
              <w:tabs>
                <w:tab w:val="left" w:pos="360"/>
              </w:tabs>
              <w:spacing w:before="0" w:line="280" w:lineRule="exact"/>
              <w:ind w:left="0" w:firstLine="0"/>
              <w:rPr>
                <w:rFonts w:ascii="Arial" w:hAnsi="Arial"/>
                <w:b/>
              </w:rPr>
            </w:pPr>
            <w:r>
              <w:rPr>
                <w:rFonts w:ascii="Arial" w:hAnsi="Arial"/>
                <w:b/>
              </w:rPr>
              <w:t>Security</w:t>
            </w:r>
          </w:p>
        </w:tc>
        <w:tc>
          <w:tcPr>
            <w:tcW w:w="1276" w:type="dxa"/>
          </w:tcPr>
          <w:p w14:paraId="489862E8" w14:textId="77777777" w:rsidR="00DD5DB8" w:rsidRDefault="00DD5DB8" w:rsidP="007B329E">
            <w:pPr>
              <w:pStyle w:val="List"/>
              <w:tabs>
                <w:tab w:val="left" w:pos="360"/>
              </w:tabs>
              <w:spacing w:before="0" w:line="280" w:lineRule="exact"/>
              <w:ind w:left="0" w:firstLine="0"/>
              <w:rPr>
                <w:rFonts w:ascii="Arial" w:hAnsi="Arial"/>
                <w:b/>
              </w:rPr>
            </w:pPr>
            <w:r>
              <w:rPr>
                <w:rFonts w:ascii="Arial" w:hAnsi="Arial"/>
                <w:b/>
              </w:rPr>
              <w:t>Number Issued</w:t>
            </w:r>
          </w:p>
        </w:tc>
        <w:tc>
          <w:tcPr>
            <w:tcW w:w="3402" w:type="dxa"/>
          </w:tcPr>
          <w:p w14:paraId="19172E9B" w14:textId="77777777" w:rsidR="00DD5DB8" w:rsidRDefault="00DD5DB8" w:rsidP="007B329E">
            <w:pPr>
              <w:pStyle w:val="List"/>
              <w:tabs>
                <w:tab w:val="left" w:pos="360"/>
              </w:tabs>
              <w:spacing w:before="0" w:line="280" w:lineRule="exact"/>
              <w:ind w:left="0" w:firstLine="0"/>
              <w:rPr>
                <w:rFonts w:ascii="Arial" w:hAnsi="Arial"/>
                <w:b/>
              </w:rPr>
            </w:pPr>
            <w:r>
              <w:rPr>
                <w:rFonts w:ascii="Arial" w:hAnsi="Arial"/>
                <w:b/>
              </w:rPr>
              <w:t>Details of Issuance</w:t>
            </w:r>
          </w:p>
        </w:tc>
        <w:tc>
          <w:tcPr>
            <w:tcW w:w="2126" w:type="dxa"/>
          </w:tcPr>
          <w:p w14:paraId="2963BF5C" w14:textId="77777777" w:rsidR="00DD5DB8" w:rsidRDefault="00DD5DB8" w:rsidP="007B329E">
            <w:pPr>
              <w:pStyle w:val="List"/>
              <w:tabs>
                <w:tab w:val="left" w:pos="360"/>
              </w:tabs>
              <w:spacing w:before="0" w:line="280" w:lineRule="exact"/>
              <w:ind w:left="0" w:firstLine="0"/>
              <w:jc w:val="center"/>
              <w:rPr>
                <w:rFonts w:ascii="Arial" w:hAnsi="Arial"/>
                <w:b/>
              </w:rPr>
            </w:pPr>
            <w:r>
              <w:rPr>
                <w:rFonts w:ascii="Arial" w:hAnsi="Arial"/>
                <w:b/>
              </w:rPr>
              <w:t xml:space="preserve">Use of Proceeds </w:t>
            </w:r>
            <w:r w:rsidRPr="00FF3FD9">
              <w:rPr>
                <w:rFonts w:ascii="Arial" w:hAnsi="Arial"/>
                <w:bCs/>
                <w:vertAlign w:val="superscript"/>
              </w:rPr>
              <w:t>(1)</w:t>
            </w:r>
          </w:p>
        </w:tc>
      </w:tr>
      <w:tr w:rsidR="008052A0" w:rsidRPr="00480CED" w14:paraId="360D9362" w14:textId="77777777" w:rsidTr="00961A72">
        <w:tc>
          <w:tcPr>
            <w:tcW w:w="1730" w:type="dxa"/>
          </w:tcPr>
          <w:p w14:paraId="1F5166EE" w14:textId="4DC36E4F" w:rsidR="008052A0" w:rsidRDefault="008052A0" w:rsidP="008052A0">
            <w:pPr>
              <w:pStyle w:val="List"/>
              <w:tabs>
                <w:tab w:val="left" w:pos="360"/>
              </w:tabs>
              <w:spacing w:before="60" w:after="60" w:line="280" w:lineRule="exact"/>
              <w:ind w:left="0" w:firstLine="0"/>
              <w:jc w:val="both"/>
              <w:rPr>
                <w:rFonts w:ascii="Arial" w:hAnsi="Arial"/>
                <w:sz w:val="20"/>
                <w:szCs w:val="16"/>
              </w:rPr>
            </w:pPr>
            <w:r>
              <w:rPr>
                <w:rFonts w:ascii="Arial" w:hAnsi="Arial"/>
                <w:sz w:val="20"/>
                <w:szCs w:val="16"/>
              </w:rPr>
              <w:t>Common Shares</w:t>
            </w:r>
          </w:p>
        </w:tc>
        <w:tc>
          <w:tcPr>
            <w:tcW w:w="1276" w:type="dxa"/>
          </w:tcPr>
          <w:p w14:paraId="10E6821E" w14:textId="744D396F" w:rsidR="008052A0" w:rsidRDefault="008052A0" w:rsidP="008052A0">
            <w:pPr>
              <w:pStyle w:val="List"/>
              <w:tabs>
                <w:tab w:val="left" w:pos="360"/>
              </w:tabs>
              <w:spacing w:before="60" w:after="60" w:line="280" w:lineRule="exact"/>
              <w:ind w:left="0" w:firstLine="0"/>
              <w:jc w:val="right"/>
              <w:rPr>
                <w:rFonts w:ascii="Arial" w:hAnsi="Arial"/>
                <w:sz w:val="20"/>
                <w:szCs w:val="16"/>
              </w:rPr>
            </w:pPr>
            <w:r>
              <w:rPr>
                <w:rFonts w:ascii="Arial" w:hAnsi="Arial"/>
                <w:sz w:val="20"/>
                <w:szCs w:val="16"/>
              </w:rPr>
              <w:t>10,000</w:t>
            </w:r>
          </w:p>
        </w:tc>
        <w:tc>
          <w:tcPr>
            <w:tcW w:w="3402" w:type="dxa"/>
          </w:tcPr>
          <w:p w14:paraId="761A8193" w14:textId="48D60BA2" w:rsidR="008052A0" w:rsidRDefault="008052A0" w:rsidP="008052A0">
            <w:pPr>
              <w:pStyle w:val="List"/>
              <w:tabs>
                <w:tab w:val="left" w:pos="360"/>
              </w:tabs>
              <w:spacing w:before="60" w:after="60" w:line="280" w:lineRule="exact"/>
              <w:ind w:left="0" w:firstLine="0"/>
              <w:rPr>
                <w:rFonts w:ascii="Arial" w:hAnsi="Arial"/>
                <w:sz w:val="20"/>
                <w:szCs w:val="16"/>
              </w:rPr>
            </w:pPr>
            <w:r w:rsidRPr="008052A0">
              <w:rPr>
                <w:rFonts w:ascii="Arial" w:hAnsi="Arial"/>
                <w:sz w:val="20"/>
                <w:szCs w:val="16"/>
                <w:lang w:val="en-US"/>
              </w:rPr>
              <w:t xml:space="preserve">Pursuant from the exercise of </w:t>
            </w:r>
            <w:r>
              <w:rPr>
                <w:rFonts w:ascii="Arial" w:hAnsi="Arial"/>
                <w:sz w:val="20"/>
                <w:szCs w:val="16"/>
                <w:lang w:val="en-US"/>
              </w:rPr>
              <w:t>stock options</w:t>
            </w:r>
            <w:r w:rsidRPr="008052A0">
              <w:rPr>
                <w:rFonts w:ascii="Arial" w:hAnsi="Arial"/>
                <w:sz w:val="20"/>
                <w:szCs w:val="16"/>
                <w:lang w:val="en-US"/>
              </w:rPr>
              <w:t xml:space="preserve"> for proceeds of $</w:t>
            </w:r>
            <w:r>
              <w:rPr>
                <w:rFonts w:ascii="Arial" w:hAnsi="Arial"/>
                <w:sz w:val="20"/>
                <w:szCs w:val="16"/>
                <w:lang w:val="en-US"/>
              </w:rPr>
              <w:t>2,500</w:t>
            </w:r>
            <w:r w:rsidRPr="008052A0">
              <w:rPr>
                <w:rFonts w:ascii="Arial" w:hAnsi="Arial"/>
                <w:sz w:val="20"/>
                <w:szCs w:val="16"/>
                <w:lang w:val="en-US"/>
              </w:rPr>
              <w:t>.</w:t>
            </w:r>
          </w:p>
        </w:tc>
        <w:tc>
          <w:tcPr>
            <w:tcW w:w="2126" w:type="dxa"/>
          </w:tcPr>
          <w:p w14:paraId="71E9EBF2" w14:textId="2FE4AB66" w:rsidR="008052A0" w:rsidRDefault="008052A0" w:rsidP="008052A0">
            <w:pPr>
              <w:pStyle w:val="List"/>
              <w:tabs>
                <w:tab w:val="left" w:pos="360"/>
              </w:tabs>
              <w:spacing w:before="60" w:after="60" w:line="280" w:lineRule="exact"/>
              <w:ind w:left="0" w:firstLine="0"/>
              <w:jc w:val="center"/>
              <w:rPr>
                <w:rFonts w:ascii="Arial" w:hAnsi="Arial"/>
                <w:sz w:val="20"/>
                <w:szCs w:val="16"/>
                <w:lang w:val="en-US"/>
              </w:rPr>
            </w:pPr>
            <w:r>
              <w:rPr>
                <w:rFonts w:ascii="Arial" w:hAnsi="Arial"/>
                <w:sz w:val="20"/>
                <w:szCs w:val="16"/>
                <w:lang w:val="en-US"/>
              </w:rPr>
              <w:t>N/A</w:t>
            </w:r>
          </w:p>
        </w:tc>
      </w:tr>
      <w:tr w:rsidR="008052A0" w:rsidRPr="00480CED" w14:paraId="602EDFEA" w14:textId="77777777" w:rsidTr="00961A72">
        <w:tc>
          <w:tcPr>
            <w:tcW w:w="1730" w:type="dxa"/>
          </w:tcPr>
          <w:p w14:paraId="0A2AC275" w14:textId="6E787853" w:rsidR="008052A0" w:rsidRPr="00480CED" w:rsidRDefault="008052A0" w:rsidP="008052A0">
            <w:pPr>
              <w:pStyle w:val="List"/>
              <w:tabs>
                <w:tab w:val="left" w:pos="360"/>
              </w:tabs>
              <w:spacing w:before="60" w:after="60" w:line="280" w:lineRule="exact"/>
              <w:ind w:left="0" w:firstLine="0"/>
              <w:jc w:val="both"/>
              <w:rPr>
                <w:rFonts w:ascii="Arial" w:hAnsi="Arial"/>
                <w:sz w:val="20"/>
                <w:szCs w:val="16"/>
              </w:rPr>
            </w:pPr>
            <w:r>
              <w:rPr>
                <w:rFonts w:ascii="Arial" w:hAnsi="Arial"/>
                <w:sz w:val="20"/>
                <w:szCs w:val="16"/>
              </w:rPr>
              <w:t>Common Shares</w:t>
            </w:r>
          </w:p>
        </w:tc>
        <w:tc>
          <w:tcPr>
            <w:tcW w:w="1276" w:type="dxa"/>
          </w:tcPr>
          <w:p w14:paraId="2572C139" w14:textId="17D9C766" w:rsidR="008052A0" w:rsidRPr="00480CED" w:rsidRDefault="008052A0" w:rsidP="008052A0">
            <w:pPr>
              <w:pStyle w:val="List"/>
              <w:tabs>
                <w:tab w:val="left" w:pos="360"/>
              </w:tabs>
              <w:spacing w:before="60" w:after="60" w:line="280" w:lineRule="exact"/>
              <w:ind w:left="0" w:firstLine="0"/>
              <w:jc w:val="right"/>
              <w:rPr>
                <w:rFonts w:ascii="Arial" w:hAnsi="Arial"/>
                <w:sz w:val="20"/>
                <w:szCs w:val="16"/>
              </w:rPr>
            </w:pPr>
            <w:r>
              <w:rPr>
                <w:rFonts w:ascii="Arial" w:hAnsi="Arial"/>
                <w:sz w:val="20"/>
                <w:szCs w:val="16"/>
              </w:rPr>
              <w:t>18,287</w:t>
            </w:r>
          </w:p>
        </w:tc>
        <w:tc>
          <w:tcPr>
            <w:tcW w:w="3402" w:type="dxa"/>
          </w:tcPr>
          <w:p w14:paraId="3E6B5C75" w14:textId="098A0558" w:rsidR="008052A0" w:rsidRPr="00480CED" w:rsidRDefault="008052A0" w:rsidP="008052A0">
            <w:pPr>
              <w:pStyle w:val="List"/>
              <w:tabs>
                <w:tab w:val="left" w:pos="360"/>
              </w:tabs>
              <w:spacing w:before="60" w:after="60" w:line="280" w:lineRule="exact"/>
              <w:ind w:left="0" w:firstLine="0"/>
              <w:rPr>
                <w:rFonts w:ascii="Arial" w:hAnsi="Arial"/>
                <w:sz w:val="20"/>
                <w:szCs w:val="16"/>
              </w:rPr>
            </w:pPr>
            <w:r>
              <w:rPr>
                <w:rFonts w:ascii="Arial" w:hAnsi="Arial"/>
                <w:sz w:val="20"/>
                <w:szCs w:val="16"/>
              </w:rPr>
              <w:t xml:space="preserve">Pursuant to the agreement with Summa LLC. </w:t>
            </w:r>
          </w:p>
        </w:tc>
        <w:tc>
          <w:tcPr>
            <w:tcW w:w="2126" w:type="dxa"/>
          </w:tcPr>
          <w:p w14:paraId="37C6C98C" w14:textId="245705D0" w:rsidR="008052A0" w:rsidRPr="00480CED" w:rsidRDefault="008052A0" w:rsidP="008052A0">
            <w:pPr>
              <w:pStyle w:val="List"/>
              <w:tabs>
                <w:tab w:val="left" w:pos="360"/>
              </w:tabs>
              <w:spacing w:before="60" w:after="60" w:line="280" w:lineRule="exact"/>
              <w:ind w:left="0" w:firstLine="0"/>
              <w:jc w:val="center"/>
              <w:rPr>
                <w:rFonts w:ascii="Arial" w:hAnsi="Arial"/>
                <w:sz w:val="20"/>
                <w:szCs w:val="16"/>
              </w:rPr>
            </w:pPr>
            <w:r>
              <w:rPr>
                <w:rFonts w:ascii="Arial" w:hAnsi="Arial"/>
                <w:sz w:val="20"/>
                <w:szCs w:val="16"/>
                <w:lang w:val="en-US"/>
              </w:rPr>
              <w:t>N/A</w:t>
            </w:r>
          </w:p>
        </w:tc>
      </w:tr>
      <w:tr w:rsidR="008052A0" w:rsidRPr="00480CED" w14:paraId="3C6E8CD6" w14:textId="77777777" w:rsidTr="00961A72">
        <w:tc>
          <w:tcPr>
            <w:tcW w:w="1730" w:type="dxa"/>
          </w:tcPr>
          <w:p w14:paraId="10BD5E87" w14:textId="3FF4F23E" w:rsidR="008052A0" w:rsidRDefault="008052A0" w:rsidP="008052A0">
            <w:pPr>
              <w:pStyle w:val="List"/>
              <w:tabs>
                <w:tab w:val="left" w:pos="360"/>
              </w:tabs>
              <w:spacing w:before="60" w:after="60" w:line="280" w:lineRule="exact"/>
              <w:ind w:left="0" w:firstLine="0"/>
              <w:jc w:val="both"/>
              <w:rPr>
                <w:rFonts w:ascii="Arial" w:hAnsi="Arial"/>
                <w:sz w:val="20"/>
                <w:szCs w:val="16"/>
              </w:rPr>
            </w:pPr>
            <w:r>
              <w:rPr>
                <w:rFonts w:ascii="Arial" w:hAnsi="Arial"/>
                <w:sz w:val="20"/>
                <w:szCs w:val="16"/>
              </w:rPr>
              <w:t>Common Shares</w:t>
            </w:r>
          </w:p>
        </w:tc>
        <w:tc>
          <w:tcPr>
            <w:tcW w:w="1276" w:type="dxa"/>
          </w:tcPr>
          <w:p w14:paraId="4BE0272D" w14:textId="76567B5C" w:rsidR="008052A0" w:rsidRDefault="008052A0" w:rsidP="008052A0">
            <w:pPr>
              <w:pStyle w:val="List"/>
              <w:tabs>
                <w:tab w:val="left" w:pos="360"/>
              </w:tabs>
              <w:spacing w:before="60" w:after="60" w:line="280" w:lineRule="exact"/>
              <w:ind w:left="0" w:firstLine="0"/>
              <w:jc w:val="right"/>
              <w:rPr>
                <w:rFonts w:ascii="Arial" w:hAnsi="Arial"/>
                <w:sz w:val="20"/>
                <w:szCs w:val="16"/>
              </w:rPr>
            </w:pPr>
            <w:r>
              <w:rPr>
                <w:rFonts w:ascii="Arial" w:hAnsi="Arial"/>
                <w:sz w:val="20"/>
                <w:szCs w:val="16"/>
              </w:rPr>
              <w:t>42,700</w:t>
            </w:r>
          </w:p>
        </w:tc>
        <w:tc>
          <w:tcPr>
            <w:tcW w:w="3402" w:type="dxa"/>
          </w:tcPr>
          <w:p w14:paraId="714BC3C9" w14:textId="7DC68086" w:rsidR="008052A0" w:rsidRDefault="008052A0" w:rsidP="008052A0">
            <w:pPr>
              <w:pStyle w:val="List"/>
              <w:tabs>
                <w:tab w:val="left" w:pos="360"/>
              </w:tabs>
              <w:spacing w:before="60" w:after="60" w:line="280" w:lineRule="exact"/>
              <w:ind w:left="0" w:firstLine="0"/>
              <w:rPr>
                <w:rFonts w:ascii="Arial" w:hAnsi="Arial"/>
                <w:sz w:val="20"/>
                <w:szCs w:val="16"/>
              </w:rPr>
            </w:pPr>
            <w:r>
              <w:rPr>
                <w:rFonts w:ascii="Arial" w:hAnsi="Arial"/>
                <w:sz w:val="20"/>
                <w:szCs w:val="16"/>
              </w:rPr>
              <w:t>Pursuant from the exercise of warrants for proceeds of $10,675.</w:t>
            </w:r>
          </w:p>
        </w:tc>
        <w:tc>
          <w:tcPr>
            <w:tcW w:w="2126" w:type="dxa"/>
          </w:tcPr>
          <w:p w14:paraId="02A2D914" w14:textId="596FF4CC" w:rsidR="008052A0" w:rsidRDefault="008052A0" w:rsidP="008052A0">
            <w:pPr>
              <w:pStyle w:val="List"/>
              <w:tabs>
                <w:tab w:val="left" w:pos="360"/>
              </w:tabs>
              <w:spacing w:before="60" w:after="60" w:line="280" w:lineRule="exact"/>
              <w:ind w:left="0" w:firstLine="0"/>
              <w:jc w:val="center"/>
              <w:rPr>
                <w:rFonts w:ascii="Arial" w:hAnsi="Arial"/>
                <w:sz w:val="20"/>
                <w:szCs w:val="16"/>
                <w:lang w:val="en-US"/>
              </w:rPr>
            </w:pPr>
            <w:r>
              <w:rPr>
                <w:rFonts w:ascii="Arial" w:hAnsi="Arial"/>
                <w:sz w:val="20"/>
                <w:szCs w:val="16"/>
                <w:lang w:val="en-US"/>
              </w:rPr>
              <w:t>N/A</w:t>
            </w:r>
          </w:p>
        </w:tc>
      </w:tr>
    </w:tbl>
    <w:p w14:paraId="672547D2" w14:textId="02D9B8CB" w:rsidR="00640E94" w:rsidRPr="00FF3FD9" w:rsidRDefault="00640E94" w:rsidP="00961A72">
      <w:pPr>
        <w:pStyle w:val="List"/>
        <w:numPr>
          <w:ilvl w:val="0"/>
          <w:numId w:val="29"/>
        </w:numPr>
        <w:tabs>
          <w:tab w:val="left" w:pos="360"/>
        </w:tabs>
        <w:spacing w:before="200"/>
        <w:jc w:val="both"/>
        <w:rPr>
          <w:rFonts w:ascii="Arial" w:hAnsi="Arial"/>
          <w:i/>
          <w:sz w:val="20"/>
        </w:rPr>
      </w:pPr>
      <w:r w:rsidRPr="00FF3FD9">
        <w:rPr>
          <w:rFonts w:ascii="Arial" w:hAnsi="Arial"/>
          <w:i/>
          <w:sz w:val="20"/>
        </w:rPr>
        <w:t>State aggregate proceeds and intended allocation of proceeds.</w:t>
      </w:r>
    </w:p>
    <w:p w14:paraId="78ED0D10" w14:textId="77777777" w:rsidR="00517D61" w:rsidRDefault="00517D61" w:rsidP="00517D61">
      <w:pPr>
        <w:pStyle w:val="List"/>
        <w:tabs>
          <w:tab w:val="left" w:pos="360"/>
        </w:tabs>
        <w:spacing w:before="0"/>
        <w:ind w:left="720" w:firstLine="0"/>
        <w:jc w:val="both"/>
        <w:rPr>
          <w:rFonts w:ascii="Arial" w:hAnsi="Arial"/>
          <w:b/>
        </w:rPr>
      </w:pPr>
    </w:p>
    <w:p w14:paraId="1C412BF7" w14:textId="4C433DF8" w:rsidR="00640E94" w:rsidRDefault="00640E94" w:rsidP="00517D61">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5F315D68" w14:textId="77777777" w:rsidR="00517D61" w:rsidRDefault="00517D61" w:rsidP="00517D61">
      <w:pPr>
        <w:pStyle w:val="List"/>
        <w:keepNext/>
        <w:keepLines/>
        <w:spacing w:before="0"/>
        <w:ind w:left="720" w:firstLine="0"/>
        <w:jc w:val="both"/>
        <w:rPr>
          <w:rFonts w:ascii="Arial" w:hAnsi="Arial"/>
        </w:rPr>
      </w:pPr>
    </w:p>
    <w:p w14:paraId="0B40730F" w14:textId="77777777" w:rsidR="00564E92" w:rsidRPr="00B746C8" w:rsidRDefault="00564E92" w:rsidP="00517D61">
      <w:pPr>
        <w:pStyle w:val="List"/>
        <w:tabs>
          <w:tab w:val="left" w:pos="360"/>
        </w:tabs>
        <w:spacing w:before="0"/>
        <w:ind w:left="720" w:firstLine="0"/>
        <w:jc w:val="both"/>
        <w:rPr>
          <w:rFonts w:ascii="Arial" w:hAnsi="Arial"/>
          <w:b/>
        </w:rPr>
      </w:pPr>
      <w:r>
        <w:rPr>
          <w:rFonts w:ascii="Arial" w:hAnsi="Arial"/>
          <w:b/>
        </w:rPr>
        <w:t>N/A</w:t>
      </w:r>
    </w:p>
    <w:p w14:paraId="428AAF23" w14:textId="77777777" w:rsidR="00564E92" w:rsidRDefault="00564E92" w:rsidP="0085769A">
      <w:pPr>
        <w:pStyle w:val="List"/>
        <w:keepNext/>
        <w:keepLines/>
        <w:spacing w:before="0"/>
        <w:jc w:val="both"/>
        <w:rPr>
          <w:rFonts w:ascii="Arial" w:hAnsi="Arial"/>
        </w:rPr>
      </w:pPr>
    </w:p>
    <w:p w14:paraId="5D6D9D64" w14:textId="03D9358D"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EE822BC" w14:textId="77777777" w:rsidR="00517D61" w:rsidRDefault="00517D61" w:rsidP="00517D61">
      <w:pPr>
        <w:pStyle w:val="List"/>
        <w:keepNext/>
        <w:keepLines/>
        <w:spacing w:before="0"/>
        <w:ind w:left="720" w:firstLine="0"/>
        <w:jc w:val="both"/>
        <w:rPr>
          <w:rFonts w:ascii="Arial" w:hAnsi="Arial"/>
        </w:rPr>
      </w:pPr>
    </w:p>
    <w:p w14:paraId="095E317D" w14:textId="77CC63D8" w:rsidR="00A5024B" w:rsidRPr="00961A72" w:rsidRDefault="00353D48" w:rsidP="00961A72">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sz w:val="24"/>
        </w:rPr>
        <w:t xml:space="preserve">None. </w:t>
      </w:r>
    </w:p>
    <w:p w14:paraId="2CE7E01B" w14:textId="77777777" w:rsidR="00A63AB0" w:rsidRDefault="00A63AB0" w:rsidP="0085769A">
      <w:pPr>
        <w:pStyle w:val="List"/>
        <w:keepNext/>
        <w:keepLines/>
        <w:spacing w:before="0"/>
        <w:jc w:val="both"/>
        <w:rPr>
          <w:rFonts w:ascii="Arial" w:hAnsi="Arial"/>
        </w:rPr>
      </w:pPr>
    </w:p>
    <w:p w14:paraId="760B4F0C" w14:textId="7252F970" w:rsidR="00640E94" w:rsidRDefault="00640E94" w:rsidP="00517D61">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74383199" w14:textId="77777777" w:rsidR="00517D61" w:rsidRDefault="00517D61" w:rsidP="00517D61">
      <w:pPr>
        <w:pStyle w:val="List"/>
        <w:spacing w:before="0"/>
        <w:ind w:left="720" w:firstLine="0"/>
        <w:jc w:val="both"/>
        <w:rPr>
          <w:rFonts w:ascii="Arial" w:hAnsi="Arial"/>
        </w:rPr>
      </w:pPr>
    </w:p>
    <w:p w14:paraId="609F5ED1" w14:textId="54AF91E8" w:rsidR="00517D61" w:rsidRPr="003C2890" w:rsidRDefault="00517D61" w:rsidP="00517D61">
      <w:pPr>
        <w:widowControl w:val="0"/>
        <w:overflowPunct w:val="0"/>
        <w:autoSpaceDE w:val="0"/>
        <w:autoSpaceDN w:val="0"/>
        <w:adjustRightInd w:val="0"/>
        <w:spacing w:line="212" w:lineRule="auto"/>
        <w:ind w:left="720"/>
        <w:jc w:val="both"/>
        <w:rPr>
          <w:rFonts w:ascii="Arial" w:hAnsi="Arial"/>
          <w:b/>
          <w:bCs/>
          <w:color w:val="000000"/>
          <w:sz w:val="24"/>
          <w:lang w:val="en-GB"/>
        </w:rPr>
      </w:pPr>
      <w:r w:rsidRPr="003C2890">
        <w:rPr>
          <w:rFonts w:ascii="Arial" w:hAnsi="Arial"/>
          <w:b/>
          <w:bCs/>
          <w:color w:val="000000"/>
          <w:sz w:val="24"/>
          <w:lang w:val="en-GB"/>
        </w:rPr>
        <w:t xml:space="preserve">The trends and risks which are likely to impact the Issuer are detailed in </w:t>
      </w:r>
      <w:r w:rsidR="00742ACB" w:rsidRPr="00742ACB">
        <w:rPr>
          <w:rFonts w:ascii="Arial" w:hAnsi="Arial"/>
          <w:b/>
          <w:bCs/>
          <w:i/>
          <w:iCs/>
          <w:color w:val="000000"/>
          <w:sz w:val="24"/>
          <w:lang w:val="en-GB"/>
        </w:rPr>
        <w:t>“</w:t>
      </w:r>
      <w:r w:rsidRPr="00742ACB">
        <w:rPr>
          <w:rFonts w:ascii="Arial" w:hAnsi="Arial"/>
          <w:b/>
          <w:bCs/>
          <w:i/>
          <w:iCs/>
          <w:color w:val="000000"/>
          <w:sz w:val="24"/>
          <w:lang w:val="en-GB"/>
        </w:rPr>
        <w:t>Risk Factors</w:t>
      </w:r>
      <w:r w:rsidR="00742ACB" w:rsidRPr="00742ACB">
        <w:rPr>
          <w:rFonts w:ascii="Arial" w:hAnsi="Arial"/>
          <w:b/>
          <w:bCs/>
          <w:i/>
          <w:iCs/>
          <w:color w:val="000000"/>
          <w:sz w:val="24"/>
          <w:lang w:val="en-GB"/>
        </w:rPr>
        <w:t>”</w:t>
      </w:r>
      <w:r w:rsidRPr="003C2890">
        <w:rPr>
          <w:rFonts w:ascii="Arial" w:hAnsi="Arial"/>
          <w:b/>
          <w:bCs/>
          <w:color w:val="000000"/>
          <w:sz w:val="24"/>
          <w:lang w:val="en-GB"/>
        </w:rPr>
        <w:t xml:space="preserve"> of the Issuer’s Final Prospectus dated</w:t>
      </w:r>
      <w:r w:rsidR="00742ACB">
        <w:rPr>
          <w:rFonts w:ascii="Arial" w:hAnsi="Arial"/>
          <w:b/>
          <w:bCs/>
          <w:color w:val="000000"/>
          <w:sz w:val="24"/>
          <w:lang w:val="en-GB"/>
        </w:rPr>
        <w:t xml:space="preserve"> February 4, 2020</w:t>
      </w:r>
      <w:r w:rsidRPr="003C2890">
        <w:rPr>
          <w:rFonts w:ascii="Arial" w:hAnsi="Arial"/>
          <w:b/>
          <w:bCs/>
          <w:color w:val="000000"/>
          <w:sz w:val="24"/>
          <w:lang w:val="en-GB"/>
        </w:rPr>
        <w:t xml:space="preserve">. </w:t>
      </w:r>
    </w:p>
    <w:p w14:paraId="1AE4AA4D" w14:textId="77777777" w:rsidR="00564E92" w:rsidRDefault="00564E92">
      <w:pPr>
        <w:pStyle w:val="List"/>
        <w:keepNext/>
        <w:spacing w:before="120"/>
        <w:ind w:left="0" w:firstLine="0"/>
        <w:rPr>
          <w:rFonts w:ascii="Arial" w:hAnsi="Arial"/>
          <w:b/>
        </w:rPr>
      </w:pPr>
    </w:p>
    <w:p w14:paraId="7088BD67" w14:textId="6EC3F4DA" w:rsidR="00DD5DB8" w:rsidRDefault="00640E94" w:rsidP="00DD5DB8">
      <w:pPr>
        <w:pStyle w:val="List"/>
        <w:keepNext/>
        <w:spacing w:before="120"/>
        <w:ind w:left="0" w:firstLine="0"/>
        <w:rPr>
          <w:rFonts w:ascii="Arial" w:hAnsi="Arial"/>
          <w:b/>
        </w:rPr>
      </w:pPr>
      <w:r w:rsidRPr="00961A72">
        <w:br w:type="page"/>
      </w:r>
      <w:bookmarkEnd w:id="4"/>
      <w:r w:rsidR="00DD5DB8">
        <w:rPr>
          <w:rFonts w:ascii="Arial" w:hAnsi="Arial"/>
          <w:b/>
        </w:rPr>
        <w:lastRenderedPageBreak/>
        <w:t>Certificate Of Compliance</w:t>
      </w:r>
    </w:p>
    <w:p w14:paraId="48D70E0E" w14:textId="77777777" w:rsidR="00DD5DB8" w:rsidRDefault="00DD5DB8" w:rsidP="00DD5DB8">
      <w:pPr>
        <w:pStyle w:val="BodyText"/>
        <w:keepNext/>
        <w:rPr>
          <w:rFonts w:ascii="Arial" w:hAnsi="Arial"/>
        </w:rPr>
      </w:pPr>
      <w:r>
        <w:rPr>
          <w:rFonts w:ascii="Arial" w:hAnsi="Arial"/>
        </w:rPr>
        <w:t>The undersigned hereby certifies that:</w:t>
      </w:r>
    </w:p>
    <w:p w14:paraId="7D430FD1" w14:textId="77777777" w:rsidR="00DD5DB8" w:rsidRDefault="00DD5DB8" w:rsidP="00DD5DB8">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0C2B1E0" w14:textId="77777777" w:rsidR="00DD5DB8" w:rsidRDefault="00DD5DB8" w:rsidP="00DD5DB8">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82E960D" w14:textId="77777777" w:rsidR="00DD5DB8" w:rsidRDefault="00DD5DB8" w:rsidP="00DD5DB8">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4E3F22A0" w14:textId="77777777" w:rsidR="00DD5DB8" w:rsidRDefault="00DD5DB8" w:rsidP="00DD5DB8">
      <w:pPr>
        <w:pStyle w:val="List"/>
        <w:numPr>
          <w:ilvl w:val="0"/>
          <w:numId w:val="23"/>
        </w:numPr>
        <w:jc w:val="both"/>
        <w:rPr>
          <w:rFonts w:ascii="Arial" w:hAnsi="Arial"/>
        </w:rPr>
      </w:pPr>
      <w:r>
        <w:rPr>
          <w:rFonts w:ascii="Arial" w:hAnsi="Arial"/>
        </w:rPr>
        <w:t>All of the information in this Form 7 Monthly Progress Report is true.</w:t>
      </w:r>
    </w:p>
    <w:p w14:paraId="67202CEA" w14:textId="2002D8C1" w:rsidR="00DD5DB8" w:rsidRDefault="00DD5DB8" w:rsidP="00DD5DB8">
      <w:pPr>
        <w:pStyle w:val="BodyText"/>
        <w:tabs>
          <w:tab w:val="left" w:pos="4680"/>
          <w:tab w:val="left" w:pos="7200"/>
        </w:tabs>
        <w:spacing w:before="480"/>
        <w:jc w:val="both"/>
        <w:rPr>
          <w:rFonts w:ascii="Arial" w:hAnsi="Arial"/>
        </w:rPr>
      </w:pPr>
      <w:r>
        <w:rPr>
          <w:rFonts w:ascii="Arial" w:hAnsi="Arial"/>
        </w:rPr>
        <w:t xml:space="preserve">Dated </w:t>
      </w:r>
      <w:r w:rsidR="008052A0">
        <w:rPr>
          <w:rFonts w:ascii="Arial" w:hAnsi="Arial"/>
          <w:b/>
          <w:bCs/>
          <w:u w:val="single"/>
        </w:rPr>
        <w:t>October 7</w:t>
      </w:r>
      <w:r w:rsidRPr="00564E92">
        <w:rPr>
          <w:rFonts w:ascii="Arial" w:hAnsi="Arial"/>
          <w:b/>
          <w:bCs/>
          <w:u w:val="single"/>
        </w:rPr>
        <w:t>, 20</w:t>
      </w:r>
      <w:r>
        <w:rPr>
          <w:rFonts w:ascii="Arial" w:hAnsi="Arial"/>
          <w:b/>
          <w:bCs/>
          <w:u w:val="single"/>
        </w:rPr>
        <w:t>20</w:t>
      </w:r>
      <w:r>
        <w:rPr>
          <w:rFonts w:ascii="Arial" w:hAnsi="Arial"/>
          <w:u w:val="single"/>
        </w:rPr>
        <w:tab/>
      </w:r>
      <w:r>
        <w:rPr>
          <w:rFonts w:ascii="Arial" w:hAnsi="Arial"/>
        </w:rPr>
        <w:t>.</w:t>
      </w:r>
    </w:p>
    <w:p w14:paraId="5867F036" w14:textId="77777777" w:rsidR="00DD5DB8" w:rsidRDefault="00DD5DB8" w:rsidP="00DD5DB8">
      <w:pPr>
        <w:pStyle w:val="List"/>
        <w:tabs>
          <w:tab w:val="left" w:pos="9180"/>
        </w:tabs>
        <w:ind w:left="5760" w:hanging="5760"/>
        <w:rPr>
          <w:rFonts w:ascii="Arial" w:hAnsi="Arial"/>
        </w:rPr>
      </w:pPr>
      <w:r>
        <w:rPr>
          <w:rFonts w:ascii="Arial" w:hAnsi="Arial"/>
        </w:rPr>
        <w:tab/>
      </w:r>
      <w:r>
        <w:rPr>
          <w:rFonts w:ascii="Arial" w:hAnsi="Arial"/>
          <w:b/>
          <w:bCs/>
          <w:u w:val="single"/>
        </w:rPr>
        <w:t>Martin Bajic</w:t>
      </w:r>
      <w:r>
        <w:rPr>
          <w:rFonts w:ascii="Arial" w:hAnsi="Arial"/>
          <w:u w:val="single"/>
        </w:rPr>
        <w:tab/>
      </w:r>
      <w:r>
        <w:rPr>
          <w:rFonts w:ascii="Arial" w:hAnsi="Arial"/>
          <w:u w:val="single"/>
        </w:rPr>
        <w:br/>
      </w:r>
      <w:r>
        <w:rPr>
          <w:rFonts w:ascii="Arial" w:hAnsi="Arial"/>
        </w:rPr>
        <w:t>Name of Director or Senior Officer</w:t>
      </w:r>
    </w:p>
    <w:p w14:paraId="26773457" w14:textId="77777777" w:rsidR="00DD5DB8" w:rsidRDefault="00DD5DB8" w:rsidP="00DD5DB8">
      <w:pPr>
        <w:pStyle w:val="List"/>
        <w:tabs>
          <w:tab w:val="left" w:pos="9180"/>
          <w:tab w:val="left" w:pos="9360"/>
        </w:tabs>
        <w:ind w:left="5760" w:hanging="5760"/>
        <w:rPr>
          <w:rFonts w:ascii="Arial" w:hAnsi="Arial"/>
        </w:rPr>
      </w:pPr>
      <w:r>
        <w:rPr>
          <w:rFonts w:ascii="Arial" w:hAnsi="Arial"/>
        </w:rPr>
        <w:tab/>
      </w:r>
      <w:r w:rsidRPr="00DD1725">
        <w:rPr>
          <w:rFonts w:ascii="Arial" w:hAnsi="Arial"/>
          <w:b/>
          <w:bCs/>
          <w:i/>
          <w:u w:val="single"/>
        </w:rPr>
        <w:t>/s/ “</w:t>
      </w:r>
      <w:r>
        <w:rPr>
          <w:rFonts w:ascii="Arial" w:hAnsi="Arial"/>
          <w:b/>
          <w:bCs/>
          <w:i/>
          <w:iCs/>
          <w:u w:val="single"/>
        </w:rPr>
        <w:t>Martin Bajic</w:t>
      </w:r>
      <w:r w:rsidRPr="00DD1725">
        <w:rPr>
          <w:rFonts w:ascii="Arial" w:hAnsi="Arial"/>
          <w:b/>
          <w:bCs/>
          <w:i/>
          <w:u w:val="single"/>
        </w:rPr>
        <w:t>”</w:t>
      </w:r>
      <w:r>
        <w:rPr>
          <w:rFonts w:ascii="Arial" w:hAnsi="Arial"/>
          <w:u w:val="single"/>
        </w:rPr>
        <w:tab/>
      </w:r>
      <w:r>
        <w:rPr>
          <w:rFonts w:ascii="Arial" w:hAnsi="Arial"/>
        </w:rPr>
        <w:br/>
        <w:t>Signature</w:t>
      </w:r>
    </w:p>
    <w:p w14:paraId="461FB696" w14:textId="77777777" w:rsidR="00DD5DB8" w:rsidRDefault="00DD5DB8" w:rsidP="00DD5DB8">
      <w:pPr>
        <w:pStyle w:val="BodyText"/>
        <w:tabs>
          <w:tab w:val="left" w:pos="9180"/>
        </w:tabs>
        <w:spacing w:before="0"/>
        <w:ind w:left="5760"/>
        <w:rPr>
          <w:rFonts w:ascii="Arial" w:hAnsi="Arial"/>
          <w:u w:val="single"/>
        </w:rPr>
      </w:pPr>
    </w:p>
    <w:p w14:paraId="49AC6F2F" w14:textId="77777777" w:rsidR="00DD5DB8" w:rsidRDefault="00DD5DB8" w:rsidP="00DD5DB8">
      <w:pPr>
        <w:pStyle w:val="BodyText"/>
        <w:tabs>
          <w:tab w:val="left" w:pos="9180"/>
        </w:tabs>
        <w:spacing w:before="0"/>
        <w:ind w:left="5760"/>
        <w:rPr>
          <w:rFonts w:ascii="Arial" w:hAnsi="Arial"/>
        </w:rPr>
      </w:pPr>
      <w:r>
        <w:rPr>
          <w:rFonts w:ascii="Arial" w:hAnsi="Arial"/>
          <w:b/>
          <w:bCs/>
          <w:u w:val="single"/>
        </w:rPr>
        <w:t>CFO</w:t>
      </w:r>
      <w:r>
        <w:rPr>
          <w:rFonts w:ascii="Arial" w:hAnsi="Arial"/>
          <w:u w:val="single"/>
        </w:rPr>
        <w:tab/>
      </w:r>
      <w:r>
        <w:rPr>
          <w:rFonts w:ascii="Arial" w:hAnsi="Arial"/>
        </w:rPr>
        <w:br/>
        <w:t>Official Capacity</w:t>
      </w:r>
    </w:p>
    <w:p w14:paraId="77323DFB" w14:textId="77777777" w:rsidR="00DD5DB8" w:rsidRDefault="00DD5DB8" w:rsidP="00DD5DB8">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DD5DB8" w14:paraId="2C41AA04" w14:textId="77777777" w:rsidTr="007B329E">
        <w:tc>
          <w:tcPr>
            <w:tcW w:w="4878" w:type="dxa"/>
            <w:tcBorders>
              <w:top w:val="single" w:sz="18" w:space="0" w:color="auto"/>
              <w:bottom w:val="nil"/>
              <w:right w:val="single" w:sz="18" w:space="0" w:color="auto"/>
            </w:tcBorders>
          </w:tcPr>
          <w:p w14:paraId="5D80B334" w14:textId="77777777" w:rsidR="00DD5DB8" w:rsidRDefault="00DD5DB8" w:rsidP="007B329E">
            <w:pPr>
              <w:pStyle w:val="BodyText"/>
              <w:spacing w:before="0"/>
              <w:rPr>
                <w:rFonts w:ascii="Arial" w:hAnsi="Arial"/>
                <w:b/>
                <w:i/>
              </w:rPr>
            </w:pPr>
            <w:r>
              <w:rPr>
                <w:rFonts w:ascii="Arial" w:hAnsi="Arial"/>
                <w:b/>
                <w:i/>
              </w:rPr>
              <w:t>Issuer Details</w:t>
            </w:r>
          </w:p>
          <w:p w14:paraId="2D67B6D2" w14:textId="77777777" w:rsidR="00DD5DB8" w:rsidRDefault="00DD5DB8" w:rsidP="007B329E">
            <w:pPr>
              <w:pStyle w:val="BodyText"/>
              <w:spacing w:before="0"/>
              <w:rPr>
                <w:rFonts w:ascii="Arial" w:hAnsi="Arial"/>
              </w:rPr>
            </w:pPr>
            <w:r>
              <w:rPr>
                <w:rFonts w:ascii="Arial" w:hAnsi="Arial"/>
              </w:rPr>
              <w:t>Name of Issuer</w:t>
            </w:r>
          </w:p>
          <w:p w14:paraId="7EDD6376" w14:textId="1DD89B8B" w:rsidR="00DD5DB8" w:rsidRDefault="00961A72" w:rsidP="007B329E">
            <w:pPr>
              <w:pStyle w:val="BodyText"/>
              <w:spacing w:before="0"/>
              <w:rPr>
                <w:rFonts w:ascii="Arial" w:hAnsi="Arial"/>
              </w:rPr>
            </w:pPr>
            <w:r>
              <w:rPr>
                <w:rFonts w:ascii="Arial" w:hAnsi="Arial"/>
                <w:b/>
                <w:bCs/>
              </w:rPr>
              <w:t>Summa Silver</w:t>
            </w:r>
            <w:r w:rsidR="00DD5DB8">
              <w:rPr>
                <w:rFonts w:ascii="Arial" w:hAnsi="Arial"/>
                <w:b/>
                <w:bCs/>
              </w:rPr>
              <w:t xml:space="preserve"> Corp.</w:t>
            </w:r>
          </w:p>
        </w:tc>
        <w:tc>
          <w:tcPr>
            <w:tcW w:w="2176" w:type="dxa"/>
            <w:tcBorders>
              <w:top w:val="single" w:sz="18" w:space="0" w:color="auto"/>
              <w:left w:val="single" w:sz="18" w:space="0" w:color="auto"/>
              <w:bottom w:val="nil"/>
              <w:right w:val="single" w:sz="18" w:space="0" w:color="auto"/>
            </w:tcBorders>
          </w:tcPr>
          <w:p w14:paraId="0E3DA985" w14:textId="77777777" w:rsidR="00DD5DB8" w:rsidRDefault="00DD5DB8" w:rsidP="007B329E">
            <w:pPr>
              <w:pStyle w:val="BodyText"/>
              <w:spacing w:before="0"/>
              <w:rPr>
                <w:rFonts w:ascii="Arial" w:hAnsi="Arial"/>
              </w:rPr>
            </w:pPr>
            <w:r>
              <w:rPr>
                <w:rFonts w:ascii="Arial" w:hAnsi="Arial"/>
              </w:rPr>
              <w:t>For  Month End</w:t>
            </w:r>
          </w:p>
          <w:p w14:paraId="6E9D0C56" w14:textId="77777777" w:rsidR="00DD5DB8" w:rsidRDefault="00DD5DB8" w:rsidP="007B329E">
            <w:pPr>
              <w:pStyle w:val="BodyText"/>
              <w:spacing w:before="0"/>
              <w:rPr>
                <w:rFonts w:ascii="Arial" w:hAnsi="Arial"/>
                <w:b/>
                <w:bCs/>
              </w:rPr>
            </w:pPr>
          </w:p>
          <w:p w14:paraId="19EF21DA" w14:textId="524FEA06" w:rsidR="00DD5DB8" w:rsidRDefault="008052A0" w:rsidP="007B329E">
            <w:pPr>
              <w:pStyle w:val="BodyText"/>
              <w:spacing w:before="0"/>
              <w:rPr>
                <w:rFonts w:ascii="Arial" w:hAnsi="Arial"/>
              </w:rPr>
            </w:pPr>
            <w:r>
              <w:rPr>
                <w:rFonts w:ascii="Arial" w:hAnsi="Arial"/>
                <w:b/>
                <w:bCs/>
              </w:rPr>
              <w:t>September</w:t>
            </w:r>
            <w:r w:rsidR="00A5024B">
              <w:rPr>
                <w:rFonts w:ascii="Arial" w:hAnsi="Arial"/>
                <w:b/>
                <w:bCs/>
              </w:rPr>
              <w:t xml:space="preserve"> </w:t>
            </w:r>
            <w:r w:rsidR="00DD5DB8">
              <w:rPr>
                <w:rFonts w:ascii="Arial" w:hAnsi="Arial"/>
                <w:b/>
                <w:bCs/>
              </w:rPr>
              <w:t>2020</w:t>
            </w:r>
          </w:p>
        </w:tc>
        <w:tc>
          <w:tcPr>
            <w:tcW w:w="2522" w:type="dxa"/>
            <w:tcBorders>
              <w:top w:val="single" w:sz="18" w:space="0" w:color="auto"/>
              <w:left w:val="single" w:sz="18" w:space="0" w:color="auto"/>
              <w:bottom w:val="nil"/>
            </w:tcBorders>
          </w:tcPr>
          <w:p w14:paraId="05F25D2C" w14:textId="77777777" w:rsidR="00DD5DB8" w:rsidRPr="00564E92" w:rsidRDefault="00DD5DB8" w:rsidP="007B329E">
            <w:pPr>
              <w:pStyle w:val="BodyText"/>
              <w:spacing w:before="0"/>
              <w:rPr>
                <w:rFonts w:ascii="Arial" w:hAnsi="Arial"/>
              </w:rPr>
            </w:pPr>
            <w:r w:rsidRPr="00564E92">
              <w:rPr>
                <w:rFonts w:ascii="Arial" w:hAnsi="Arial"/>
              </w:rPr>
              <w:t>Date of Report</w:t>
            </w:r>
          </w:p>
          <w:p w14:paraId="3DED2492" w14:textId="77777777" w:rsidR="00DD5DB8" w:rsidRPr="00564E92" w:rsidRDefault="00DD5DB8" w:rsidP="007B329E">
            <w:pPr>
              <w:pStyle w:val="BodyText"/>
              <w:spacing w:before="0"/>
              <w:rPr>
                <w:rFonts w:ascii="Arial" w:hAnsi="Arial"/>
              </w:rPr>
            </w:pPr>
            <w:r w:rsidRPr="00564E92">
              <w:rPr>
                <w:rFonts w:ascii="Arial" w:hAnsi="Arial"/>
              </w:rPr>
              <w:t>YY/MM/D</w:t>
            </w:r>
          </w:p>
          <w:p w14:paraId="4DA0C8BC" w14:textId="49CC8D6F" w:rsidR="00DD5DB8" w:rsidRPr="00564E92" w:rsidRDefault="00DD5DB8" w:rsidP="007B329E">
            <w:pPr>
              <w:pStyle w:val="BodyText"/>
              <w:spacing w:before="0"/>
              <w:rPr>
                <w:rFonts w:ascii="Arial" w:hAnsi="Arial"/>
                <w:b/>
                <w:bCs/>
              </w:rPr>
            </w:pPr>
            <w:r>
              <w:rPr>
                <w:rFonts w:ascii="Arial" w:hAnsi="Arial"/>
                <w:b/>
                <w:bCs/>
              </w:rPr>
              <w:t>20</w:t>
            </w:r>
            <w:r w:rsidRPr="00564E92">
              <w:rPr>
                <w:rFonts w:ascii="Arial" w:hAnsi="Arial"/>
                <w:b/>
                <w:bCs/>
              </w:rPr>
              <w:t>/</w:t>
            </w:r>
            <w:r w:rsidR="00353D48">
              <w:rPr>
                <w:rFonts w:ascii="Arial" w:hAnsi="Arial"/>
                <w:b/>
                <w:bCs/>
              </w:rPr>
              <w:t>10</w:t>
            </w:r>
            <w:r w:rsidRPr="00564E92">
              <w:rPr>
                <w:rFonts w:ascii="Arial" w:hAnsi="Arial"/>
                <w:b/>
                <w:bCs/>
              </w:rPr>
              <w:t>/</w:t>
            </w:r>
            <w:r w:rsidR="008052A0">
              <w:rPr>
                <w:rFonts w:ascii="Arial" w:hAnsi="Arial"/>
                <w:b/>
                <w:bCs/>
              </w:rPr>
              <w:t>07</w:t>
            </w:r>
          </w:p>
        </w:tc>
      </w:tr>
      <w:tr w:rsidR="00DD5DB8" w14:paraId="78F4BF47" w14:textId="77777777" w:rsidTr="007B329E">
        <w:trPr>
          <w:cantSplit/>
        </w:trPr>
        <w:tc>
          <w:tcPr>
            <w:tcW w:w="9576" w:type="dxa"/>
            <w:gridSpan w:val="3"/>
            <w:tcBorders>
              <w:top w:val="single" w:sz="18" w:space="0" w:color="auto"/>
              <w:bottom w:val="single" w:sz="18" w:space="0" w:color="auto"/>
            </w:tcBorders>
          </w:tcPr>
          <w:p w14:paraId="6E242D7F" w14:textId="77777777" w:rsidR="00DD5DB8" w:rsidRDefault="00DD5DB8" w:rsidP="007B329E">
            <w:pPr>
              <w:pStyle w:val="BodyText"/>
              <w:spacing w:before="0"/>
              <w:rPr>
                <w:rFonts w:ascii="Arial" w:hAnsi="Arial"/>
              </w:rPr>
            </w:pPr>
            <w:r>
              <w:rPr>
                <w:rFonts w:ascii="Arial" w:hAnsi="Arial"/>
              </w:rPr>
              <w:t>Issuer Address</w:t>
            </w:r>
          </w:p>
          <w:p w14:paraId="7CF25D5D" w14:textId="77777777" w:rsidR="00DD5DB8" w:rsidRDefault="00DD5DB8" w:rsidP="007B329E">
            <w:pPr>
              <w:pStyle w:val="BodyText"/>
              <w:spacing w:before="0"/>
              <w:rPr>
                <w:rFonts w:ascii="Arial" w:hAnsi="Arial"/>
              </w:rPr>
            </w:pPr>
            <w:r w:rsidRPr="00564E92">
              <w:rPr>
                <w:rFonts w:ascii="Arial" w:hAnsi="Arial"/>
                <w:b/>
                <w:bCs/>
              </w:rPr>
              <w:t>918 - 1030 West Georgia Street</w:t>
            </w:r>
          </w:p>
        </w:tc>
      </w:tr>
      <w:tr w:rsidR="00DD5DB8" w14:paraId="33392DC3" w14:textId="77777777" w:rsidTr="007B329E">
        <w:tc>
          <w:tcPr>
            <w:tcW w:w="4878" w:type="dxa"/>
            <w:tcBorders>
              <w:top w:val="single" w:sz="18" w:space="0" w:color="auto"/>
              <w:bottom w:val="single" w:sz="18" w:space="0" w:color="auto"/>
              <w:right w:val="single" w:sz="18" w:space="0" w:color="auto"/>
            </w:tcBorders>
          </w:tcPr>
          <w:p w14:paraId="605B08CB" w14:textId="77777777" w:rsidR="00DD5DB8" w:rsidRDefault="00DD5DB8" w:rsidP="007B329E">
            <w:pPr>
              <w:pStyle w:val="BodyText"/>
              <w:spacing w:before="0"/>
              <w:rPr>
                <w:rFonts w:ascii="Arial" w:hAnsi="Arial"/>
              </w:rPr>
            </w:pPr>
            <w:r>
              <w:rPr>
                <w:rFonts w:ascii="Arial" w:hAnsi="Arial"/>
              </w:rPr>
              <w:t>City/Province/Postal Code</w:t>
            </w:r>
          </w:p>
          <w:p w14:paraId="1F6D3348" w14:textId="77777777" w:rsidR="00DD5DB8" w:rsidRDefault="00DD5DB8" w:rsidP="007B329E">
            <w:pPr>
              <w:pStyle w:val="BodyText"/>
              <w:spacing w:before="0"/>
              <w:rPr>
                <w:rFonts w:ascii="Arial" w:hAnsi="Arial"/>
              </w:rPr>
            </w:pPr>
            <w:r w:rsidRPr="000B0A96">
              <w:rPr>
                <w:rFonts w:ascii="Arial" w:hAnsi="Arial"/>
                <w:b/>
                <w:bCs/>
              </w:rPr>
              <w:t>Vancouver, BC V6E 2Y3</w:t>
            </w:r>
          </w:p>
        </w:tc>
        <w:tc>
          <w:tcPr>
            <w:tcW w:w="2176" w:type="dxa"/>
            <w:tcBorders>
              <w:top w:val="single" w:sz="18" w:space="0" w:color="auto"/>
              <w:left w:val="single" w:sz="18" w:space="0" w:color="auto"/>
              <w:bottom w:val="single" w:sz="18" w:space="0" w:color="auto"/>
              <w:right w:val="single" w:sz="18" w:space="0" w:color="auto"/>
            </w:tcBorders>
          </w:tcPr>
          <w:p w14:paraId="3B551B56" w14:textId="77777777" w:rsidR="00DD5DB8" w:rsidRDefault="00DD5DB8" w:rsidP="007B329E">
            <w:pPr>
              <w:pStyle w:val="BodyText"/>
              <w:spacing w:before="0"/>
              <w:rPr>
                <w:rFonts w:ascii="Arial" w:hAnsi="Arial"/>
              </w:rPr>
            </w:pPr>
            <w:r>
              <w:rPr>
                <w:rFonts w:ascii="Arial" w:hAnsi="Arial"/>
              </w:rPr>
              <w:t>Issuer Fax No.</w:t>
            </w:r>
          </w:p>
          <w:p w14:paraId="4B068556" w14:textId="77777777" w:rsidR="00DD5DB8" w:rsidRDefault="00DD5DB8" w:rsidP="007B329E">
            <w:pPr>
              <w:pStyle w:val="BodyText"/>
              <w:spacing w:before="0"/>
              <w:rPr>
                <w:rFonts w:ascii="Arial" w:hAnsi="Arial"/>
              </w:rPr>
            </w:pPr>
            <w:r w:rsidRPr="00564E92">
              <w:rPr>
                <w:rFonts w:ascii="Arial" w:hAnsi="Arial"/>
                <w:b/>
                <w:bCs/>
              </w:rPr>
              <w:t>(604) 662-7950</w:t>
            </w:r>
          </w:p>
        </w:tc>
        <w:tc>
          <w:tcPr>
            <w:tcW w:w="2522" w:type="dxa"/>
            <w:tcBorders>
              <w:top w:val="single" w:sz="18" w:space="0" w:color="auto"/>
              <w:left w:val="single" w:sz="18" w:space="0" w:color="auto"/>
              <w:bottom w:val="single" w:sz="18" w:space="0" w:color="auto"/>
            </w:tcBorders>
          </w:tcPr>
          <w:p w14:paraId="54361EF0" w14:textId="77777777" w:rsidR="00DD5DB8" w:rsidRDefault="00DD5DB8" w:rsidP="007B329E">
            <w:pPr>
              <w:pStyle w:val="BodyText"/>
              <w:spacing w:before="0"/>
              <w:rPr>
                <w:rFonts w:ascii="Arial" w:hAnsi="Arial"/>
              </w:rPr>
            </w:pPr>
            <w:r>
              <w:rPr>
                <w:rFonts w:ascii="Arial" w:hAnsi="Arial"/>
              </w:rPr>
              <w:t>Issuer Telephone No.</w:t>
            </w:r>
          </w:p>
          <w:p w14:paraId="3B4DD034" w14:textId="779CE60D" w:rsidR="00DD5DB8" w:rsidRDefault="00DD5DB8" w:rsidP="007B329E">
            <w:pPr>
              <w:pStyle w:val="BodyText"/>
              <w:spacing w:before="0"/>
              <w:rPr>
                <w:rFonts w:ascii="Arial" w:hAnsi="Arial"/>
              </w:rPr>
            </w:pPr>
            <w:r w:rsidRPr="00564E92">
              <w:rPr>
                <w:rFonts w:ascii="Arial" w:hAnsi="Arial"/>
                <w:b/>
                <w:bCs/>
              </w:rPr>
              <w:t xml:space="preserve">(604) </w:t>
            </w:r>
            <w:r w:rsidR="008052A0">
              <w:rPr>
                <w:rFonts w:ascii="Arial" w:hAnsi="Arial"/>
                <w:b/>
                <w:bCs/>
              </w:rPr>
              <w:t>551-6770</w:t>
            </w:r>
          </w:p>
        </w:tc>
      </w:tr>
      <w:tr w:rsidR="00DD5DB8" w14:paraId="40B563E6" w14:textId="77777777" w:rsidTr="007B329E">
        <w:tc>
          <w:tcPr>
            <w:tcW w:w="4878" w:type="dxa"/>
            <w:tcBorders>
              <w:top w:val="single" w:sz="18" w:space="0" w:color="auto"/>
              <w:bottom w:val="single" w:sz="18" w:space="0" w:color="auto"/>
              <w:right w:val="single" w:sz="18" w:space="0" w:color="auto"/>
            </w:tcBorders>
          </w:tcPr>
          <w:p w14:paraId="339D67A2" w14:textId="77777777" w:rsidR="00DD5DB8" w:rsidRDefault="00DD5DB8" w:rsidP="007B329E">
            <w:pPr>
              <w:pStyle w:val="BodyText"/>
              <w:spacing w:before="0"/>
              <w:rPr>
                <w:rFonts w:ascii="Arial" w:hAnsi="Arial"/>
              </w:rPr>
            </w:pPr>
            <w:r>
              <w:rPr>
                <w:rFonts w:ascii="Arial" w:hAnsi="Arial"/>
              </w:rPr>
              <w:t>Contact Name</w:t>
            </w:r>
          </w:p>
          <w:p w14:paraId="389D8ADE" w14:textId="77777777" w:rsidR="00DD5DB8" w:rsidRPr="00836B68" w:rsidRDefault="00DD5DB8" w:rsidP="007B329E">
            <w:pPr>
              <w:pStyle w:val="BodyText"/>
              <w:spacing w:before="0"/>
              <w:rPr>
                <w:rFonts w:ascii="Arial" w:hAnsi="Arial"/>
              </w:rPr>
            </w:pPr>
            <w:r>
              <w:rPr>
                <w:rFonts w:ascii="Arial" w:hAnsi="Arial"/>
                <w:b/>
                <w:bCs/>
              </w:rPr>
              <w:t>Martin Bajic</w:t>
            </w:r>
          </w:p>
        </w:tc>
        <w:tc>
          <w:tcPr>
            <w:tcW w:w="2176" w:type="dxa"/>
            <w:tcBorders>
              <w:top w:val="single" w:sz="18" w:space="0" w:color="auto"/>
              <w:left w:val="single" w:sz="18" w:space="0" w:color="auto"/>
              <w:bottom w:val="single" w:sz="18" w:space="0" w:color="auto"/>
              <w:right w:val="single" w:sz="18" w:space="0" w:color="auto"/>
            </w:tcBorders>
          </w:tcPr>
          <w:p w14:paraId="0EE53866" w14:textId="77777777" w:rsidR="00DD5DB8" w:rsidRPr="00564E92" w:rsidRDefault="00DD5DB8" w:rsidP="007B329E">
            <w:pPr>
              <w:pStyle w:val="BodyText"/>
              <w:spacing w:before="0"/>
              <w:rPr>
                <w:rFonts w:ascii="Arial" w:hAnsi="Arial"/>
              </w:rPr>
            </w:pPr>
            <w:r w:rsidRPr="00564E92">
              <w:rPr>
                <w:rFonts w:ascii="Arial" w:hAnsi="Arial"/>
              </w:rPr>
              <w:t>Contact Position</w:t>
            </w:r>
          </w:p>
          <w:p w14:paraId="0AB15B0E" w14:textId="77777777" w:rsidR="00DD5DB8" w:rsidRPr="00564E92" w:rsidRDefault="00DD5DB8" w:rsidP="007B329E">
            <w:pPr>
              <w:pStyle w:val="BodyText"/>
              <w:spacing w:before="0"/>
              <w:rPr>
                <w:rFonts w:ascii="Arial" w:hAnsi="Arial"/>
                <w:b/>
                <w:bCs/>
              </w:rPr>
            </w:pPr>
            <w:r>
              <w:rPr>
                <w:rFonts w:ascii="Arial" w:hAnsi="Arial"/>
                <w:b/>
                <w:bCs/>
              </w:rPr>
              <w:t>CFO</w:t>
            </w:r>
          </w:p>
        </w:tc>
        <w:tc>
          <w:tcPr>
            <w:tcW w:w="2522" w:type="dxa"/>
            <w:tcBorders>
              <w:top w:val="single" w:sz="18" w:space="0" w:color="auto"/>
              <w:left w:val="single" w:sz="18" w:space="0" w:color="auto"/>
              <w:bottom w:val="single" w:sz="18" w:space="0" w:color="auto"/>
            </w:tcBorders>
          </w:tcPr>
          <w:p w14:paraId="50FECBD3" w14:textId="77777777" w:rsidR="00DD5DB8" w:rsidRDefault="00DD5DB8" w:rsidP="007B329E">
            <w:pPr>
              <w:pStyle w:val="BodyText"/>
              <w:spacing w:before="0"/>
              <w:rPr>
                <w:rFonts w:ascii="Arial" w:hAnsi="Arial"/>
              </w:rPr>
            </w:pPr>
            <w:r>
              <w:rPr>
                <w:rFonts w:ascii="Arial" w:hAnsi="Arial"/>
              </w:rPr>
              <w:t>Contact Telephone No.</w:t>
            </w:r>
          </w:p>
          <w:p w14:paraId="59DE5024" w14:textId="77777777" w:rsidR="00DD5DB8" w:rsidRDefault="00DD5DB8" w:rsidP="007B329E">
            <w:pPr>
              <w:pStyle w:val="BodyText"/>
              <w:spacing w:before="0"/>
              <w:rPr>
                <w:rFonts w:ascii="Arial" w:hAnsi="Arial"/>
              </w:rPr>
            </w:pPr>
            <w:r w:rsidRPr="00DF21B6">
              <w:rPr>
                <w:rFonts w:ascii="Arial" w:hAnsi="Arial"/>
                <w:b/>
                <w:bCs/>
              </w:rPr>
              <w:t xml:space="preserve">(604) </w:t>
            </w:r>
            <w:r>
              <w:rPr>
                <w:rFonts w:ascii="Arial" w:hAnsi="Arial"/>
                <w:b/>
                <w:bCs/>
              </w:rPr>
              <w:t>551-6770</w:t>
            </w:r>
          </w:p>
        </w:tc>
      </w:tr>
      <w:tr w:rsidR="00DD5DB8" w14:paraId="69BDC65D" w14:textId="77777777" w:rsidTr="007B329E">
        <w:trPr>
          <w:cantSplit/>
        </w:trPr>
        <w:tc>
          <w:tcPr>
            <w:tcW w:w="4878" w:type="dxa"/>
            <w:tcBorders>
              <w:top w:val="single" w:sz="18" w:space="0" w:color="auto"/>
              <w:bottom w:val="single" w:sz="18" w:space="0" w:color="auto"/>
              <w:right w:val="single" w:sz="18" w:space="0" w:color="auto"/>
            </w:tcBorders>
          </w:tcPr>
          <w:p w14:paraId="09C63AD6" w14:textId="77777777" w:rsidR="00DD5DB8" w:rsidRDefault="00DD5DB8" w:rsidP="007B329E">
            <w:pPr>
              <w:pStyle w:val="BodyText"/>
              <w:spacing w:before="0"/>
              <w:rPr>
                <w:rFonts w:ascii="Arial" w:hAnsi="Arial"/>
              </w:rPr>
            </w:pPr>
            <w:r>
              <w:rPr>
                <w:rFonts w:ascii="Arial" w:hAnsi="Arial"/>
              </w:rPr>
              <w:t>Contact Email Address</w:t>
            </w:r>
          </w:p>
          <w:p w14:paraId="14CBD3C6" w14:textId="77777777" w:rsidR="00DD5DB8" w:rsidRDefault="00DD5DB8" w:rsidP="007B329E">
            <w:pPr>
              <w:pStyle w:val="BodyText"/>
              <w:spacing w:before="0"/>
              <w:rPr>
                <w:rFonts w:ascii="Arial" w:hAnsi="Arial"/>
              </w:rPr>
            </w:pPr>
            <w:r>
              <w:rPr>
                <w:rFonts w:ascii="Arial" w:hAnsi="Arial"/>
                <w:b/>
                <w:bCs/>
              </w:rPr>
              <w:t>martin@nwcapital.ca</w:t>
            </w:r>
          </w:p>
        </w:tc>
        <w:tc>
          <w:tcPr>
            <w:tcW w:w="4698" w:type="dxa"/>
            <w:gridSpan w:val="2"/>
            <w:tcBorders>
              <w:top w:val="single" w:sz="18" w:space="0" w:color="auto"/>
              <w:left w:val="single" w:sz="18" w:space="0" w:color="auto"/>
              <w:bottom w:val="single" w:sz="18" w:space="0" w:color="auto"/>
            </w:tcBorders>
          </w:tcPr>
          <w:p w14:paraId="6A8816F6" w14:textId="77777777" w:rsidR="00DD5DB8" w:rsidRPr="00564E92" w:rsidRDefault="00DD5DB8" w:rsidP="007B329E">
            <w:pPr>
              <w:pStyle w:val="BodyText"/>
              <w:spacing w:before="0"/>
              <w:rPr>
                <w:rFonts w:ascii="Arial" w:hAnsi="Arial"/>
              </w:rPr>
            </w:pPr>
            <w:r w:rsidRPr="00564E92">
              <w:rPr>
                <w:rFonts w:ascii="Arial" w:hAnsi="Arial"/>
              </w:rPr>
              <w:t>Web Site Address</w:t>
            </w:r>
          </w:p>
          <w:p w14:paraId="01E5D8E0" w14:textId="77777777" w:rsidR="00DD5DB8" w:rsidRPr="00564E92" w:rsidRDefault="00DD5DB8" w:rsidP="007B329E">
            <w:pPr>
              <w:pStyle w:val="BodyText"/>
              <w:spacing w:before="0"/>
              <w:rPr>
                <w:rFonts w:ascii="Arial" w:hAnsi="Arial"/>
                <w:b/>
                <w:bCs/>
              </w:rPr>
            </w:pPr>
            <w:r w:rsidRPr="00564E92">
              <w:rPr>
                <w:rFonts w:ascii="Arial" w:hAnsi="Arial"/>
                <w:b/>
                <w:bCs/>
              </w:rPr>
              <w:t>N/A</w:t>
            </w:r>
          </w:p>
        </w:tc>
      </w:tr>
    </w:tbl>
    <w:p w14:paraId="306FD872" w14:textId="77777777" w:rsidR="00DD5DB8" w:rsidRDefault="00DD5DB8" w:rsidP="00DD5DB8">
      <w:pPr>
        <w:pStyle w:val="BodyText"/>
      </w:pPr>
    </w:p>
    <w:p w14:paraId="42B03763" w14:textId="4DCF6528" w:rsidR="00640E94" w:rsidRDefault="00640E94" w:rsidP="00DD5DB8">
      <w:pPr>
        <w:pStyle w:val="List"/>
        <w:keepNext/>
        <w:spacing w:before="120"/>
        <w:ind w:left="0" w:firstLine="0"/>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75FBD" w14:textId="77777777" w:rsidR="00190736" w:rsidRDefault="00190736">
      <w:r>
        <w:separator/>
      </w:r>
    </w:p>
  </w:endnote>
  <w:endnote w:type="continuationSeparator" w:id="0">
    <w:p w14:paraId="07A3B87A" w14:textId="77777777" w:rsidR="00190736" w:rsidRDefault="0019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FE80" w14:textId="77777777" w:rsidR="00640E94" w:rsidRDefault="00640E94">
    <w:pPr>
      <w:pStyle w:val="Footer"/>
      <w:tabs>
        <w:tab w:val="clear" w:pos="4320"/>
        <w:tab w:val="clear" w:pos="8640"/>
        <w:tab w:val="center" w:pos="4680"/>
        <w:tab w:val="right" w:pos="9360"/>
      </w:tabs>
      <w:rPr>
        <w:b/>
      </w:rPr>
    </w:pPr>
  </w:p>
  <w:p w14:paraId="064A3F5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E04784C" wp14:editId="5C87A3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E7C3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96D4B24"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E8900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02EE" w14:textId="77777777" w:rsidR="00640E94" w:rsidRDefault="00640E94">
    <w:pPr>
      <w:pStyle w:val="Footer"/>
      <w:tabs>
        <w:tab w:val="clear" w:pos="4320"/>
        <w:tab w:val="clear" w:pos="8640"/>
        <w:tab w:val="center" w:pos="4680"/>
        <w:tab w:val="right" w:pos="9360"/>
      </w:tabs>
      <w:rPr>
        <w:b/>
      </w:rPr>
    </w:pPr>
  </w:p>
  <w:p w14:paraId="07EC1A4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A9724B5" wp14:editId="7368261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BF4A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7B83FD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2765A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15BC0" w14:textId="77777777" w:rsidR="00190736" w:rsidRDefault="00190736">
      <w:r>
        <w:separator/>
      </w:r>
    </w:p>
  </w:footnote>
  <w:footnote w:type="continuationSeparator" w:id="0">
    <w:p w14:paraId="03C0651D" w14:textId="77777777" w:rsidR="00190736" w:rsidRDefault="00190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9AF1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CEEA5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56D7"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59223FA"/>
    <w:multiLevelType w:val="hybridMultilevel"/>
    <w:tmpl w:val="7EEC8FB6"/>
    <w:lvl w:ilvl="0" w:tplc="0C52FE1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0MjcytjAzNrY0NDRU0lEKTi0uzszPAykwrAUAEQGZfiwAAAA="/>
  </w:docVars>
  <w:rsids>
    <w:rsidRoot w:val="00A47914"/>
    <w:rsid w:val="0007364E"/>
    <w:rsid w:val="000A1AB1"/>
    <w:rsid w:val="000E17DA"/>
    <w:rsid w:val="000E1A59"/>
    <w:rsid w:val="00102B00"/>
    <w:rsid w:val="001056F0"/>
    <w:rsid w:val="00190736"/>
    <w:rsid w:val="001A5DFD"/>
    <w:rsid w:val="001F2210"/>
    <w:rsid w:val="001F4A5F"/>
    <w:rsid w:val="002036B4"/>
    <w:rsid w:val="002123F1"/>
    <w:rsid w:val="002B582C"/>
    <w:rsid w:val="002C281E"/>
    <w:rsid w:val="002E5579"/>
    <w:rsid w:val="002F00EB"/>
    <w:rsid w:val="00353D48"/>
    <w:rsid w:val="003669A9"/>
    <w:rsid w:val="00371A64"/>
    <w:rsid w:val="00387FA8"/>
    <w:rsid w:val="00431103"/>
    <w:rsid w:val="00483818"/>
    <w:rsid w:val="004C62B6"/>
    <w:rsid w:val="005065EF"/>
    <w:rsid w:val="00517D61"/>
    <w:rsid w:val="005453C8"/>
    <w:rsid w:val="00564E92"/>
    <w:rsid w:val="005927C5"/>
    <w:rsid w:val="005B0736"/>
    <w:rsid w:val="005F095E"/>
    <w:rsid w:val="005F6D8F"/>
    <w:rsid w:val="00620E7F"/>
    <w:rsid w:val="00633ED3"/>
    <w:rsid w:val="00635E9A"/>
    <w:rsid w:val="00640E94"/>
    <w:rsid w:val="00695970"/>
    <w:rsid w:val="006D1A06"/>
    <w:rsid w:val="006F645C"/>
    <w:rsid w:val="00742ACB"/>
    <w:rsid w:val="00793415"/>
    <w:rsid w:val="007B3163"/>
    <w:rsid w:val="007C7411"/>
    <w:rsid w:val="007F0866"/>
    <w:rsid w:val="008052A0"/>
    <w:rsid w:val="00836B68"/>
    <w:rsid w:val="008565ED"/>
    <w:rsid w:val="0085769A"/>
    <w:rsid w:val="008B7E92"/>
    <w:rsid w:val="00910F17"/>
    <w:rsid w:val="00922A46"/>
    <w:rsid w:val="00925D04"/>
    <w:rsid w:val="00961264"/>
    <w:rsid w:val="00961A72"/>
    <w:rsid w:val="009D5233"/>
    <w:rsid w:val="00A47914"/>
    <w:rsid w:val="00A5024B"/>
    <w:rsid w:val="00A63AB0"/>
    <w:rsid w:val="00B35126"/>
    <w:rsid w:val="00B40665"/>
    <w:rsid w:val="00B93A11"/>
    <w:rsid w:val="00BA0804"/>
    <w:rsid w:val="00C27A18"/>
    <w:rsid w:val="00C53D4F"/>
    <w:rsid w:val="00C6383E"/>
    <w:rsid w:val="00C6751D"/>
    <w:rsid w:val="00CE7728"/>
    <w:rsid w:val="00DD1725"/>
    <w:rsid w:val="00DD5DB8"/>
    <w:rsid w:val="00DF21B6"/>
    <w:rsid w:val="00E16EA5"/>
    <w:rsid w:val="00E26BB9"/>
    <w:rsid w:val="00E36141"/>
    <w:rsid w:val="00E83E58"/>
    <w:rsid w:val="00E859EE"/>
    <w:rsid w:val="00E95C1B"/>
    <w:rsid w:val="00FA0B69"/>
    <w:rsid w:val="00FF3FD9"/>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3CE9B38A"/>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MediumGrid21">
    <w:name w:val="Medium Grid 21"/>
    <w:uiPriority w:val="1"/>
    <w:qFormat/>
    <w:rsid w:val="00564E92"/>
  </w:style>
  <w:style w:type="paragraph" w:styleId="ListParagraph">
    <w:name w:val="List Paragraph"/>
    <w:basedOn w:val="Normal"/>
    <w:uiPriority w:val="34"/>
    <w:qFormat/>
    <w:rsid w:val="00517D61"/>
    <w:pPr>
      <w:ind w:left="720"/>
      <w:contextualSpacing/>
    </w:pPr>
  </w:style>
  <w:style w:type="character" w:styleId="CommentReference">
    <w:name w:val="annotation reference"/>
    <w:basedOn w:val="DefaultParagraphFont"/>
    <w:uiPriority w:val="99"/>
    <w:semiHidden/>
    <w:unhideWhenUsed/>
    <w:rsid w:val="009D5233"/>
    <w:rPr>
      <w:sz w:val="16"/>
      <w:szCs w:val="16"/>
    </w:rPr>
  </w:style>
  <w:style w:type="paragraph" w:styleId="CommentText">
    <w:name w:val="annotation text"/>
    <w:basedOn w:val="Normal"/>
    <w:link w:val="CommentTextChar"/>
    <w:uiPriority w:val="99"/>
    <w:semiHidden/>
    <w:unhideWhenUsed/>
    <w:rsid w:val="009D5233"/>
  </w:style>
  <w:style w:type="character" w:customStyle="1" w:styleId="CommentTextChar">
    <w:name w:val="Comment Text Char"/>
    <w:basedOn w:val="DefaultParagraphFont"/>
    <w:link w:val="CommentText"/>
    <w:uiPriority w:val="99"/>
    <w:semiHidden/>
    <w:rsid w:val="009D5233"/>
  </w:style>
  <w:style w:type="paragraph" w:styleId="CommentSubject">
    <w:name w:val="annotation subject"/>
    <w:basedOn w:val="CommentText"/>
    <w:next w:val="CommentText"/>
    <w:link w:val="CommentSubjectChar"/>
    <w:uiPriority w:val="99"/>
    <w:semiHidden/>
    <w:unhideWhenUsed/>
    <w:rsid w:val="009D5233"/>
    <w:rPr>
      <w:b/>
      <w:bCs/>
    </w:rPr>
  </w:style>
  <w:style w:type="character" w:customStyle="1" w:styleId="CommentSubjectChar">
    <w:name w:val="Comment Subject Char"/>
    <w:basedOn w:val="CommentTextChar"/>
    <w:link w:val="CommentSubject"/>
    <w:uiPriority w:val="99"/>
    <w:semiHidden/>
    <w:rsid w:val="009D5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1463</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Martin Bajic</cp:lastModifiedBy>
  <cp:revision>4</cp:revision>
  <cp:lastPrinted>2004-05-10T18:28:00Z</cp:lastPrinted>
  <dcterms:created xsi:type="dcterms:W3CDTF">2020-09-08T23:39:00Z</dcterms:created>
  <dcterms:modified xsi:type="dcterms:W3CDTF">2020-10-07T20:08:00Z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