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8DD7" w14:textId="3917D32B" w:rsidR="00245363" w:rsidRPr="006D529D" w:rsidRDefault="00921582" w:rsidP="003B2EA6">
      <w:pPr>
        <w:spacing w:after="120" w:line="240" w:lineRule="auto"/>
        <w:rPr>
          <w:rFonts w:ascii="Arial" w:hAnsi="Arial" w:cs="Arial"/>
          <w:sz w:val="18"/>
          <w:szCs w:val="18"/>
        </w:rPr>
      </w:pPr>
      <w:r>
        <w:rPr>
          <w:rFonts w:ascii="Arial" w:hAnsi="Arial" w:cs="Arial"/>
          <w:sz w:val="18"/>
          <w:szCs w:val="18"/>
        </w:rPr>
        <w:t xml:space="preserve"> </w:t>
      </w:r>
    </w:p>
    <w:p w14:paraId="59A14E51" w14:textId="77777777" w:rsidR="00245363" w:rsidRPr="006D529D" w:rsidRDefault="00245363" w:rsidP="003B2EA6">
      <w:pPr>
        <w:spacing w:after="120" w:line="240" w:lineRule="auto"/>
        <w:rPr>
          <w:rFonts w:ascii="Arial" w:hAnsi="Arial" w:cs="Arial"/>
          <w:sz w:val="18"/>
          <w:szCs w:val="18"/>
        </w:rPr>
      </w:pPr>
    </w:p>
    <w:p w14:paraId="1C4651C5" w14:textId="77777777" w:rsidR="00245363" w:rsidRPr="006D529D" w:rsidRDefault="00245363" w:rsidP="003B2EA6">
      <w:pPr>
        <w:spacing w:after="120" w:line="240" w:lineRule="auto"/>
        <w:rPr>
          <w:rFonts w:ascii="Arial" w:hAnsi="Arial" w:cs="Arial"/>
          <w:sz w:val="18"/>
          <w:szCs w:val="18"/>
        </w:rPr>
      </w:pPr>
    </w:p>
    <w:p w14:paraId="50BBABF6" w14:textId="77777777" w:rsidR="00245363" w:rsidRPr="006D529D" w:rsidRDefault="00245363" w:rsidP="003B2EA6">
      <w:pPr>
        <w:spacing w:after="120" w:line="240" w:lineRule="auto"/>
        <w:rPr>
          <w:rFonts w:ascii="Arial" w:hAnsi="Arial" w:cs="Arial"/>
          <w:sz w:val="18"/>
          <w:szCs w:val="18"/>
        </w:rPr>
      </w:pPr>
    </w:p>
    <w:p w14:paraId="20D188C5" w14:textId="47BB92AB" w:rsidR="00F46983" w:rsidRPr="003A176D" w:rsidRDefault="00D303A2" w:rsidP="00F46983">
      <w:pPr>
        <w:autoSpaceDE w:val="0"/>
        <w:autoSpaceDN w:val="0"/>
        <w:adjustRightInd w:val="0"/>
        <w:spacing w:after="0" w:line="240" w:lineRule="auto"/>
        <w:jc w:val="center"/>
        <w:rPr>
          <w:rFonts w:cs="Arial"/>
          <w:b/>
          <w:bCs/>
          <w:sz w:val="40"/>
          <w:szCs w:val="40"/>
        </w:rPr>
      </w:pPr>
      <w:r w:rsidRPr="003A176D">
        <w:rPr>
          <w:rFonts w:cs="Arial"/>
          <w:b/>
          <w:bCs/>
          <w:sz w:val="40"/>
          <w:szCs w:val="40"/>
        </w:rPr>
        <w:t>FansUnite Entertainment Inc</w:t>
      </w:r>
      <w:r w:rsidR="004912B0" w:rsidRPr="003A176D">
        <w:rPr>
          <w:rFonts w:cs="Arial"/>
          <w:b/>
          <w:bCs/>
          <w:sz w:val="40"/>
          <w:szCs w:val="40"/>
        </w:rPr>
        <w:t>.</w:t>
      </w:r>
      <w:r w:rsidR="000E21F8" w:rsidRPr="003A176D">
        <w:rPr>
          <w:rFonts w:cs="Arial"/>
          <w:b/>
          <w:bCs/>
          <w:sz w:val="40"/>
          <w:szCs w:val="40"/>
        </w:rPr>
        <w:t xml:space="preserve"> (formerly HIC Horizons Investment Capital Ltd.)</w:t>
      </w:r>
    </w:p>
    <w:p w14:paraId="199E03CF" w14:textId="77777777" w:rsidR="00F46983" w:rsidRPr="003A176D" w:rsidRDefault="00F46983" w:rsidP="00F46983">
      <w:pPr>
        <w:autoSpaceDE w:val="0"/>
        <w:autoSpaceDN w:val="0"/>
        <w:adjustRightInd w:val="0"/>
        <w:spacing w:after="0" w:line="240" w:lineRule="auto"/>
        <w:jc w:val="center"/>
        <w:rPr>
          <w:rFonts w:cs="Arial"/>
          <w:b/>
          <w:bCs/>
          <w:sz w:val="40"/>
          <w:szCs w:val="40"/>
        </w:rPr>
      </w:pPr>
    </w:p>
    <w:p w14:paraId="66759663" w14:textId="3137F9EB" w:rsidR="00E15D3C" w:rsidRPr="003A176D" w:rsidRDefault="00F46983" w:rsidP="004E5261">
      <w:pPr>
        <w:autoSpaceDE w:val="0"/>
        <w:autoSpaceDN w:val="0"/>
        <w:adjustRightInd w:val="0"/>
        <w:spacing w:after="0" w:line="240" w:lineRule="auto"/>
        <w:jc w:val="center"/>
        <w:rPr>
          <w:rFonts w:cs="Arial"/>
          <w:b/>
          <w:bCs/>
          <w:sz w:val="40"/>
          <w:szCs w:val="40"/>
        </w:rPr>
      </w:pPr>
      <w:r w:rsidRPr="003A176D">
        <w:rPr>
          <w:rFonts w:cs="Arial"/>
          <w:b/>
          <w:bCs/>
          <w:sz w:val="40"/>
          <w:szCs w:val="40"/>
        </w:rPr>
        <w:t xml:space="preserve">Consolidated </w:t>
      </w:r>
      <w:r w:rsidR="003B70EA" w:rsidRPr="003A176D">
        <w:rPr>
          <w:rFonts w:cs="Arial"/>
          <w:b/>
          <w:bCs/>
          <w:sz w:val="40"/>
          <w:szCs w:val="40"/>
        </w:rPr>
        <w:t>Fin</w:t>
      </w:r>
      <w:r w:rsidRPr="003A176D">
        <w:rPr>
          <w:rFonts w:cs="Arial"/>
          <w:b/>
          <w:bCs/>
          <w:sz w:val="40"/>
          <w:szCs w:val="40"/>
        </w:rPr>
        <w:t>ancial Statements</w:t>
      </w:r>
    </w:p>
    <w:p w14:paraId="24382CF3" w14:textId="77777777" w:rsidR="00F46983" w:rsidRPr="003A176D" w:rsidRDefault="00F46983" w:rsidP="005831CD">
      <w:pPr>
        <w:autoSpaceDE w:val="0"/>
        <w:autoSpaceDN w:val="0"/>
        <w:adjustRightInd w:val="0"/>
        <w:spacing w:after="0" w:line="240" w:lineRule="auto"/>
        <w:rPr>
          <w:rFonts w:cs="Arial"/>
          <w:sz w:val="44"/>
          <w:szCs w:val="44"/>
        </w:rPr>
      </w:pPr>
    </w:p>
    <w:p w14:paraId="6D4D6EF8" w14:textId="1C8CD8E6" w:rsidR="00E01114" w:rsidRPr="003A176D" w:rsidRDefault="00E01114" w:rsidP="00F46983">
      <w:pPr>
        <w:jc w:val="center"/>
        <w:rPr>
          <w:sz w:val="32"/>
          <w:szCs w:val="32"/>
        </w:rPr>
      </w:pPr>
      <w:r w:rsidRPr="003A176D">
        <w:rPr>
          <w:sz w:val="32"/>
          <w:szCs w:val="32"/>
        </w:rPr>
        <w:t xml:space="preserve">For the </w:t>
      </w:r>
      <w:r w:rsidR="00D92EFF" w:rsidRPr="003A176D">
        <w:rPr>
          <w:sz w:val="32"/>
          <w:szCs w:val="32"/>
        </w:rPr>
        <w:t>periods</w:t>
      </w:r>
      <w:r w:rsidRPr="003A176D">
        <w:rPr>
          <w:sz w:val="32"/>
          <w:szCs w:val="32"/>
        </w:rPr>
        <w:t xml:space="preserve"> ended </w:t>
      </w:r>
      <w:r w:rsidR="003C1E27" w:rsidRPr="003A176D">
        <w:rPr>
          <w:sz w:val="32"/>
          <w:szCs w:val="32"/>
        </w:rPr>
        <w:t>June 30</w:t>
      </w:r>
      <w:r w:rsidRPr="003A176D">
        <w:rPr>
          <w:sz w:val="32"/>
          <w:szCs w:val="32"/>
        </w:rPr>
        <w:t>, 20</w:t>
      </w:r>
      <w:r w:rsidR="000E21F8" w:rsidRPr="003A176D">
        <w:rPr>
          <w:sz w:val="32"/>
          <w:szCs w:val="32"/>
        </w:rPr>
        <w:t xml:space="preserve">20 </w:t>
      </w:r>
      <w:r w:rsidRPr="003A176D">
        <w:rPr>
          <w:sz w:val="32"/>
          <w:szCs w:val="32"/>
        </w:rPr>
        <w:t>and 201</w:t>
      </w:r>
      <w:r w:rsidR="000E21F8" w:rsidRPr="003A176D">
        <w:rPr>
          <w:sz w:val="32"/>
          <w:szCs w:val="32"/>
        </w:rPr>
        <w:t>9</w:t>
      </w:r>
    </w:p>
    <w:p w14:paraId="7C4C5743" w14:textId="57C2F568" w:rsidR="00F46983" w:rsidRPr="003A176D" w:rsidRDefault="004A03C1" w:rsidP="00F46983">
      <w:pPr>
        <w:jc w:val="center"/>
        <w:rPr>
          <w:rFonts w:cs="Arial"/>
          <w:sz w:val="24"/>
          <w:szCs w:val="24"/>
        </w:rPr>
      </w:pPr>
      <w:r w:rsidRPr="003A176D">
        <w:rPr>
          <w:rFonts w:cs="Arial"/>
          <w:sz w:val="24"/>
          <w:szCs w:val="24"/>
        </w:rPr>
        <w:t>E</w:t>
      </w:r>
      <w:r w:rsidR="00F46983" w:rsidRPr="003A176D">
        <w:rPr>
          <w:rFonts w:cs="Arial"/>
          <w:sz w:val="24"/>
          <w:szCs w:val="24"/>
        </w:rPr>
        <w:t>xpressed in Canadian Dollars</w:t>
      </w:r>
    </w:p>
    <w:p w14:paraId="24974DD6" w14:textId="77777777" w:rsidR="00D51C32" w:rsidRPr="003A176D" w:rsidRDefault="00D51C32">
      <w:pPr>
        <w:rPr>
          <w:rFonts w:ascii="Arial" w:hAnsi="Arial" w:cs="Arial"/>
          <w:b/>
          <w:sz w:val="18"/>
          <w:szCs w:val="18"/>
        </w:rPr>
      </w:pPr>
    </w:p>
    <w:p w14:paraId="5B91CC01" w14:textId="77777777" w:rsidR="00D51C32" w:rsidRPr="003A176D" w:rsidRDefault="00D51C32">
      <w:pPr>
        <w:rPr>
          <w:rFonts w:ascii="Arial" w:hAnsi="Arial" w:cs="Arial"/>
          <w:b/>
          <w:sz w:val="18"/>
          <w:szCs w:val="18"/>
        </w:rPr>
      </w:pPr>
    </w:p>
    <w:p w14:paraId="034C2439" w14:textId="77777777" w:rsidR="00D51C32" w:rsidRPr="003A176D" w:rsidRDefault="00D51C32">
      <w:pPr>
        <w:rPr>
          <w:rFonts w:ascii="Arial" w:hAnsi="Arial" w:cs="Arial"/>
          <w:b/>
          <w:sz w:val="18"/>
          <w:szCs w:val="18"/>
        </w:rPr>
      </w:pPr>
    </w:p>
    <w:p w14:paraId="1B165ABA" w14:textId="77777777" w:rsidR="00D51C32" w:rsidRPr="003A176D" w:rsidRDefault="00D51C32">
      <w:pPr>
        <w:rPr>
          <w:rFonts w:ascii="Arial" w:hAnsi="Arial" w:cs="Arial"/>
          <w:b/>
          <w:sz w:val="18"/>
          <w:szCs w:val="18"/>
        </w:rPr>
      </w:pPr>
    </w:p>
    <w:p w14:paraId="43A35801" w14:textId="77777777" w:rsidR="00D51C32" w:rsidRPr="003A176D" w:rsidRDefault="00D51C32">
      <w:pPr>
        <w:rPr>
          <w:rFonts w:ascii="Arial" w:hAnsi="Arial" w:cs="Arial"/>
          <w:b/>
          <w:sz w:val="18"/>
          <w:szCs w:val="18"/>
        </w:rPr>
      </w:pPr>
    </w:p>
    <w:p w14:paraId="6C740550" w14:textId="77777777" w:rsidR="00D51C32" w:rsidRPr="003A176D" w:rsidRDefault="00D51C32">
      <w:pPr>
        <w:rPr>
          <w:rFonts w:ascii="Arial" w:hAnsi="Arial" w:cs="Arial"/>
          <w:b/>
          <w:sz w:val="18"/>
          <w:szCs w:val="18"/>
        </w:rPr>
      </w:pPr>
    </w:p>
    <w:p w14:paraId="39FCBDEE" w14:textId="77777777" w:rsidR="00245363" w:rsidRPr="003A176D" w:rsidRDefault="00245363" w:rsidP="005C3DC0">
      <w:pPr>
        <w:autoSpaceDE w:val="0"/>
        <w:autoSpaceDN w:val="0"/>
        <w:adjustRightInd w:val="0"/>
        <w:spacing w:after="0" w:line="240" w:lineRule="auto"/>
        <w:jc w:val="center"/>
        <w:rPr>
          <w:rFonts w:ascii="Arial" w:hAnsi="Arial" w:cs="Arial"/>
          <w:b/>
          <w:bCs/>
          <w:sz w:val="18"/>
          <w:szCs w:val="18"/>
        </w:rPr>
      </w:pPr>
    </w:p>
    <w:p w14:paraId="300F34A5" w14:textId="77777777" w:rsidR="00245363" w:rsidRPr="003A176D" w:rsidRDefault="00245363" w:rsidP="005C3DC0">
      <w:pPr>
        <w:autoSpaceDE w:val="0"/>
        <w:autoSpaceDN w:val="0"/>
        <w:adjustRightInd w:val="0"/>
        <w:spacing w:after="0" w:line="240" w:lineRule="auto"/>
        <w:jc w:val="center"/>
        <w:rPr>
          <w:rFonts w:ascii="Arial" w:hAnsi="Arial" w:cs="Arial"/>
          <w:b/>
          <w:bCs/>
          <w:sz w:val="18"/>
          <w:szCs w:val="18"/>
        </w:rPr>
      </w:pPr>
    </w:p>
    <w:p w14:paraId="526367F8" w14:textId="77777777" w:rsidR="00C40116" w:rsidRPr="003A176D" w:rsidRDefault="00C40116" w:rsidP="004F7315">
      <w:pPr>
        <w:spacing w:after="0" w:line="240" w:lineRule="auto"/>
        <w:rPr>
          <w:rFonts w:ascii="Arial" w:hAnsi="Arial" w:cs="Arial"/>
          <w:sz w:val="18"/>
          <w:szCs w:val="18"/>
        </w:rPr>
      </w:pPr>
    </w:p>
    <w:p w14:paraId="4A98809E" w14:textId="77777777" w:rsidR="00F84504" w:rsidRPr="003A176D" w:rsidRDefault="00F84504" w:rsidP="00F84504">
      <w:pPr>
        <w:spacing w:after="120" w:line="240" w:lineRule="auto"/>
        <w:jc w:val="center"/>
        <w:rPr>
          <w:rFonts w:ascii="Arial" w:hAnsi="Arial" w:cs="Arial"/>
          <w:sz w:val="18"/>
          <w:szCs w:val="18"/>
        </w:rPr>
      </w:pPr>
    </w:p>
    <w:p w14:paraId="578AF9F9" w14:textId="77777777" w:rsidR="00F84504" w:rsidRPr="003A176D" w:rsidRDefault="00F84504" w:rsidP="00F84504">
      <w:pPr>
        <w:spacing w:after="120" w:line="240" w:lineRule="auto"/>
        <w:jc w:val="center"/>
        <w:rPr>
          <w:rFonts w:ascii="Arial" w:hAnsi="Arial" w:cs="Arial"/>
          <w:sz w:val="18"/>
          <w:szCs w:val="18"/>
        </w:rPr>
      </w:pPr>
    </w:p>
    <w:p w14:paraId="09A4B7BA" w14:textId="77777777" w:rsidR="00F84504" w:rsidRPr="003A176D" w:rsidRDefault="00F84504" w:rsidP="00F84504">
      <w:pPr>
        <w:spacing w:after="120" w:line="240" w:lineRule="auto"/>
        <w:jc w:val="center"/>
        <w:rPr>
          <w:rFonts w:ascii="Arial" w:hAnsi="Arial" w:cs="Arial"/>
          <w:sz w:val="18"/>
          <w:szCs w:val="18"/>
        </w:rPr>
      </w:pPr>
    </w:p>
    <w:p w14:paraId="0F290E20" w14:textId="77777777" w:rsidR="00F84504" w:rsidRPr="003A176D" w:rsidRDefault="00F84504" w:rsidP="00F84504">
      <w:pPr>
        <w:spacing w:after="120" w:line="240" w:lineRule="auto"/>
        <w:jc w:val="center"/>
        <w:rPr>
          <w:rFonts w:ascii="Arial" w:hAnsi="Arial" w:cs="Arial"/>
          <w:sz w:val="18"/>
          <w:szCs w:val="18"/>
        </w:rPr>
      </w:pPr>
    </w:p>
    <w:p w14:paraId="350F93E7" w14:textId="77777777" w:rsidR="00F84504" w:rsidRPr="003A176D" w:rsidRDefault="00F84504" w:rsidP="00F84504">
      <w:pPr>
        <w:spacing w:after="120" w:line="240" w:lineRule="auto"/>
        <w:jc w:val="center"/>
        <w:rPr>
          <w:rFonts w:ascii="Arial" w:hAnsi="Arial" w:cs="Arial"/>
          <w:sz w:val="18"/>
          <w:szCs w:val="18"/>
        </w:rPr>
      </w:pPr>
    </w:p>
    <w:p w14:paraId="31A9DA30" w14:textId="77777777" w:rsidR="00F84504" w:rsidRPr="003A176D" w:rsidRDefault="00F84504" w:rsidP="00F84504">
      <w:pPr>
        <w:spacing w:after="120" w:line="240" w:lineRule="auto"/>
        <w:jc w:val="center"/>
        <w:rPr>
          <w:rFonts w:ascii="Arial" w:hAnsi="Arial" w:cs="Arial"/>
          <w:sz w:val="18"/>
          <w:szCs w:val="18"/>
        </w:rPr>
      </w:pPr>
    </w:p>
    <w:p w14:paraId="5C243209" w14:textId="77777777" w:rsidR="00F84504" w:rsidRPr="003A176D" w:rsidRDefault="00F84504" w:rsidP="00F84504">
      <w:pPr>
        <w:spacing w:after="120" w:line="240" w:lineRule="auto"/>
        <w:jc w:val="center"/>
        <w:rPr>
          <w:rFonts w:ascii="Arial" w:hAnsi="Arial" w:cs="Arial"/>
          <w:sz w:val="18"/>
          <w:szCs w:val="18"/>
        </w:rPr>
      </w:pPr>
    </w:p>
    <w:p w14:paraId="73A071DC" w14:textId="77777777" w:rsidR="00F84504" w:rsidRPr="003A176D" w:rsidRDefault="00F84504" w:rsidP="00F84504">
      <w:pPr>
        <w:spacing w:after="120" w:line="240" w:lineRule="auto"/>
        <w:jc w:val="center"/>
        <w:rPr>
          <w:rFonts w:ascii="Arial" w:hAnsi="Arial" w:cs="Arial"/>
          <w:sz w:val="18"/>
          <w:szCs w:val="18"/>
        </w:rPr>
      </w:pPr>
    </w:p>
    <w:p w14:paraId="6D3D0905" w14:textId="77777777" w:rsidR="00F84504" w:rsidRPr="003A176D" w:rsidRDefault="00F84504" w:rsidP="00F84504">
      <w:pPr>
        <w:spacing w:after="120" w:line="240" w:lineRule="auto"/>
        <w:jc w:val="center"/>
        <w:rPr>
          <w:rFonts w:ascii="Arial" w:hAnsi="Arial" w:cs="Arial"/>
          <w:sz w:val="18"/>
          <w:szCs w:val="18"/>
        </w:rPr>
      </w:pPr>
    </w:p>
    <w:p w14:paraId="598FE7A5" w14:textId="77777777" w:rsidR="00F84504" w:rsidRPr="003A176D" w:rsidRDefault="00F84504" w:rsidP="00F84504">
      <w:pPr>
        <w:spacing w:after="120" w:line="240" w:lineRule="auto"/>
        <w:jc w:val="center"/>
        <w:rPr>
          <w:rFonts w:ascii="Arial" w:hAnsi="Arial" w:cs="Arial"/>
          <w:sz w:val="18"/>
          <w:szCs w:val="18"/>
        </w:rPr>
      </w:pPr>
    </w:p>
    <w:p w14:paraId="78C5A483" w14:textId="77777777" w:rsidR="001146BE" w:rsidRPr="003A176D" w:rsidRDefault="00125DDD">
      <w:pPr>
        <w:spacing w:after="0" w:line="240" w:lineRule="auto"/>
        <w:rPr>
          <w:rFonts w:ascii="Arial" w:hAnsi="Arial" w:cs="Arial"/>
          <w:sz w:val="18"/>
          <w:szCs w:val="18"/>
        </w:rPr>
        <w:sectPr w:rsidR="001146BE" w:rsidRPr="003A176D" w:rsidSect="00E01522">
          <w:footerReference w:type="even" r:id="rId11"/>
          <w:pgSz w:w="12240" w:h="15840"/>
          <w:pgMar w:top="1440" w:right="1170" w:bottom="1440" w:left="1440" w:header="720" w:footer="720" w:gutter="0"/>
          <w:cols w:space="720"/>
          <w:docGrid w:linePitch="360"/>
        </w:sectPr>
      </w:pPr>
      <w:r w:rsidRPr="003A176D">
        <w:rPr>
          <w:rFonts w:ascii="Arial" w:hAnsi="Arial" w:cs="Arial"/>
          <w:sz w:val="18"/>
          <w:szCs w:val="18"/>
        </w:rPr>
        <w:br w:type="page"/>
      </w:r>
    </w:p>
    <w:tbl>
      <w:tblPr>
        <w:tblW w:w="9248" w:type="dxa"/>
        <w:tblInd w:w="120" w:type="dxa"/>
        <w:tblLayout w:type="fixed"/>
        <w:tblCellMar>
          <w:left w:w="120" w:type="dxa"/>
          <w:right w:w="120" w:type="dxa"/>
        </w:tblCellMar>
        <w:tblLook w:val="0000" w:firstRow="0" w:lastRow="0" w:firstColumn="0" w:lastColumn="0" w:noHBand="0" w:noVBand="0"/>
      </w:tblPr>
      <w:tblGrid>
        <w:gridCol w:w="4536"/>
        <w:gridCol w:w="284"/>
        <w:gridCol w:w="1134"/>
        <w:gridCol w:w="283"/>
        <w:gridCol w:w="1418"/>
        <w:gridCol w:w="283"/>
        <w:gridCol w:w="1310"/>
      </w:tblGrid>
      <w:tr w:rsidR="00173EF1" w:rsidRPr="003A176D" w14:paraId="53F483A4" w14:textId="77777777" w:rsidTr="00720E28">
        <w:trPr>
          <w:cantSplit/>
          <w:trHeight w:hRule="exact" w:val="525"/>
        </w:trPr>
        <w:tc>
          <w:tcPr>
            <w:tcW w:w="4536" w:type="dxa"/>
            <w:tcBorders>
              <w:bottom w:val="single" w:sz="4" w:space="0" w:color="auto"/>
            </w:tcBorders>
            <w:vAlign w:val="bottom"/>
          </w:tcPr>
          <w:p w14:paraId="30E93A97" w14:textId="77777777" w:rsidR="00173EF1" w:rsidRPr="003A176D" w:rsidRDefault="00173EF1" w:rsidP="00173EF1">
            <w:pPr>
              <w:pStyle w:val="Heading2"/>
              <w:numPr>
                <w:ilvl w:val="0"/>
                <w:numId w:val="0"/>
              </w:numPr>
              <w:spacing w:before="0"/>
              <w:rPr>
                <w:rFonts w:ascii="Arial" w:hAnsi="Arial" w:cs="Arial"/>
                <w:b w:val="0"/>
                <w:bCs w:val="0"/>
                <w:sz w:val="18"/>
                <w:szCs w:val="18"/>
              </w:rPr>
            </w:pPr>
            <w:bookmarkStart w:id="0" w:name="OLE_LINK2"/>
          </w:p>
        </w:tc>
        <w:tc>
          <w:tcPr>
            <w:tcW w:w="1418" w:type="dxa"/>
            <w:gridSpan w:val="2"/>
            <w:tcBorders>
              <w:bottom w:val="single" w:sz="4" w:space="0" w:color="auto"/>
            </w:tcBorders>
          </w:tcPr>
          <w:p w14:paraId="7E7970F8" w14:textId="77777777" w:rsidR="00173EF1" w:rsidRPr="003A176D" w:rsidRDefault="00173EF1" w:rsidP="001A6319">
            <w:pPr>
              <w:jc w:val="center"/>
              <w:rPr>
                <w:rFonts w:ascii="Arial" w:hAnsi="Arial" w:cs="Arial"/>
                <w:b/>
                <w:bCs/>
                <w:sz w:val="18"/>
                <w:szCs w:val="18"/>
              </w:rPr>
            </w:pPr>
          </w:p>
        </w:tc>
        <w:tc>
          <w:tcPr>
            <w:tcW w:w="1701" w:type="dxa"/>
            <w:gridSpan w:val="2"/>
            <w:tcBorders>
              <w:bottom w:val="single" w:sz="4" w:space="0" w:color="auto"/>
            </w:tcBorders>
            <w:shd w:val="clear" w:color="auto" w:fill="auto"/>
          </w:tcPr>
          <w:p w14:paraId="13EFCA31" w14:textId="64DA7172" w:rsidR="00173EF1" w:rsidRPr="003A176D" w:rsidRDefault="003C1E27" w:rsidP="001A6319">
            <w:pPr>
              <w:jc w:val="right"/>
              <w:rPr>
                <w:rFonts w:ascii="Arial" w:hAnsi="Arial" w:cs="Arial"/>
                <w:b/>
                <w:bCs/>
                <w:sz w:val="18"/>
                <w:szCs w:val="18"/>
              </w:rPr>
            </w:pPr>
            <w:r w:rsidRPr="003A176D">
              <w:rPr>
                <w:rFonts w:ascii="Arial" w:hAnsi="Arial" w:cs="Arial"/>
                <w:b/>
                <w:bCs/>
                <w:sz w:val="18"/>
                <w:szCs w:val="18"/>
              </w:rPr>
              <w:t>June 30</w:t>
            </w:r>
            <w:r w:rsidR="00173EF1" w:rsidRPr="003A176D">
              <w:rPr>
                <w:rFonts w:ascii="Arial" w:hAnsi="Arial" w:cs="Arial"/>
                <w:b/>
                <w:bCs/>
                <w:sz w:val="18"/>
                <w:szCs w:val="18"/>
              </w:rPr>
              <w:t>, 20</w:t>
            </w:r>
            <w:r w:rsidR="006E4309" w:rsidRPr="003A176D">
              <w:rPr>
                <w:rFonts w:ascii="Arial" w:hAnsi="Arial" w:cs="Arial"/>
                <w:b/>
                <w:bCs/>
                <w:sz w:val="18"/>
                <w:szCs w:val="18"/>
              </w:rPr>
              <w:t>20</w:t>
            </w:r>
          </w:p>
        </w:tc>
        <w:tc>
          <w:tcPr>
            <w:tcW w:w="1593" w:type="dxa"/>
            <w:gridSpan w:val="2"/>
            <w:tcBorders>
              <w:bottom w:val="single" w:sz="4" w:space="0" w:color="auto"/>
            </w:tcBorders>
            <w:shd w:val="clear" w:color="auto" w:fill="auto"/>
          </w:tcPr>
          <w:p w14:paraId="712C6315" w14:textId="21E5446E" w:rsidR="00173EF1" w:rsidRPr="003A176D" w:rsidRDefault="009A5E13" w:rsidP="001A6319">
            <w:pPr>
              <w:jc w:val="right"/>
              <w:rPr>
                <w:rFonts w:ascii="Arial" w:hAnsi="Arial" w:cs="Arial"/>
                <w:b/>
                <w:bCs/>
                <w:sz w:val="18"/>
                <w:szCs w:val="18"/>
              </w:rPr>
            </w:pPr>
            <w:r w:rsidRPr="003A176D">
              <w:rPr>
                <w:rFonts w:ascii="Arial" w:hAnsi="Arial" w:cs="Arial"/>
                <w:b/>
                <w:bCs/>
                <w:sz w:val="18"/>
                <w:szCs w:val="18"/>
              </w:rPr>
              <w:t>December 31, 201</w:t>
            </w:r>
            <w:r w:rsidR="006E4309" w:rsidRPr="003A176D">
              <w:rPr>
                <w:rFonts w:ascii="Arial" w:hAnsi="Arial" w:cs="Arial"/>
                <w:b/>
                <w:bCs/>
                <w:sz w:val="18"/>
                <w:szCs w:val="18"/>
              </w:rPr>
              <w:t>9</w:t>
            </w:r>
          </w:p>
          <w:p w14:paraId="4EE2200D" w14:textId="77777777" w:rsidR="00173EF1" w:rsidRPr="003A176D" w:rsidRDefault="00173EF1" w:rsidP="001A6319">
            <w:pPr>
              <w:jc w:val="right"/>
              <w:rPr>
                <w:rFonts w:ascii="Arial" w:hAnsi="Arial" w:cs="Arial"/>
                <w:b/>
                <w:bCs/>
                <w:sz w:val="18"/>
                <w:szCs w:val="18"/>
              </w:rPr>
            </w:pPr>
            <w:r w:rsidRPr="003A176D">
              <w:rPr>
                <w:rFonts w:ascii="Arial" w:hAnsi="Arial" w:cs="Arial"/>
                <w:b/>
                <w:bCs/>
                <w:sz w:val="18"/>
                <w:szCs w:val="18"/>
              </w:rPr>
              <w:t>2019</w:t>
            </w:r>
          </w:p>
        </w:tc>
      </w:tr>
      <w:tr w:rsidR="00173EF1" w:rsidRPr="003A176D" w14:paraId="743104B7" w14:textId="77777777" w:rsidTr="00720E28">
        <w:trPr>
          <w:cantSplit/>
          <w:trHeight w:hRule="exact" w:val="274"/>
        </w:trPr>
        <w:tc>
          <w:tcPr>
            <w:tcW w:w="4536" w:type="dxa"/>
            <w:tcBorders>
              <w:top w:val="single" w:sz="4" w:space="0" w:color="auto"/>
            </w:tcBorders>
            <w:vAlign w:val="bottom"/>
          </w:tcPr>
          <w:p w14:paraId="666AFA26" w14:textId="77777777" w:rsidR="00173EF1" w:rsidRPr="003A176D" w:rsidRDefault="00173EF1" w:rsidP="00173EF1">
            <w:pPr>
              <w:pStyle w:val="Heading2"/>
              <w:numPr>
                <w:ilvl w:val="0"/>
                <w:numId w:val="0"/>
              </w:numPr>
              <w:spacing w:before="0"/>
              <w:rPr>
                <w:rFonts w:ascii="Arial" w:hAnsi="Arial" w:cs="Arial"/>
                <w:b w:val="0"/>
                <w:bCs w:val="0"/>
                <w:sz w:val="18"/>
                <w:szCs w:val="18"/>
              </w:rPr>
            </w:pPr>
          </w:p>
        </w:tc>
        <w:tc>
          <w:tcPr>
            <w:tcW w:w="284" w:type="dxa"/>
            <w:tcBorders>
              <w:top w:val="single" w:sz="4" w:space="0" w:color="auto"/>
            </w:tcBorders>
            <w:vAlign w:val="bottom"/>
          </w:tcPr>
          <w:p w14:paraId="310B8043" w14:textId="77777777" w:rsidR="00173EF1" w:rsidRPr="003A176D" w:rsidRDefault="00173EF1" w:rsidP="001A6319">
            <w:pPr>
              <w:rPr>
                <w:rFonts w:ascii="Arial" w:hAnsi="Arial" w:cs="Arial"/>
                <w:sz w:val="18"/>
                <w:szCs w:val="18"/>
              </w:rPr>
            </w:pPr>
          </w:p>
        </w:tc>
        <w:tc>
          <w:tcPr>
            <w:tcW w:w="1134" w:type="dxa"/>
            <w:tcBorders>
              <w:top w:val="single" w:sz="4" w:space="0" w:color="auto"/>
            </w:tcBorders>
            <w:vAlign w:val="bottom"/>
          </w:tcPr>
          <w:p w14:paraId="214458DE" w14:textId="77777777" w:rsidR="00173EF1" w:rsidRPr="003A176D" w:rsidRDefault="00173EF1" w:rsidP="001A6319">
            <w:pPr>
              <w:pStyle w:val="CommentText"/>
              <w:tabs>
                <w:tab w:val="decimal" w:pos="960"/>
              </w:tabs>
              <w:rPr>
                <w:rFonts w:ascii="Arial" w:hAnsi="Arial" w:cs="Arial"/>
                <w:sz w:val="18"/>
                <w:szCs w:val="18"/>
              </w:rPr>
            </w:pPr>
          </w:p>
        </w:tc>
        <w:tc>
          <w:tcPr>
            <w:tcW w:w="283" w:type="dxa"/>
            <w:tcBorders>
              <w:top w:val="single" w:sz="4" w:space="0" w:color="auto"/>
            </w:tcBorders>
            <w:shd w:val="clear" w:color="auto" w:fill="auto"/>
            <w:vAlign w:val="bottom"/>
          </w:tcPr>
          <w:p w14:paraId="5611FDE9" w14:textId="77777777" w:rsidR="00173EF1" w:rsidRPr="003A176D" w:rsidRDefault="00173EF1" w:rsidP="001A6319">
            <w:pPr>
              <w:rPr>
                <w:rFonts w:ascii="Arial" w:hAnsi="Arial" w:cs="Arial"/>
                <w:sz w:val="18"/>
                <w:szCs w:val="18"/>
              </w:rPr>
            </w:pPr>
          </w:p>
        </w:tc>
        <w:tc>
          <w:tcPr>
            <w:tcW w:w="1418" w:type="dxa"/>
            <w:tcBorders>
              <w:top w:val="single" w:sz="4" w:space="0" w:color="auto"/>
            </w:tcBorders>
            <w:shd w:val="clear" w:color="auto" w:fill="auto"/>
            <w:vAlign w:val="bottom"/>
          </w:tcPr>
          <w:p w14:paraId="0B46B581" w14:textId="77777777" w:rsidR="00173EF1" w:rsidRPr="003A176D" w:rsidRDefault="00173EF1" w:rsidP="001A6319">
            <w:pPr>
              <w:pStyle w:val="CommentText"/>
              <w:tabs>
                <w:tab w:val="decimal" w:pos="1169"/>
              </w:tabs>
              <w:rPr>
                <w:rFonts w:ascii="Arial" w:hAnsi="Arial" w:cs="Arial"/>
                <w:sz w:val="18"/>
                <w:szCs w:val="18"/>
              </w:rPr>
            </w:pPr>
          </w:p>
        </w:tc>
        <w:tc>
          <w:tcPr>
            <w:tcW w:w="283" w:type="dxa"/>
            <w:tcBorders>
              <w:top w:val="single" w:sz="4" w:space="0" w:color="auto"/>
            </w:tcBorders>
            <w:shd w:val="clear" w:color="auto" w:fill="auto"/>
          </w:tcPr>
          <w:p w14:paraId="32ADD1E2" w14:textId="77777777" w:rsidR="00173EF1" w:rsidRPr="003A176D" w:rsidRDefault="00173EF1" w:rsidP="001A6319">
            <w:pPr>
              <w:pStyle w:val="CommentText"/>
              <w:tabs>
                <w:tab w:val="decimal" w:pos="1169"/>
              </w:tabs>
              <w:rPr>
                <w:rFonts w:ascii="Arial" w:hAnsi="Arial" w:cs="Arial"/>
                <w:sz w:val="18"/>
                <w:szCs w:val="18"/>
              </w:rPr>
            </w:pPr>
          </w:p>
        </w:tc>
        <w:tc>
          <w:tcPr>
            <w:tcW w:w="1310" w:type="dxa"/>
            <w:tcBorders>
              <w:top w:val="single" w:sz="4" w:space="0" w:color="auto"/>
            </w:tcBorders>
            <w:shd w:val="clear" w:color="auto" w:fill="auto"/>
          </w:tcPr>
          <w:p w14:paraId="51599189" w14:textId="77777777" w:rsidR="00173EF1" w:rsidRPr="003A176D" w:rsidRDefault="00173EF1" w:rsidP="001A6319">
            <w:pPr>
              <w:pStyle w:val="CommentText"/>
              <w:tabs>
                <w:tab w:val="decimal" w:pos="1169"/>
              </w:tabs>
              <w:rPr>
                <w:rFonts w:ascii="Arial" w:hAnsi="Arial" w:cs="Arial"/>
                <w:sz w:val="18"/>
                <w:szCs w:val="18"/>
              </w:rPr>
            </w:pPr>
          </w:p>
        </w:tc>
      </w:tr>
      <w:tr w:rsidR="00173EF1" w:rsidRPr="003A176D" w14:paraId="43B79787" w14:textId="77777777" w:rsidTr="00A64D71">
        <w:trPr>
          <w:cantSplit/>
          <w:trHeight w:hRule="exact" w:val="274"/>
        </w:trPr>
        <w:tc>
          <w:tcPr>
            <w:tcW w:w="4536" w:type="dxa"/>
            <w:vAlign w:val="bottom"/>
          </w:tcPr>
          <w:p w14:paraId="178ED96B" w14:textId="77777777" w:rsidR="00173EF1" w:rsidRPr="003A176D" w:rsidRDefault="00173EF1" w:rsidP="001A6319">
            <w:pPr>
              <w:rPr>
                <w:rFonts w:ascii="Arial" w:hAnsi="Arial" w:cs="Arial"/>
                <w:b/>
                <w:sz w:val="18"/>
                <w:szCs w:val="18"/>
              </w:rPr>
            </w:pPr>
            <w:r w:rsidRPr="003A176D">
              <w:rPr>
                <w:rFonts w:ascii="Arial" w:hAnsi="Arial" w:cs="Arial"/>
                <w:b/>
                <w:sz w:val="18"/>
                <w:szCs w:val="18"/>
              </w:rPr>
              <w:t>Assets</w:t>
            </w:r>
          </w:p>
        </w:tc>
        <w:tc>
          <w:tcPr>
            <w:tcW w:w="284" w:type="dxa"/>
            <w:vAlign w:val="bottom"/>
          </w:tcPr>
          <w:p w14:paraId="5E3797F0" w14:textId="77777777" w:rsidR="00173EF1" w:rsidRPr="003A176D" w:rsidRDefault="00173EF1" w:rsidP="001A6319">
            <w:pPr>
              <w:rPr>
                <w:rFonts w:ascii="Arial" w:hAnsi="Arial" w:cs="Arial"/>
                <w:sz w:val="18"/>
                <w:szCs w:val="18"/>
              </w:rPr>
            </w:pPr>
          </w:p>
        </w:tc>
        <w:tc>
          <w:tcPr>
            <w:tcW w:w="1134" w:type="dxa"/>
            <w:vAlign w:val="bottom"/>
          </w:tcPr>
          <w:p w14:paraId="15CCC9A0" w14:textId="77777777" w:rsidR="00173EF1" w:rsidRPr="003A176D" w:rsidRDefault="00173EF1" w:rsidP="001A6319">
            <w:pPr>
              <w:pStyle w:val="CommentText"/>
              <w:tabs>
                <w:tab w:val="decimal" w:pos="960"/>
              </w:tabs>
              <w:rPr>
                <w:rFonts w:ascii="Arial" w:hAnsi="Arial" w:cs="Arial"/>
                <w:sz w:val="18"/>
                <w:szCs w:val="18"/>
              </w:rPr>
            </w:pPr>
          </w:p>
        </w:tc>
        <w:tc>
          <w:tcPr>
            <w:tcW w:w="283" w:type="dxa"/>
            <w:shd w:val="clear" w:color="auto" w:fill="auto"/>
            <w:vAlign w:val="bottom"/>
          </w:tcPr>
          <w:p w14:paraId="6C5FC721" w14:textId="77777777" w:rsidR="00173EF1" w:rsidRPr="003A176D" w:rsidRDefault="00173EF1" w:rsidP="001A6319">
            <w:pPr>
              <w:rPr>
                <w:rFonts w:ascii="Arial" w:hAnsi="Arial" w:cs="Arial"/>
                <w:sz w:val="18"/>
                <w:szCs w:val="18"/>
              </w:rPr>
            </w:pPr>
          </w:p>
        </w:tc>
        <w:tc>
          <w:tcPr>
            <w:tcW w:w="1418" w:type="dxa"/>
            <w:shd w:val="clear" w:color="auto" w:fill="auto"/>
            <w:vAlign w:val="bottom"/>
          </w:tcPr>
          <w:p w14:paraId="31672C2F" w14:textId="77777777" w:rsidR="00173EF1" w:rsidRPr="003A176D" w:rsidRDefault="00173EF1" w:rsidP="001A6319">
            <w:pPr>
              <w:pStyle w:val="CommentText"/>
              <w:tabs>
                <w:tab w:val="decimal" w:pos="1169"/>
              </w:tabs>
              <w:rPr>
                <w:rFonts w:ascii="Arial" w:hAnsi="Arial" w:cs="Arial"/>
                <w:sz w:val="18"/>
                <w:szCs w:val="18"/>
              </w:rPr>
            </w:pPr>
          </w:p>
        </w:tc>
        <w:tc>
          <w:tcPr>
            <w:tcW w:w="283" w:type="dxa"/>
            <w:shd w:val="clear" w:color="auto" w:fill="auto"/>
          </w:tcPr>
          <w:p w14:paraId="5E16CFD4" w14:textId="77777777" w:rsidR="00173EF1" w:rsidRPr="003A176D" w:rsidRDefault="00173EF1" w:rsidP="001A6319">
            <w:pPr>
              <w:pStyle w:val="CommentText"/>
              <w:tabs>
                <w:tab w:val="decimal" w:pos="1169"/>
              </w:tabs>
              <w:rPr>
                <w:rFonts w:ascii="Arial" w:hAnsi="Arial" w:cs="Arial"/>
                <w:sz w:val="18"/>
                <w:szCs w:val="18"/>
              </w:rPr>
            </w:pPr>
          </w:p>
        </w:tc>
        <w:tc>
          <w:tcPr>
            <w:tcW w:w="1310" w:type="dxa"/>
            <w:shd w:val="clear" w:color="auto" w:fill="auto"/>
            <w:vAlign w:val="bottom"/>
          </w:tcPr>
          <w:p w14:paraId="2C2FE02B" w14:textId="77777777" w:rsidR="00173EF1" w:rsidRPr="003A176D" w:rsidRDefault="00173EF1" w:rsidP="001A6319">
            <w:pPr>
              <w:pStyle w:val="CommentText"/>
              <w:tabs>
                <w:tab w:val="decimal" w:pos="1169"/>
              </w:tabs>
              <w:rPr>
                <w:rFonts w:ascii="Arial" w:hAnsi="Arial" w:cs="Arial"/>
                <w:sz w:val="18"/>
                <w:szCs w:val="18"/>
              </w:rPr>
            </w:pPr>
          </w:p>
        </w:tc>
      </w:tr>
      <w:tr w:rsidR="00173EF1" w:rsidRPr="003A176D" w14:paraId="5B1EA651" w14:textId="77777777" w:rsidTr="0029481C">
        <w:trPr>
          <w:cantSplit/>
          <w:trHeight w:hRule="exact" w:val="80"/>
        </w:trPr>
        <w:tc>
          <w:tcPr>
            <w:tcW w:w="4536" w:type="dxa"/>
            <w:vAlign w:val="bottom"/>
          </w:tcPr>
          <w:p w14:paraId="753D01F0" w14:textId="77777777" w:rsidR="00173EF1" w:rsidRPr="003A176D" w:rsidRDefault="00173EF1" w:rsidP="001A6319">
            <w:pPr>
              <w:rPr>
                <w:rFonts w:ascii="Arial" w:hAnsi="Arial" w:cs="Arial"/>
                <w:sz w:val="18"/>
                <w:szCs w:val="18"/>
              </w:rPr>
            </w:pPr>
          </w:p>
        </w:tc>
        <w:tc>
          <w:tcPr>
            <w:tcW w:w="284" w:type="dxa"/>
            <w:vAlign w:val="bottom"/>
          </w:tcPr>
          <w:p w14:paraId="4080439B" w14:textId="77777777" w:rsidR="00173EF1" w:rsidRPr="003A176D" w:rsidRDefault="00173EF1" w:rsidP="001A6319">
            <w:pPr>
              <w:rPr>
                <w:rFonts w:ascii="Arial" w:hAnsi="Arial" w:cs="Arial"/>
                <w:sz w:val="18"/>
                <w:szCs w:val="18"/>
              </w:rPr>
            </w:pPr>
          </w:p>
        </w:tc>
        <w:tc>
          <w:tcPr>
            <w:tcW w:w="1134" w:type="dxa"/>
            <w:vAlign w:val="bottom"/>
          </w:tcPr>
          <w:p w14:paraId="13AE6F0C"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25E6DBC1" w14:textId="77777777" w:rsidR="00173EF1" w:rsidRPr="003A176D" w:rsidRDefault="00173EF1" w:rsidP="001A6319">
            <w:pPr>
              <w:rPr>
                <w:rFonts w:ascii="Arial" w:hAnsi="Arial" w:cs="Arial"/>
                <w:sz w:val="18"/>
                <w:szCs w:val="18"/>
              </w:rPr>
            </w:pPr>
          </w:p>
        </w:tc>
        <w:tc>
          <w:tcPr>
            <w:tcW w:w="1418" w:type="dxa"/>
            <w:vAlign w:val="bottom"/>
          </w:tcPr>
          <w:p w14:paraId="24893E07" w14:textId="77777777" w:rsidR="00173EF1" w:rsidRPr="003A176D" w:rsidRDefault="00173EF1" w:rsidP="001A6319">
            <w:pPr>
              <w:pStyle w:val="CommentText"/>
              <w:tabs>
                <w:tab w:val="decimal" w:pos="1169"/>
              </w:tabs>
              <w:rPr>
                <w:rFonts w:ascii="Arial" w:hAnsi="Arial" w:cs="Arial"/>
                <w:sz w:val="18"/>
                <w:szCs w:val="18"/>
              </w:rPr>
            </w:pPr>
          </w:p>
        </w:tc>
        <w:tc>
          <w:tcPr>
            <w:tcW w:w="283" w:type="dxa"/>
          </w:tcPr>
          <w:p w14:paraId="401D4DE3" w14:textId="77777777" w:rsidR="00173EF1" w:rsidRPr="003A176D" w:rsidRDefault="00173EF1" w:rsidP="001A6319">
            <w:pPr>
              <w:pStyle w:val="CommentText"/>
              <w:tabs>
                <w:tab w:val="decimal" w:pos="1169"/>
              </w:tabs>
              <w:rPr>
                <w:rFonts w:ascii="Arial" w:hAnsi="Arial" w:cs="Arial"/>
                <w:sz w:val="18"/>
                <w:szCs w:val="18"/>
              </w:rPr>
            </w:pPr>
          </w:p>
        </w:tc>
        <w:tc>
          <w:tcPr>
            <w:tcW w:w="1310" w:type="dxa"/>
            <w:vAlign w:val="bottom"/>
          </w:tcPr>
          <w:p w14:paraId="3F41D1E9" w14:textId="77777777" w:rsidR="00173EF1" w:rsidRPr="003A176D" w:rsidRDefault="00173EF1" w:rsidP="001A6319">
            <w:pPr>
              <w:pStyle w:val="CommentText"/>
              <w:tabs>
                <w:tab w:val="decimal" w:pos="1169"/>
              </w:tabs>
              <w:rPr>
                <w:rFonts w:ascii="Arial" w:hAnsi="Arial" w:cs="Arial"/>
                <w:sz w:val="18"/>
                <w:szCs w:val="18"/>
              </w:rPr>
            </w:pPr>
          </w:p>
        </w:tc>
      </w:tr>
      <w:tr w:rsidR="00173EF1" w:rsidRPr="003A176D" w14:paraId="2C234389" w14:textId="77777777" w:rsidTr="00A64D71">
        <w:trPr>
          <w:cantSplit/>
          <w:trHeight w:hRule="exact" w:val="274"/>
        </w:trPr>
        <w:tc>
          <w:tcPr>
            <w:tcW w:w="4536" w:type="dxa"/>
            <w:vAlign w:val="bottom"/>
          </w:tcPr>
          <w:p w14:paraId="41DF66FD" w14:textId="77777777" w:rsidR="00173EF1" w:rsidRPr="003A176D" w:rsidRDefault="00173EF1" w:rsidP="001A6319">
            <w:pPr>
              <w:rPr>
                <w:rFonts w:ascii="Arial" w:hAnsi="Arial" w:cs="Arial"/>
                <w:b/>
                <w:sz w:val="18"/>
                <w:szCs w:val="18"/>
              </w:rPr>
            </w:pPr>
            <w:r w:rsidRPr="003A176D">
              <w:rPr>
                <w:rFonts w:ascii="Arial" w:hAnsi="Arial" w:cs="Arial"/>
                <w:b/>
                <w:sz w:val="18"/>
                <w:szCs w:val="18"/>
              </w:rPr>
              <w:t>Current</w:t>
            </w:r>
          </w:p>
        </w:tc>
        <w:tc>
          <w:tcPr>
            <w:tcW w:w="284" w:type="dxa"/>
            <w:vAlign w:val="bottom"/>
          </w:tcPr>
          <w:p w14:paraId="327ED187" w14:textId="77777777" w:rsidR="00173EF1" w:rsidRPr="003A176D" w:rsidRDefault="00173EF1" w:rsidP="001A6319">
            <w:pPr>
              <w:rPr>
                <w:rFonts w:ascii="Arial" w:hAnsi="Arial" w:cs="Arial"/>
                <w:sz w:val="18"/>
                <w:szCs w:val="18"/>
              </w:rPr>
            </w:pPr>
          </w:p>
        </w:tc>
        <w:tc>
          <w:tcPr>
            <w:tcW w:w="1134" w:type="dxa"/>
            <w:vAlign w:val="bottom"/>
          </w:tcPr>
          <w:p w14:paraId="4638E4CF"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0FAEBEF5" w14:textId="77777777" w:rsidR="00173EF1" w:rsidRPr="003A176D" w:rsidRDefault="00173EF1" w:rsidP="001A6319">
            <w:pPr>
              <w:rPr>
                <w:rFonts w:ascii="Arial" w:hAnsi="Arial" w:cs="Arial"/>
                <w:sz w:val="18"/>
                <w:szCs w:val="18"/>
              </w:rPr>
            </w:pPr>
          </w:p>
        </w:tc>
        <w:tc>
          <w:tcPr>
            <w:tcW w:w="1418" w:type="dxa"/>
            <w:vAlign w:val="bottom"/>
          </w:tcPr>
          <w:p w14:paraId="3DE063BE" w14:textId="77777777" w:rsidR="00173EF1" w:rsidRPr="003A176D" w:rsidRDefault="00173EF1" w:rsidP="001A6319">
            <w:pPr>
              <w:pStyle w:val="CommentText"/>
              <w:tabs>
                <w:tab w:val="decimal" w:pos="1169"/>
              </w:tabs>
              <w:rPr>
                <w:rFonts w:ascii="Arial" w:hAnsi="Arial" w:cs="Arial"/>
                <w:sz w:val="18"/>
                <w:szCs w:val="18"/>
              </w:rPr>
            </w:pPr>
          </w:p>
        </w:tc>
        <w:tc>
          <w:tcPr>
            <w:tcW w:w="283" w:type="dxa"/>
          </w:tcPr>
          <w:p w14:paraId="645F4657" w14:textId="77777777" w:rsidR="00173EF1" w:rsidRPr="003A176D" w:rsidRDefault="00173EF1" w:rsidP="001A6319">
            <w:pPr>
              <w:pStyle w:val="CommentText"/>
              <w:tabs>
                <w:tab w:val="decimal" w:pos="1169"/>
              </w:tabs>
              <w:rPr>
                <w:rFonts w:ascii="Arial" w:hAnsi="Arial" w:cs="Arial"/>
                <w:sz w:val="18"/>
                <w:szCs w:val="18"/>
              </w:rPr>
            </w:pPr>
          </w:p>
        </w:tc>
        <w:tc>
          <w:tcPr>
            <w:tcW w:w="1310" w:type="dxa"/>
            <w:vAlign w:val="bottom"/>
          </w:tcPr>
          <w:p w14:paraId="361A5B09" w14:textId="77777777" w:rsidR="00173EF1" w:rsidRPr="003A176D" w:rsidRDefault="00173EF1" w:rsidP="001A6319">
            <w:pPr>
              <w:pStyle w:val="CommentText"/>
              <w:tabs>
                <w:tab w:val="decimal" w:pos="1169"/>
              </w:tabs>
              <w:rPr>
                <w:rFonts w:ascii="Arial" w:hAnsi="Arial" w:cs="Arial"/>
                <w:sz w:val="18"/>
                <w:szCs w:val="18"/>
              </w:rPr>
            </w:pPr>
          </w:p>
        </w:tc>
      </w:tr>
      <w:tr w:rsidR="00173EF1" w:rsidRPr="003A176D" w14:paraId="1EA00645" w14:textId="77777777" w:rsidTr="00A64D71">
        <w:trPr>
          <w:cantSplit/>
          <w:trHeight w:hRule="exact" w:val="274"/>
        </w:trPr>
        <w:tc>
          <w:tcPr>
            <w:tcW w:w="4536" w:type="dxa"/>
            <w:vAlign w:val="bottom"/>
          </w:tcPr>
          <w:p w14:paraId="5FE29B63" w14:textId="77777777" w:rsidR="00173EF1" w:rsidRPr="003A176D" w:rsidRDefault="00173EF1" w:rsidP="001A6319">
            <w:pPr>
              <w:rPr>
                <w:rFonts w:ascii="Arial" w:hAnsi="Arial" w:cs="Arial"/>
                <w:sz w:val="18"/>
                <w:szCs w:val="18"/>
              </w:rPr>
            </w:pPr>
            <w:r w:rsidRPr="003A176D">
              <w:rPr>
                <w:rFonts w:ascii="Arial" w:hAnsi="Arial" w:cs="Arial"/>
                <w:sz w:val="18"/>
                <w:szCs w:val="18"/>
              </w:rPr>
              <w:t xml:space="preserve"> Cash </w:t>
            </w:r>
          </w:p>
        </w:tc>
        <w:tc>
          <w:tcPr>
            <w:tcW w:w="284" w:type="dxa"/>
            <w:vAlign w:val="bottom"/>
          </w:tcPr>
          <w:p w14:paraId="136FFCC9" w14:textId="77777777" w:rsidR="00173EF1" w:rsidRPr="003A176D" w:rsidRDefault="00173EF1" w:rsidP="001A6319">
            <w:pPr>
              <w:rPr>
                <w:rFonts w:ascii="Arial" w:hAnsi="Arial" w:cs="Arial"/>
                <w:sz w:val="18"/>
                <w:szCs w:val="18"/>
              </w:rPr>
            </w:pPr>
          </w:p>
        </w:tc>
        <w:tc>
          <w:tcPr>
            <w:tcW w:w="1134" w:type="dxa"/>
            <w:vAlign w:val="bottom"/>
          </w:tcPr>
          <w:p w14:paraId="4A415A00"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48268791" w14:textId="77777777" w:rsidR="00173EF1" w:rsidRPr="003A176D" w:rsidRDefault="00173EF1" w:rsidP="001A6319">
            <w:pPr>
              <w:rPr>
                <w:rFonts w:ascii="Arial" w:hAnsi="Arial" w:cs="Arial"/>
                <w:sz w:val="18"/>
                <w:szCs w:val="18"/>
              </w:rPr>
            </w:pPr>
            <w:r w:rsidRPr="003A176D">
              <w:rPr>
                <w:rFonts w:ascii="Arial" w:hAnsi="Arial" w:cs="Arial"/>
                <w:sz w:val="18"/>
                <w:szCs w:val="18"/>
              </w:rPr>
              <w:t>$</w:t>
            </w:r>
          </w:p>
        </w:tc>
        <w:tc>
          <w:tcPr>
            <w:tcW w:w="1418" w:type="dxa"/>
            <w:vAlign w:val="bottom"/>
          </w:tcPr>
          <w:p w14:paraId="092BB027" w14:textId="4BA75834" w:rsidR="00173EF1" w:rsidRPr="003A176D" w:rsidRDefault="003C1E27" w:rsidP="001A6319">
            <w:pPr>
              <w:pStyle w:val="CommentText"/>
              <w:tabs>
                <w:tab w:val="decimal" w:pos="960"/>
              </w:tabs>
              <w:rPr>
                <w:rFonts w:ascii="Arial" w:hAnsi="Arial" w:cs="Arial"/>
                <w:sz w:val="18"/>
                <w:szCs w:val="18"/>
              </w:rPr>
            </w:pPr>
            <w:r w:rsidRPr="003A176D">
              <w:rPr>
                <w:rFonts w:ascii="Arial" w:hAnsi="Arial" w:cs="Arial"/>
                <w:sz w:val="18"/>
                <w:szCs w:val="18"/>
              </w:rPr>
              <w:t>892,611</w:t>
            </w:r>
          </w:p>
        </w:tc>
        <w:tc>
          <w:tcPr>
            <w:tcW w:w="283" w:type="dxa"/>
            <w:vAlign w:val="bottom"/>
          </w:tcPr>
          <w:p w14:paraId="6C117FEA" w14:textId="1E5101EB" w:rsidR="00173EF1" w:rsidRPr="003A176D" w:rsidRDefault="005F5F27" w:rsidP="001A6319">
            <w:pPr>
              <w:rPr>
                <w:rFonts w:ascii="Arial" w:hAnsi="Arial" w:cs="Arial"/>
                <w:sz w:val="18"/>
                <w:szCs w:val="18"/>
              </w:rPr>
            </w:pPr>
            <w:r w:rsidRPr="003A176D">
              <w:rPr>
                <w:rFonts w:ascii="Arial" w:hAnsi="Arial" w:cs="Arial"/>
                <w:sz w:val="18"/>
                <w:szCs w:val="18"/>
              </w:rPr>
              <w:t>$</w:t>
            </w:r>
          </w:p>
        </w:tc>
        <w:tc>
          <w:tcPr>
            <w:tcW w:w="1310" w:type="dxa"/>
            <w:vAlign w:val="bottom"/>
          </w:tcPr>
          <w:p w14:paraId="7665133D" w14:textId="6D2269A3" w:rsidR="00173EF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84,058</w:t>
            </w:r>
          </w:p>
        </w:tc>
      </w:tr>
      <w:tr w:rsidR="00173EF1" w:rsidRPr="003A176D" w14:paraId="068CD834" w14:textId="77777777" w:rsidTr="00A64D71">
        <w:trPr>
          <w:cantSplit/>
          <w:trHeight w:hRule="exact" w:val="274"/>
        </w:trPr>
        <w:tc>
          <w:tcPr>
            <w:tcW w:w="4536" w:type="dxa"/>
            <w:vAlign w:val="bottom"/>
          </w:tcPr>
          <w:p w14:paraId="3FA637C8" w14:textId="22EFF55D" w:rsidR="00173EF1" w:rsidRPr="003A176D" w:rsidRDefault="00173EF1" w:rsidP="001A6319">
            <w:pPr>
              <w:rPr>
                <w:rFonts w:ascii="Arial" w:hAnsi="Arial" w:cs="Arial"/>
                <w:sz w:val="18"/>
                <w:szCs w:val="18"/>
              </w:rPr>
            </w:pPr>
            <w:r w:rsidRPr="003A176D">
              <w:rPr>
                <w:rFonts w:ascii="Arial" w:hAnsi="Arial" w:cs="Arial"/>
                <w:sz w:val="18"/>
                <w:szCs w:val="18"/>
              </w:rPr>
              <w:t xml:space="preserve"> Accounts receivable</w:t>
            </w:r>
          </w:p>
        </w:tc>
        <w:tc>
          <w:tcPr>
            <w:tcW w:w="284" w:type="dxa"/>
            <w:vAlign w:val="bottom"/>
          </w:tcPr>
          <w:p w14:paraId="66B6C03B" w14:textId="77777777" w:rsidR="00173EF1" w:rsidRPr="003A176D" w:rsidRDefault="00173EF1" w:rsidP="001A6319">
            <w:pPr>
              <w:rPr>
                <w:rFonts w:ascii="Arial" w:hAnsi="Arial" w:cs="Arial"/>
                <w:sz w:val="18"/>
                <w:szCs w:val="18"/>
              </w:rPr>
            </w:pPr>
          </w:p>
        </w:tc>
        <w:tc>
          <w:tcPr>
            <w:tcW w:w="1134" w:type="dxa"/>
            <w:vAlign w:val="bottom"/>
          </w:tcPr>
          <w:p w14:paraId="0BF989B4"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7F2471F0" w14:textId="74845ADC" w:rsidR="00173EF1" w:rsidRPr="003A176D" w:rsidRDefault="00173EF1" w:rsidP="001A6319">
            <w:pPr>
              <w:rPr>
                <w:rFonts w:ascii="Arial" w:hAnsi="Arial" w:cs="Arial"/>
                <w:sz w:val="18"/>
                <w:szCs w:val="18"/>
              </w:rPr>
            </w:pPr>
          </w:p>
        </w:tc>
        <w:tc>
          <w:tcPr>
            <w:tcW w:w="1418" w:type="dxa"/>
            <w:vAlign w:val="bottom"/>
          </w:tcPr>
          <w:p w14:paraId="34340331" w14:textId="3BEB48B9" w:rsidR="00173EF1" w:rsidRPr="003A176D" w:rsidRDefault="003C1E27" w:rsidP="001A6319">
            <w:pPr>
              <w:pStyle w:val="CommentText"/>
              <w:tabs>
                <w:tab w:val="decimal" w:pos="960"/>
              </w:tabs>
              <w:rPr>
                <w:rFonts w:ascii="Arial" w:hAnsi="Arial" w:cs="Arial"/>
                <w:sz w:val="18"/>
                <w:szCs w:val="18"/>
              </w:rPr>
            </w:pPr>
            <w:r w:rsidRPr="003A176D">
              <w:rPr>
                <w:rFonts w:ascii="Arial" w:hAnsi="Arial" w:cs="Arial"/>
                <w:sz w:val="18"/>
                <w:szCs w:val="18"/>
              </w:rPr>
              <w:t>238,489</w:t>
            </w:r>
          </w:p>
        </w:tc>
        <w:tc>
          <w:tcPr>
            <w:tcW w:w="283" w:type="dxa"/>
            <w:vAlign w:val="bottom"/>
          </w:tcPr>
          <w:p w14:paraId="4A6B4425" w14:textId="77777777" w:rsidR="00173EF1" w:rsidRPr="003A176D" w:rsidRDefault="00173EF1" w:rsidP="001A6319">
            <w:pPr>
              <w:rPr>
                <w:rFonts w:ascii="Arial" w:hAnsi="Arial" w:cs="Arial"/>
                <w:sz w:val="18"/>
                <w:szCs w:val="18"/>
              </w:rPr>
            </w:pPr>
          </w:p>
        </w:tc>
        <w:tc>
          <w:tcPr>
            <w:tcW w:w="1310" w:type="dxa"/>
            <w:vAlign w:val="bottom"/>
          </w:tcPr>
          <w:p w14:paraId="10221503" w14:textId="7AABCEBE" w:rsidR="00173EF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18,201</w:t>
            </w:r>
          </w:p>
        </w:tc>
      </w:tr>
      <w:tr w:rsidR="00173EF1" w:rsidRPr="003A176D" w14:paraId="0A81CDE2" w14:textId="77777777" w:rsidTr="009D0EE3">
        <w:trPr>
          <w:cantSplit/>
          <w:trHeight w:hRule="exact" w:val="274"/>
        </w:trPr>
        <w:tc>
          <w:tcPr>
            <w:tcW w:w="4536" w:type="dxa"/>
            <w:vAlign w:val="bottom"/>
          </w:tcPr>
          <w:p w14:paraId="025A8899" w14:textId="1E2A2D8F" w:rsidR="00173EF1" w:rsidRPr="003A176D" w:rsidRDefault="00173EF1" w:rsidP="001A6319">
            <w:pPr>
              <w:rPr>
                <w:rFonts w:ascii="Arial" w:hAnsi="Arial" w:cs="Arial"/>
                <w:sz w:val="18"/>
                <w:szCs w:val="18"/>
              </w:rPr>
            </w:pPr>
            <w:r w:rsidRPr="003A176D">
              <w:rPr>
                <w:rFonts w:ascii="Arial" w:hAnsi="Arial" w:cs="Arial"/>
                <w:sz w:val="18"/>
                <w:szCs w:val="18"/>
              </w:rPr>
              <w:t xml:space="preserve"> Prepaid expenses and deposits</w:t>
            </w:r>
          </w:p>
        </w:tc>
        <w:tc>
          <w:tcPr>
            <w:tcW w:w="284" w:type="dxa"/>
            <w:vAlign w:val="bottom"/>
          </w:tcPr>
          <w:p w14:paraId="6637011D" w14:textId="77777777" w:rsidR="00173EF1" w:rsidRPr="003A176D" w:rsidRDefault="00173EF1" w:rsidP="001A6319">
            <w:pPr>
              <w:rPr>
                <w:rFonts w:ascii="Arial" w:hAnsi="Arial" w:cs="Arial"/>
                <w:sz w:val="18"/>
                <w:szCs w:val="18"/>
              </w:rPr>
            </w:pPr>
          </w:p>
        </w:tc>
        <w:tc>
          <w:tcPr>
            <w:tcW w:w="1134" w:type="dxa"/>
            <w:vAlign w:val="bottom"/>
          </w:tcPr>
          <w:p w14:paraId="6732AF54"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1E7D096D" w14:textId="149EA482" w:rsidR="00173EF1" w:rsidRPr="003A176D" w:rsidRDefault="00173EF1" w:rsidP="001A6319">
            <w:pPr>
              <w:rPr>
                <w:rFonts w:ascii="Arial" w:hAnsi="Arial" w:cs="Arial"/>
                <w:sz w:val="18"/>
                <w:szCs w:val="18"/>
              </w:rPr>
            </w:pPr>
          </w:p>
        </w:tc>
        <w:tc>
          <w:tcPr>
            <w:tcW w:w="1418" w:type="dxa"/>
            <w:vAlign w:val="bottom"/>
          </w:tcPr>
          <w:p w14:paraId="3DDF6141" w14:textId="16B22BB6" w:rsidR="00173EF1" w:rsidRPr="003A176D" w:rsidRDefault="003C1E27" w:rsidP="001A6319">
            <w:pPr>
              <w:pStyle w:val="CommentText"/>
              <w:tabs>
                <w:tab w:val="decimal" w:pos="960"/>
              </w:tabs>
              <w:rPr>
                <w:rFonts w:ascii="Arial" w:hAnsi="Arial" w:cs="Arial"/>
                <w:sz w:val="18"/>
                <w:szCs w:val="18"/>
              </w:rPr>
            </w:pPr>
            <w:r w:rsidRPr="003A176D">
              <w:rPr>
                <w:rFonts w:ascii="Arial" w:hAnsi="Arial" w:cs="Arial"/>
                <w:sz w:val="18"/>
                <w:szCs w:val="18"/>
              </w:rPr>
              <w:t>1,358,08</w:t>
            </w:r>
            <w:r w:rsidR="00F87947" w:rsidRPr="003A176D">
              <w:rPr>
                <w:rFonts w:ascii="Arial" w:hAnsi="Arial" w:cs="Arial"/>
                <w:sz w:val="18"/>
                <w:szCs w:val="18"/>
              </w:rPr>
              <w:t>7</w:t>
            </w:r>
          </w:p>
        </w:tc>
        <w:tc>
          <w:tcPr>
            <w:tcW w:w="283" w:type="dxa"/>
            <w:vAlign w:val="bottom"/>
          </w:tcPr>
          <w:p w14:paraId="3DA2DF78" w14:textId="77777777" w:rsidR="00173EF1" w:rsidRPr="003A176D" w:rsidRDefault="00173EF1" w:rsidP="001A6319">
            <w:pPr>
              <w:rPr>
                <w:rFonts w:ascii="Arial" w:hAnsi="Arial" w:cs="Arial"/>
                <w:sz w:val="18"/>
                <w:szCs w:val="18"/>
              </w:rPr>
            </w:pPr>
          </w:p>
        </w:tc>
        <w:tc>
          <w:tcPr>
            <w:tcW w:w="1310" w:type="dxa"/>
            <w:vAlign w:val="bottom"/>
          </w:tcPr>
          <w:p w14:paraId="2C63C4CE" w14:textId="47A986F9" w:rsidR="00173EF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154,058</w:t>
            </w:r>
          </w:p>
        </w:tc>
      </w:tr>
      <w:tr w:rsidR="00173EF1" w:rsidRPr="003A176D" w14:paraId="53CC8A65" w14:textId="77777777" w:rsidTr="009D0EE3">
        <w:trPr>
          <w:cantSplit/>
          <w:trHeight w:hRule="exact" w:val="274"/>
        </w:trPr>
        <w:tc>
          <w:tcPr>
            <w:tcW w:w="4536" w:type="dxa"/>
            <w:vAlign w:val="bottom"/>
          </w:tcPr>
          <w:p w14:paraId="7C1D4953" w14:textId="63170122" w:rsidR="00173EF1" w:rsidRPr="003A176D" w:rsidRDefault="009D0EE3" w:rsidP="001A6319">
            <w:pPr>
              <w:ind w:left="-120" w:firstLine="142"/>
              <w:rPr>
                <w:rFonts w:ascii="Arial" w:hAnsi="Arial" w:cs="Arial"/>
                <w:sz w:val="18"/>
                <w:szCs w:val="18"/>
              </w:rPr>
            </w:pPr>
            <w:r w:rsidRPr="003A176D">
              <w:rPr>
                <w:rFonts w:ascii="Arial" w:hAnsi="Arial" w:cs="Arial"/>
                <w:sz w:val="18"/>
                <w:szCs w:val="18"/>
              </w:rPr>
              <w:t xml:space="preserve"> </w:t>
            </w:r>
            <w:r w:rsidR="00173EF1" w:rsidRPr="003A176D">
              <w:rPr>
                <w:rFonts w:ascii="Arial" w:hAnsi="Arial" w:cs="Arial"/>
                <w:sz w:val="18"/>
                <w:szCs w:val="18"/>
              </w:rPr>
              <w:t>Digital currencies</w:t>
            </w:r>
            <w:r w:rsidR="00E2034A" w:rsidRPr="003A176D">
              <w:rPr>
                <w:rFonts w:ascii="Arial" w:hAnsi="Arial" w:cs="Arial"/>
                <w:sz w:val="18"/>
                <w:szCs w:val="18"/>
              </w:rPr>
              <w:t xml:space="preserve"> </w:t>
            </w:r>
          </w:p>
        </w:tc>
        <w:tc>
          <w:tcPr>
            <w:tcW w:w="284" w:type="dxa"/>
            <w:vAlign w:val="bottom"/>
          </w:tcPr>
          <w:p w14:paraId="0A92E134" w14:textId="77777777" w:rsidR="00173EF1" w:rsidRPr="003A176D" w:rsidRDefault="00173EF1" w:rsidP="001A6319">
            <w:pPr>
              <w:rPr>
                <w:rFonts w:ascii="Arial" w:hAnsi="Arial" w:cs="Arial"/>
                <w:sz w:val="18"/>
                <w:szCs w:val="18"/>
              </w:rPr>
            </w:pPr>
          </w:p>
        </w:tc>
        <w:tc>
          <w:tcPr>
            <w:tcW w:w="1134" w:type="dxa"/>
            <w:vAlign w:val="bottom"/>
          </w:tcPr>
          <w:p w14:paraId="3FD638AB"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1848DB7B" w14:textId="2519C900" w:rsidR="00173EF1" w:rsidRPr="003A176D" w:rsidRDefault="00173EF1" w:rsidP="001A6319">
            <w:pPr>
              <w:rPr>
                <w:rFonts w:ascii="Arial" w:hAnsi="Arial" w:cs="Arial"/>
                <w:sz w:val="18"/>
                <w:szCs w:val="18"/>
              </w:rPr>
            </w:pPr>
          </w:p>
        </w:tc>
        <w:tc>
          <w:tcPr>
            <w:tcW w:w="1418" w:type="dxa"/>
            <w:vAlign w:val="bottom"/>
          </w:tcPr>
          <w:p w14:paraId="3E18AB9D" w14:textId="2DED4956" w:rsidR="00173EF1" w:rsidRPr="003A176D" w:rsidRDefault="003C1E27" w:rsidP="001A6319">
            <w:pPr>
              <w:pStyle w:val="CommentText"/>
              <w:tabs>
                <w:tab w:val="decimal" w:pos="960"/>
              </w:tabs>
              <w:rPr>
                <w:rFonts w:ascii="Arial" w:hAnsi="Arial" w:cs="Arial"/>
                <w:sz w:val="18"/>
                <w:szCs w:val="18"/>
              </w:rPr>
            </w:pPr>
            <w:r w:rsidRPr="003A176D">
              <w:rPr>
                <w:rFonts w:ascii="Arial" w:hAnsi="Arial" w:cs="Arial"/>
                <w:sz w:val="18"/>
                <w:szCs w:val="18"/>
              </w:rPr>
              <w:t>7,368</w:t>
            </w:r>
          </w:p>
        </w:tc>
        <w:tc>
          <w:tcPr>
            <w:tcW w:w="283" w:type="dxa"/>
            <w:vAlign w:val="bottom"/>
          </w:tcPr>
          <w:p w14:paraId="537C8D23" w14:textId="77777777" w:rsidR="00173EF1" w:rsidRPr="003A176D" w:rsidRDefault="00173EF1" w:rsidP="001A6319">
            <w:pPr>
              <w:rPr>
                <w:rFonts w:ascii="Arial" w:hAnsi="Arial" w:cs="Arial"/>
                <w:sz w:val="18"/>
                <w:szCs w:val="18"/>
              </w:rPr>
            </w:pPr>
          </w:p>
        </w:tc>
        <w:tc>
          <w:tcPr>
            <w:tcW w:w="1310" w:type="dxa"/>
            <w:vAlign w:val="bottom"/>
          </w:tcPr>
          <w:p w14:paraId="6C3F4F27" w14:textId="1BD21145" w:rsidR="00173EF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42,903</w:t>
            </w:r>
          </w:p>
        </w:tc>
      </w:tr>
      <w:tr w:rsidR="009D0EE3" w:rsidRPr="003A176D" w14:paraId="25F3D630" w14:textId="77777777" w:rsidTr="009D0EE3">
        <w:trPr>
          <w:cantSplit/>
          <w:trHeight w:hRule="exact" w:val="274"/>
        </w:trPr>
        <w:tc>
          <w:tcPr>
            <w:tcW w:w="4536" w:type="dxa"/>
            <w:tcBorders>
              <w:bottom w:val="single" w:sz="4" w:space="0" w:color="auto"/>
            </w:tcBorders>
            <w:vAlign w:val="bottom"/>
          </w:tcPr>
          <w:p w14:paraId="2785B1B9" w14:textId="542B176B" w:rsidR="009D0EE3" w:rsidRPr="003A176D" w:rsidRDefault="009D0EE3" w:rsidP="001A6319">
            <w:pPr>
              <w:ind w:left="-120" w:firstLine="142"/>
              <w:rPr>
                <w:rFonts w:ascii="Arial" w:hAnsi="Arial" w:cs="Arial"/>
                <w:sz w:val="18"/>
                <w:szCs w:val="18"/>
              </w:rPr>
            </w:pPr>
            <w:r w:rsidRPr="003A176D">
              <w:rPr>
                <w:rFonts w:ascii="Arial" w:hAnsi="Arial" w:cs="Arial"/>
                <w:sz w:val="18"/>
                <w:szCs w:val="18"/>
              </w:rPr>
              <w:t xml:space="preserve"> Due from related parties, short term (notes 4 and 10)</w:t>
            </w:r>
          </w:p>
        </w:tc>
        <w:tc>
          <w:tcPr>
            <w:tcW w:w="284" w:type="dxa"/>
            <w:tcBorders>
              <w:bottom w:val="single" w:sz="4" w:space="0" w:color="auto"/>
            </w:tcBorders>
            <w:vAlign w:val="bottom"/>
          </w:tcPr>
          <w:p w14:paraId="4EFFD6AE" w14:textId="77777777" w:rsidR="009D0EE3" w:rsidRPr="003A176D" w:rsidRDefault="009D0EE3" w:rsidP="001A6319">
            <w:pPr>
              <w:rPr>
                <w:rFonts w:ascii="Arial" w:hAnsi="Arial" w:cs="Arial"/>
                <w:sz w:val="18"/>
                <w:szCs w:val="18"/>
              </w:rPr>
            </w:pPr>
          </w:p>
        </w:tc>
        <w:tc>
          <w:tcPr>
            <w:tcW w:w="1134" w:type="dxa"/>
            <w:tcBorders>
              <w:bottom w:val="single" w:sz="4" w:space="0" w:color="auto"/>
            </w:tcBorders>
            <w:vAlign w:val="bottom"/>
          </w:tcPr>
          <w:p w14:paraId="47DBAE32" w14:textId="77777777" w:rsidR="009D0EE3" w:rsidRPr="003A176D" w:rsidRDefault="009D0EE3" w:rsidP="001A6319">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51B69DF6" w14:textId="77777777" w:rsidR="009D0EE3" w:rsidRPr="003A176D" w:rsidRDefault="009D0EE3" w:rsidP="001A6319">
            <w:pPr>
              <w:rPr>
                <w:rFonts w:ascii="Arial" w:hAnsi="Arial" w:cs="Arial"/>
                <w:sz w:val="18"/>
                <w:szCs w:val="18"/>
              </w:rPr>
            </w:pPr>
          </w:p>
        </w:tc>
        <w:tc>
          <w:tcPr>
            <w:tcW w:w="1418" w:type="dxa"/>
            <w:tcBorders>
              <w:bottom w:val="single" w:sz="4" w:space="0" w:color="auto"/>
            </w:tcBorders>
            <w:vAlign w:val="bottom"/>
          </w:tcPr>
          <w:p w14:paraId="65D6D27D" w14:textId="6E423C7E" w:rsidR="009D0EE3" w:rsidRPr="003A176D" w:rsidRDefault="009D0EE3" w:rsidP="001A6319">
            <w:pPr>
              <w:pStyle w:val="CommentText"/>
              <w:tabs>
                <w:tab w:val="decimal" w:pos="960"/>
              </w:tabs>
              <w:rPr>
                <w:rFonts w:ascii="Arial" w:hAnsi="Arial" w:cs="Arial"/>
                <w:sz w:val="18"/>
                <w:szCs w:val="18"/>
              </w:rPr>
            </w:pPr>
            <w:r w:rsidRPr="003A176D">
              <w:rPr>
                <w:rFonts w:ascii="Arial" w:hAnsi="Arial" w:cs="Arial"/>
                <w:sz w:val="18"/>
                <w:szCs w:val="18"/>
              </w:rPr>
              <w:t>55,177</w:t>
            </w:r>
          </w:p>
        </w:tc>
        <w:tc>
          <w:tcPr>
            <w:tcW w:w="283" w:type="dxa"/>
            <w:tcBorders>
              <w:bottom w:val="single" w:sz="4" w:space="0" w:color="auto"/>
            </w:tcBorders>
            <w:vAlign w:val="bottom"/>
          </w:tcPr>
          <w:p w14:paraId="7D55E35E" w14:textId="77777777" w:rsidR="009D0EE3" w:rsidRPr="003A176D" w:rsidRDefault="009D0EE3" w:rsidP="001A6319">
            <w:pPr>
              <w:rPr>
                <w:rFonts w:ascii="Arial" w:hAnsi="Arial" w:cs="Arial"/>
                <w:sz w:val="18"/>
                <w:szCs w:val="18"/>
              </w:rPr>
            </w:pPr>
          </w:p>
        </w:tc>
        <w:tc>
          <w:tcPr>
            <w:tcW w:w="1310" w:type="dxa"/>
            <w:tcBorders>
              <w:bottom w:val="single" w:sz="4" w:space="0" w:color="auto"/>
            </w:tcBorders>
            <w:vAlign w:val="bottom"/>
          </w:tcPr>
          <w:p w14:paraId="630084CF" w14:textId="7E17A116" w:rsidR="009D0EE3" w:rsidRPr="003A176D" w:rsidRDefault="009D0EE3" w:rsidP="001A6319">
            <w:pPr>
              <w:pStyle w:val="CommentText"/>
              <w:tabs>
                <w:tab w:val="decimal" w:pos="960"/>
              </w:tabs>
              <w:rPr>
                <w:rFonts w:ascii="Arial" w:hAnsi="Arial" w:cs="Arial"/>
                <w:sz w:val="18"/>
                <w:szCs w:val="18"/>
              </w:rPr>
            </w:pPr>
            <w:r w:rsidRPr="003A176D">
              <w:rPr>
                <w:rFonts w:ascii="Arial" w:hAnsi="Arial" w:cs="Arial"/>
                <w:sz w:val="18"/>
                <w:szCs w:val="18"/>
              </w:rPr>
              <w:t>-</w:t>
            </w:r>
          </w:p>
        </w:tc>
      </w:tr>
      <w:tr w:rsidR="00173EF1" w:rsidRPr="003A176D" w14:paraId="05B541B9" w14:textId="77777777" w:rsidTr="00A64D71">
        <w:trPr>
          <w:cantSplit/>
          <w:trHeight w:hRule="exact" w:val="274"/>
        </w:trPr>
        <w:tc>
          <w:tcPr>
            <w:tcW w:w="4536" w:type="dxa"/>
            <w:tcBorders>
              <w:top w:val="single" w:sz="4" w:space="0" w:color="auto"/>
            </w:tcBorders>
            <w:vAlign w:val="bottom"/>
          </w:tcPr>
          <w:p w14:paraId="68E62F03" w14:textId="0F412ED8" w:rsidR="00173EF1" w:rsidRPr="003A176D" w:rsidRDefault="00173EF1" w:rsidP="005F5F27">
            <w:pPr>
              <w:rPr>
                <w:rFonts w:ascii="Arial" w:hAnsi="Arial" w:cs="Arial"/>
                <w:b/>
                <w:bCs/>
                <w:sz w:val="18"/>
                <w:szCs w:val="18"/>
              </w:rPr>
            </w:pPr>
            <w:r w:rsidRPr="003A176D">
              <w:rPr>
                <w:rFonts w:ascii="Arial" w:hAnsi="Arial" w:cs="Arial"/>
                <w:b/>
                <w:bCs/>
                <w:sz w:val="18"/>
                <w:szCs w:val="18"/>
              </w:rPr>
              <w:t xml:space="preserve">Total current assets </w:t>
            </w:r>
          </w:p>
        </w:tc>
        <w:tc>
          <w:tcPr>
            <w:tcW w:w="284" w:type="dxa"/>
            <w:tcBorders>
              <w:top w:val="single" w:sz="4" w:space="0" w:color="auto"/>
            </w:tcBorders>
            <w:vAlign w:val="bottom"/>
          </w:tcPr>
          <w:p w14:paraId="61A67CA0" w14:textId="77777777" w:rsidR="00173EF1" w:rsidRPr="003A176D" w:rsidRDefault="00173EF1" w:rsidP="001A6319">
            <w:pPr>
              <w:rPr>
                <w:rFonts w:ascii="Arial" w:hAnsi="Arial" w:cs="Arial"/>
                <w:b/>
                <w:bCs/>
                <w:sz w:val="18"/>
                <w:szCs w:val="18"/>
              </w:rPr>
            </w:pPr>
          </w:p>
        </w:tc>
        <w:tc>
          <w:tcPr>
            <w:tcW w:w="1134" w:type="dxa"/>
            <w:tcBorders>
              <w:top w:val="single" w:sz="4" w:space="0" w:color="auto"/>
            </w:tcBorders>
            <w:vAlign w:val="bottom"/>
          </w:tcPr>
          <w:p w14:paraId="4B07ED9A" w14:textId="77777777" w:rsidR="00173EF1" w:rsidRPr="003A176D" w:rsidRDefault="00173EF1" w:rsidP="001A6319">
            <w:pPr>
              <w:pStyle w:val="CommentText"/>
              <w:tabs>
                <w:tab w:val="decimal" w:pos="960"/>
              </w:tabs>
              <w:rPr>
                <w:rFonts w:ascii="Arial" w:hAnsi="Arial" w:cs="Arial"/>
                <w:b/>
                <w:bCs/>
                <w:sz w:val="18"/>
                <w:szCs w:val="18"/>
              </w:rPr>
            </w:pPr>
          </w:p>
        </w:tc>
        <w:tc>
          <w:tcPr>
            <w:tcW w:w="283" w:type="dxa"/>
            <w:tcBorders>
              <w:top w:val="single" w:sz="4" w:space="0" w:color="auto"/>
            </w:tcBorders>
            <w:vAlign w:val="bottom"/>
          </w:tcPr>
          <w:p w14:paraId="0A3300DE" w14:textId="1DFE6679" w:rsidR="00173EF1" w:rsidRPr="003A176D" w:rsidRDefault="00173EF1" w:rsidP="001A6319">
            <w:pPr>
              <w:rPr>
                <w:rFonts w:ascii="Arial" w:hAnsi="Arial" w:cs="Arial"/>
                <w:b/>
                <w:bCs/>
                <w:sz w:val="18"/>
                <w:szCs w:val="18"/>
              </w:rPr>
            </w:pPr>
          </w:p>
        </w:tc>
        <w:tc>
          <w:tcPr>
            <w:tcW w:w="1418" w:type="dxa"/>
            <w:tcBorders>
              <w:top w:val="single" w:sz="4" w:space="0" w:color="auto"/>
            </w:tcBorders>
            <w:vAlign w:val="bottom"/>
          </w:tcPr>
          <w:p w14:paraId="61B508E8" w14:textId="27C4697C" w:rsidR="00173EF1" w:rsidRPr="003A176D" w:rsidRDefault="003C1E27" w:rsidP="001A6319">
            <w:pPr>
              <w:pStyle w:val="CommentText"/>
              <w:tabs>
                <w:tab w:val="decimal" w:pos="960"/>
              </w:tabs>
              <w:rPr>
                <w:rFonts w:ascii="Arial" w:hAnsi="Arial" w:cs="Arial"/>
                <w:b/>
                <w:bCs/>
                <w:sz w:val="18"/>
                <w:szCs w:val="18"/>
              </w:rPr>
            </w:pPr>
            <w:r w:rsidRPr="003A176D">
              <w:rPr>
                <w:rFonts w:ascii="Arial" w:hAnsi="Arial" w:cs="Arial"/>
                <w:b/>
                <w:bCs/>
                <w:sz w:val="18"/>
                <w:szCs w:val="18"/>
              </w:rPr>
              <w:t>2,</w:t>
            </w:r>
            <w:r w:rsidR="009D0EE3" w:rsidRPr="003A176D">
              <w:rPr>
                <w:rFonts w:ascii="Arial" w:hAnsi="Arial" w:cs="Arial"/>
                <w:b/>
                <w:bCs/>
                <w:sz w:val="18"/>
                <w:szCs w:val="18"/>
              </w:rPr>
              <w:t>551,732</w:t>
            </w:r>
          </w:p>
        </w:tc>
        <w:tc>
          <w:tcPr>
            <w:tcW w:w="283" w:type="dxa"/>
            <w:tcBorders>
              <w:top w:val="single" w:sz="4" w:space="0" w:color="auto"/>
            </w:tcBorders>
            <w:vAlign w:val="bottom"/>
          </w:tcPr>
          <w:p w14:paraId="79239853" w14:textId="77777777" w:rsidR="00173EF1" w:rsidRPr="003A176D" w:rsidRDefault="00173EF1" w:rsidP="001A6319">
            <w:pPr>
              <w:rPr>
                <w:rFonts w:ascii="Arial" w:hAnsi="Arial" w:cs="Arial"/>
                <w:b/>
                <w:bCs/>
                <w:sz w:val="18"/>
                <w:szCs w:val="18"/>
              </w:rPr>
            </w:pPr>
          </w:p>
        </w:tc>
        <w:tc>
          <w:tcPr>
            <w:tcW w:w="1310" w:type="dxa"/>
            <w:tcBorders>
              <w:top w:val="single" w:sz="4" w:space="0" w:color="auto"/>
            </w:tcBorders>
            <w:vAlign w:val="bottom"/>
          </w:tcPr>
          <w:p w14:paraId="6597A581" w14:textId="5999524F" w:rsidR="00173EF1" w:rsidRPr="003A176D" w:rsidRDefault="000E21F8" w:rsidP="001A6319">
            <w:pPr>
              <w:pStyle w:val="CommentText"/>
              <w:tabs>
                <w:tab w:val="decimal" w:pos="960"/>
              </w:tabs>
              <w:rPr>
                <w:rFonts w:ascii="Arial" w:hAnsi="Arial" w:cs="Arial"/>
                <w:b/>
                <w:bCs/>
                <w:sz w:val="18"/>
                <w:szCs w:val="18"/>
              </w:rPr>
            </w:pPr>
            <w:r w:rsidRPr="003A176D">
              <w:rPr>
                <w:rFonts w:ascii="Arial" w:hAnsi="Arial" w:cs="Arial"/>
                <w:b/>
                <w:bCs/>
                <w:sz w:val="18"/>
                <w:szCs w:val="18"/>
              </w:rPr>
              <w:t>299,220</w:t>
            </w:r>
          </w:p>
        </w:tc>
      </w:tr>
      <w:tr w:rsidR="00E2034A" w:rsidRPr="003A176D" w14:paraId="7CEE3E65" w14:textId="77777777" w:rsidTr="00A64D71">
        <w:trPr>
          <w:cantSplit/>
          <w:trHeight w:hRule="exact" w:val="274"/>
        </w:trPr>
        <w:tc>
          <w:tcPr>
            <w:tcW w:w="4536" w:type="dxa"/>
            <w:vAlign w:val="bottom"/>
          </w:tcPr>
          <w:p w14:paraId="75F0C3B2" w14:textId="77777777" w:rsidR="00E2034A" w:rsidRPr="003A176D" w:rsidRDefault="00E2034A" w:rsidP="001A6319">
            <w:pPr>
              <w:ind w:left="-120" w:firstLine="142"/>
              <w:rPr>
                <w:rFonts w:ascii="Arial" w:hAnsi="Arial" w:cs="Arial"/>
                <w:sz w:val="18"/>
                <w:szCs w:val="18"/>
              </w:rPr>
            </w:pPr>
          </w:p>
        </w:tc>
        <w:tc>
          <w:tcPr>
            <w:tcW w:w="284" w:type="dxa"/>
            <w:vAlign w:val="bottom"/>
          </w:tcPr>
          <w:p w14:paraId="3090679F" w14:textId="77777777" w:rsidR="00E2034A" w:rsidRPr="003A176D" w:rsidRDefault="00E2034A" w:rsidP="001A6319">
            <w:pPr>
              <w:rPr>
                <w:rFonts w:ascii="Arial" w:hAnsi="Arial" w:cs="Arial"/>
                <w:sz w:val="18"/>
                <w:szCs w:val="18"/>
              </w:rPr>
            </w:pPr>
          </w:p>
        </w:tc>
        <w:tc>
          <w:tcPr>
            <w:tcW w:w="1134" w:type="dxa"/>
            <w:vAlign w:val="bottom"/>
          </w:tcPr>
          <w:p w14:paraId="2EE3FE3A" w14:textId="77777777" w:rsidR="00E2034A" w:rsidRPr="003A176D" w:rsidRDefault="00E2034A" w:rsidP="001A6319">
            <w:pPr>
              <w:pStyle w:val="CommentText"/>
              <w:tabs>
                <w:tab w:val="decimal" w:pos="960"/>
              </w:tabs>
              <w:rPr>
                <w:rFonts w:ascii="Arial" w:hAnsi="Arial" w:cs="Arial"/>
                <w:sz w:val="18"/>
                <w:szCs w:val="18"/>
              </w:rPr>
            </w:pPr>
          </w:p>
        </w:tc>
        <w:tc>
          <w:tcPr>
            <w:tcW w:w="283" w:type="dxa"/>
            <w:vAlign w:val="bottom"/>
          </w:tcPr>
          <w:p w14:paraId="7B9CCB23" w14:textId="77777777" w:rsidR="00E2034A" w:rsidRPr="003A176D" w:rsidRDefault="00E2034A" w:rsidP="001A6319">
            <w:pPr>
              <w:rPr>
                <w:rFonts w:ascii="Arial" w:hAnsi="Arial" w:cs="Arial"/>
                <w:sz w:val="18"/>
                <w:szCs w:val="18"/>
              </w:rPr>
            </w:pPr>
          </w:p>
        </w:tc>
        <w:tc>
          <w:tcPr>
            <w:tcW w:w="1418" w:type="dxa"/>
            <w:vAlign w:val="bottom"/>
          </w:tcPr>
          <w:p w14:paraId="4929F646" w14:textId="77777777" w:rsidR="00E2034A" w:rsidRPr="003A176D" w:rsidRDefault="00E2034A" w:rsidP="001A6319">
            <w:pPr>
              <w:pStyle w:val="CommentText"/>
              <w:tabs>
                <w:tab w:val="decimal" w:pos="960"/>
              </w:tabs>
              <w:rPr>
                <w:rFonts w:ascii="Arial" w:hAnsi="Arial" w:cs="Arial"/>
                <w:sz w:val="18"/>
                <w:szCs w:val="18"/>
              </w:rPr>
            </w:pPr>
          </w:p>
        </w:tc>
        <w:tc>
          <w:tcPr>
            <w:tcW w:w="283" w:type="dxa"/>
            <w:vAlign w:val="bottom"/>
          </w:tcPr>
          <w:p w14:paraId="69D9BF4F" w14:textId="77777777" w:rsidR="00E2034A" w:rsidRPr="003A176D" w:rsidRDefault="00E2034A" w:rsidP="001A6319">
            <w:pPr>
              <w:rPr>
                <w:rFonts w:ascii="Arial" w:hAnsi="Arial" w:cs="Arial"/>
                <w:sz w:val="18"/>
                <w:szCs w:val="18"/>
              </w:rPr>
            </w:pPr>
          </w:p>
        </w:tc>
        <w:tc>
          <w:tcPr>
            <w:tcW w:w="1310" w:type="dxa"/>
            <w:vAlign w:val="bottom"/>
          </w:tcPr>
          <w:p w14:paraId="618D1868" w14:textId="77777777" w:rsidR="00E2034A" w:rsidRPr="003A176D" w:rsidRDefault="00E2034A" w:rsidP="001A6319">
            <w:pPr>
              <w:pStyle w:val="CommentText"/>
              <w:tabs>
                <w:tab w:val="decimal" w:pos="960"/>
              </w:tabs>
              <w:rPr>
                <w:rFonts w:ascii="Arial" w:hAnsi="Arial" w:cs="Arial"/>
                <w:sz w:val="18"/>
                <w:szCs w:val="18"/>
              </w:rPr>
            </w:pPr>
          </w:p>
        </w:tc>
      </w:tr>
      <w:tr w:rsidR="00E2034A" w:rsidRPr="003A176D" w14:paraId="3C3CDB86" w14:textId="77777777" w:rsidTr="00A64D71">
        <w:trPr>
          <w:cantSplit/>
          <w:trHeight w:hRule="exact" w:val="274"/>
        </w:trPr>
        <w:tc>
          <w:tcPr>
            <w:tcW w:w="4536" w:type="dxa"/>
            <w:vAlign w:val="bottom"/>
          </w:tcPr>
          <w:p w14:paraId="343C1F3E" w14:textId="6B084411" w:rsidR="00E2034A" w:rsidRPr="003A176D" w:rsidRDefault="00E2034A" w:rsidP="001A6319">
            <w:pPr>
              <w:ind w:left="-120" w:firstLine="142"/>
              <w:rPr>
                <w:rFonts w:ascii="Arial" w:hAnsi="Arial" w:cs="Arial"/>
                <w:b/>
                <w:bCs/>
                <w:sz w:val="18"/>
                <w:szCs w:val="18"/>
              </w:rPr>
            </w:pPr>
            <w:r w:rsidRPr="003A176D">
              <w:rPr>
                <w:rFonts w:ascii="Arial" w:hAnsi="Arial" w:cs="Arial"/>
                <w:b/>
                <w:bCs/>
                <w:sz w:val="18"/>
                <w:szCs w:val="18"/>
              </w:rPr>
              <w:t xml:space="preserve">Non-current </w:t>
            </w:r>
          </w:p>
        </w:tc>
        <w:tc>
          <w:tcPr>
            <w:tcW w:w="284" w:type="dxa"/>
            <w:vAlign w:val="bottom"/>
          </w:tcPr>
          <w:p w14:paraId="01875130" w14:textId="77777777" w:rsidR="00E2034A" w:rsidRPr="003A176D" w:rsidRDefault="00E2034A" w:rsidP="001A6319">
            <w:pPr>
              <w:rPr>
                <w:rFonts w:ascii="Arial" w:hAnsi="Arial" w:cs="Arial"/>
                <w:sz w:val="18"/>
                <w:szCs w:val="18"/>
              </w:rPr>
            </w:pPr>
          </w:p>
        </w:tc>
        <w:tc>
          <w:tcPr>
            <w:tcW w:w="1134" w:type="dxa"/>
            <w:vAlign w:val="bottom"/>
          </w:tcPr>
          <w:p w14:paraId="3F4252BD" w14:textId="77777777" w:rsidR="00E2034A" w:rsidRPr="003A176D" w:rsidRDefault="00E2034A" w:rsidP="001A6319">
            <w:pPr>
              <w:pStyle w:val="CommentText"/>
              <w:tabs>
                <w:tab w:val="decimal" w:pos="960"/>
              </w:tabs>
              <w:rPr>
                <w:rFonts w:ascii="Arial" w:hAnsi="Arial" w:cs="Arial"/>
                <w:sz w:val="18"/>
                <w:szCs w:val="18"/>
              </w:rPr>
            </w:pPr>
          </w:p>
        </w:tc>
        <w:tc>
          <w:tcPr>
            <w:tcW w:w="283" w:type="dxa"/>
            <w:vAlign w:val="bottom"/>
          </w:tcPr>
          <w:p w14:paraId="6E6CEE41" w14:textId="77777777" w:rsidR="00E2034A" w:rsidRPr="003A176D" w:rsidRDefault="00E2034A" w:rsidP="001A6319">
            <w:pPr>
              <w:rPr>
                <w:rFonts w:ascii="Arial" w:hAnsi="Arial" w:cs="Arial"/>
                <w:sz w:val="18"/>
                <w:szCs w:val="18"/>
              </w:rPr>
            </w:pPr>
          </w:p>
        </w:tc>
        <w:tc>
          <w:tcPr>
            <w:tcW w:w="1418" w:type="dxa"/>
            <w:vAlign w:val="bottom"/>
          </w:tcPr>
          <w:p w14:paraId="63FD37DC" w14:textId="77777777" w:rsidR="00E2034A" w:rsidRPr="003A176D" w:rsidRDefault="00E2034A" w:rsidP="001A6319">
            <w:pPr>
              <w:pStyle w:val="CommentText"/>
              <w:tabs>
                <w:tab w:val="decimal" w:pos="960"/>
              </w:tabs>
              <w:rPr>
                <w:rFonts w:ascii="Arial" w:hAnsi="Arial" w:cs="Arial"/>
                <w:sz w:val="18"/>
                <w:szCs w:val="18"/>
              </w:rPr>
            </w:pPr>
          </w:p>
        </w:tc>
        <w:tc>
          <w:tcPr>
            <w:tcW w:w="283" w:type="dxa"/>
            <w:vAlign w:val="bottom"/>
          </w:tcPr>
          <w:p w14:paraId="0454E3B1" w14:textId="77777777" w:rsidR="00E2034A" w:rsidRPr="003A176D" w:rsidRDefault="00E2034A" w:rsidP="001A6319">
            <w:pPr>
              <w:rPr>
                <w:rFonts w:ascii="Arial" w:hAnsi="Arial" w:cs="Arial"/>
                <w:sz w:val="18"/>
                <w:szCs w:val="18"/>
              </w:rPr>
            </w:pPr>
          </w:p>
        </w:tc>
        <w:tc>
          <w:tcPr>
            <w:tcW w:w="1310" w:type="dxa"/>
            <w:vAlign w:val="bottom"/>
          </w:tcPr>
          <w:p w14:paraId="47AFBEF0" w14:textId="77777777" w:rsidR="00E2034A" w:rsidRPr="003A176D" w:rsidRDefault="00E2034A" w:rsidP="001A6319">
            <w:pPr>
              <w:pStyle w:val="CommentText"/>
              <w:tabs>
                <w:tab w:val="decimal" w:pos="960"/>
              </w:tabs>
              <w:rPr>
                <w:rFonts w:ascii="Arial" w:hAnsi="Arial" w:cs="Arial"/>
                <w:sz w:val="18"/>
                <w:szCs w:val="18"/>
              </w:rPr>
            </w:pPr>
          </w:p>
        </w:tc>
      </w:tr>
      <w:tr w:rsidR="00E2034A" w:rsidRPr="003A176D" w14:paraId="4FC0E8FD" w14:textId="77777777" w:rsidTr="00A64D71">
        <w:trPr>
          <w:cantSplit/>
          <w:trHeight w:hRule="exact" w:val="274"/>
        </w:trPr>
        <w:tc>
          <w:tcPr>
            <w:tcW w:w="4536" w:type="dxa"/>
            <w:vAlign w:val="bottom"/>
          </w:tcPr>
          <w:p w14:paraId="7DBAC0A6" w14:textId="49C02962" w:rsidR="00E2034A" w:rsidRPr="003A176D" w:rsidRDefault="000E21F8" w:rsidP="001A6319">
            <w:pPr>
              <w:ind w:left="-120" w:firstLine="142"/>
              <w:rPr>
                <w:rFonts w:ascii="Arial" w:hAnsi="Arial" w:cs="Arial"/>
                <w:sz w:val="18"/>
                <w:szCs w:val="18"/>
              </w:rPr>
            </w:pPr>
            <w:r w:rsidRPr="003A176D">
              <w:rPr>
                <w:rFonts w:ascii="Arial" w:hAnsi="Arial" w:cs="Arial"/>
                <w:sz w:val="18"/>
                <w:szCs w:val="18"/>
              </w:rPr>
              <w:t xml:space="preserve">Long term receivable (note </w:t>
            </w:r>
            <w:r w:rsidR="008B32C5" w:rsidRPr="003A176D">
              <w:rPr>
                <w:rFonts w:ascii="Arial" w:hAnsi="Arial" w:cs="Arial"/>
                <w:sz w:val="18"/>
                <w:szCs w:val="18"/>
              </w:rPr>
              <w:t>4</w:t>
            </w:r>
            <w:r w:rsidRPr="003A176D">
              <w:rPr>
                <w:rFonts w:ascii="Arial" w:hAnsi="Arial" w:cs="Arial"/>
                <w:sz w:val="18"/>
                <w:szCs w:val="18"/>
              </w:rPr>
              <w:t>)</w:t>
            </w:r>
          </w:p>
        </w:tc>
        <w:tc>
          <w:tcPr>
            <w:tcW w:w="284" w:type="dxa"/>
            <w:vAlign w:val="bottom"/>
          </w:tcPr>
          <w:p w14:paraId="007DA934" w14:textId="77777777" w:rsidR="00E2034A" w:rsidRPr="003A176D" w:rsidRDefault="00E2034A" w:rsidP="001A6319">
            <w:pPr>
              <w:rPr>
                <w:rFonts w:ascii="Arial" w:hAnsi="Arial" w:cs="Arial"/>
                <w:sz w:val="18"/>
                <w:szCs w:val="18"/>
              </w:rPr>
            </w:pPr>
          </w:p>
        </w:tc>
        <w:tc>
          <w:tcPr>
            <w:tcW w:w="1134" w:type="dxa"/>
            <w:vAlign w:val="bottom"/>
          </w:tcPr>
          <w:p w14:paraId="6FD0DDF8" w14:textId="77777777" w:rsidR="00E2034A" w:rsidRPr="003A176D" w:rsidRDefault="00E2034A" w:rsidP="001A6319">
            <w:pPr>
              <w:pStyle w:val="CommentText"/>
              <w:tabs>
                <w:tab w:val="decimal" w:pos="960"/>
              </w:tabs>
              <w:rPr>
                <w:rFonts w:ascii="Arial" w:hAnsi="Arial" w:cs="Arial"/>
                <w:sz w:val="18"/>
                <w:szCs w:val="18"/>
              </w:rPr>
            </w:pPr>
          </w:p>
        </w:tc>
        <w:tc>
          <w:tcPr>
            <w:tcW w:w="283" w:type="dxa"/>
            <w:vAlign w:val="bottom"/>
          </w:tcPr>
          <w:p w14:paraId="3AE06822" w14:textId="1584AD70" w:rsidR="00E2034A" w:rsidRPr="003A176D" w:rsidRDefault="00E2034A" w:rsidP="001A6319">
            <w:pPr>
              <w:rPr>
                <w:rFonts w:ascii="Arial" w:hAnsi="Arial" w:cs="Arial"/>
                <w:sz w:val="18"/>
                <w:szCs w:val="18"/>
              </w:rPr>
            </w:pPr>
          </w:p>
        </w:tc>
        <w:tc>
          <w:tcPr>
            <w:tcW w:w="1418" w:type="dxa"/>
            <w:vAlign w:val="bottom"/>
          </w:tcPr>
          <w:p w14:paraId="4E07BB17" w14:textId="2DE96070" w:rsidR="00E2034A" w:rsidRPr="003A176D" w:rsidRDefault="005F5F27" w:rsidP="001A6319">
            <w:pPr>
              <w:pStyle w:val="CommentText"/>
              <w:tabs>
                <w:tab w:val="decimal" w:pos="960"/>
              </w:tabs>
              <w:rPr>
                <w:rFonts w:ascii="Arial" w:hAnsi="Arial" w:cs="Arial"/>
                <w:sz w:val="18"/>
                <w:szCs w:val="18"/>
              </w:rPr>
            </w:pPr>
            <w:r w:rsidRPr="003A176D">
              <w:rPr>
                <w:rFonts w:ascii="Arial" w:hAnsi="Arial" w:cs="Arial"/>
                <w:sz w:val="18"/>
                <w:szCs w:val="18"/>
              </w:rPr>
              <w:t>-</w:t>
            </w:r>
          </w:p>
        </w:tc>
        <w:tc>
          <w:tcPr>
            <w:tcW w:w="283" w:type="dxa"/>
            <w:vAlign w:val="bottom"/>
          </w:tcPr>
          <w:p w14:paraId="19A139EC" w14:textId="77777777" w:rsidR="00E2034A" w:rsidRPr="003A176D" w:rsidRDefault="00E2034A" w:rsidP="001A6319">
            <w:pPr>
              <w:rPr>
                <w:rFonts w:ascii="Arial" w:hAnsi="Arial" w:cs="Arial"/>
                <w:sz w:val="18"/>
                <w:szCs w:val="18"/>
              </w:rPr>
            </w:pPr>
          </w:p>
        </w:tc>
        <w:tc>
          <w:tcPr>
            <w:tcW w:w="1310" w:type="dxa"/>
            <w:vAlign w:val="bottom"/>
          </w:tcPr>
          <w:p w14:paraId="5937E109" w14:textId="24EA60C9" w:rsidR="00E2034A"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161,559</w:t>
            </w:r>
          </w:p>
        </w:tc>
      </w:tr>
      <w:tr w:rsidR="00E2034A" w:rsidRPr="003A176D" w14:paraId="5196B1EE" w14:textId="77777777" w:rsidTr="00A64D71">
        <w:trPr>
          <w:cantSplit/>
          <w:trHeight w:hRule="exact" w:val="274"/>
        </w:trPr>
        <w:tc>
          <w:tcPr>
            <w:tcW w:w="4536" w:type="dxa"/>
            <w:vAlign w:val="bottom"/>
          </w:tcPr>
          <w:p w14:paraId="47F1C420" w14:textId="736E29E2" w:rsidR="00E2034A" w:rsidRPr="003A176D" w:rsidRDefault="00E2034A" w:rsidP="001A6319">
            <w:pPr>
              <w:ind w:left="-120" w:firstLine="142"/>
              <w:rPr>
                <w:rFonts w:ascii="Arial" w:hAnsi="Arial" w:cs="Arial"/>
                <w:sz w:val="18"/>
                <w:szCs w:val="18"/>
              </w:rPr>
            </w:pPr>
            <w:r w:rsidRPr="003A176D">
              <w:rPr>
                <w:rFonts w:ascii="Arial" w:hAnsi="Arial" w:cs="Arial"/>
                <w:sz w:val="18"/>
                <w:szCs w:val="18"/>
              </w:rPr>
              <w:t>Equipment</w:t>
            </w:r>
          </w:p>
        </w:tc>
        <w:tc>
          <w:tcPr>
            <w:tcW w:w="284" w:type="dxa"/>
            <w:vAlign w:val="bottom"/>
          </w:tcPr>
          <w:p w14:paraId="20FDD80B" w14:textId="77777777" w:rsidR="00E2034A" w:rsidRPr="003A176D" w:rsidRDefault="00E2034A" w:rsidP="001A6319">
            <w:pPr>
              <w:rPr>
                <w:rFonts w:ascii="Arial" w:hAnsi="Arial" w:cs="Arial"/>
                <w:sz w:val="18"/>
                <w:szCs w:val="18"/>
              </w:rPr>
            </w:pPr>
          </w:p>
        </w:tc>
        <w:tc>
          <w:tcPr>
            <w:tcW w:w="1134" w:type="dxa"/>
            <w:vAlign w:val="bottom"/>
          </w:tcPr>
          <w:p w14:paraId="4555DE5C" w14:textId="77777777" w:rsidR="00E2034A" w:rsidRPr="003A176D" w:rsidRDefault="00E2034A" w:rsidP="001A6319">
            <w:pPr>
              <w:pStyle w:val="CommentText"/>
              <w:tabs>
                <w:tab w:val="decimal" w:pos="960"/>
              </w:tabs>
              <w:rPr>
                <w:rFonts w:ascii="Arial" w:hAnsi="Arial" w:cs="Arial"/>
                <w:sz w:val="18"/>
                <w:szCs w:val="18"/>
              </w:rPr>
            </w:pPr>
          </w:p>
        </w:tc>
        <w:tc>
          <w:tcPr>
            <w:tcW w:w="283" w:type="dxa"/>
            <w:vAlign w:val="bottom"/>
          </w:tcPr>
          <w:p w14:paraId="0A404A63" w14:textId="77777777" w:rsidR="00E2034A" w:rsidRPr="003A176D" w:rsidRDefault="00E2034A" w:rsidP="001A6319">
            <w:pPr>
              <w:rPr>
                <w:rFonts w:ascii="Arial" w:hAnsi="Arial" w:cs="Arial"/>
                <w:sz w:val="18"/>
                <w:szCs w:val="18"/>
              </w:rPr>
            </w:pPr>
          </w:p>
        </w:tc>
        <w:tc>
          <w:tcPr>
            <w:tcW w:w="1418" w:type="dxa"/>
            <w:vAlign w:val="bottom"/>
          </w:tcPr>
          <w:p w14:paraId="5F727F12" w14:textId="4A014273" w:rsidR="00E2034A" w:rsidRPr="003A176D" w:rsidRDefault="003C1E27" w:rsidP="001A6319">
            <w:pPr>
              <w:pStyle w:val="CommentText"/>
              <w:tabs>
                <w:tab w:val="decimal" w:pos="960"/>
              </w:tabs>
              <w:rPr>
                <w:rFonts w:ascii="Arial" w:hAnsi="Arial" w:cs="Arial"/>
                <w:sz w:val="18"/>
                <w:szCs w:val="18"/>
              </w:rPr>
            </w:pPr>
            <w:r w:rsidRPr="003A176D">
              <w:rPr>
                <w:rFonts w:ascii="Arial" w:hAnsi="Arial" w:cs="Arial"/>
                <w:sz w:val="18"/>
                <w:szCs w:val="18"/>
              </w:rPr>
              <w:t>2,869</w:t>
            </w:r>
          </w:p>
        </w:tc>
        <w:tc>
          <w:tcPr>
            <w:tcW w:w="283" w:type="dxa"/>
            <w:vAlign w:val="bottom"/>
          </w:tcPr>
          <w:p w14:paraId="4681BDD7" w14:textId="77777777" w:rsidR="00E2034A" w:rsidRPr="003A176D" w:rsidRDefault="00E2034A" w:rsidP="001A6319">
            <w:pPr>
              <w:rPr>
                <w:rFonts w:ascii="Arial" w:hAnsi="Arial" w:cs="Arial"/>
                <w:sz w:val="18"/>
                <w:szCs w:val="18"/>
              </w:rPr>
            </w:pPr>
          </w:p>
        </w:tc>
        <w:tc>
          <w:tcPr>
            <w:tcW w:w="1310" w:type="dxa"/>
            <w:vAlign w:val="bottom"/>
          </w:tcPr>
          <w:p w14:paraId="7A5CB4F2" w14:textId="3D793C7D" w:rsidR="00E2034A"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3,375</w:t>
            </w:r>
          </w:p>
        </w:tc>
      </w:tr>
      <w:tr w:rsidR="00116CDA" w:rsidRPr="003A176D" w14:paraId="2E2F5532" w14:textId="77777777" w:rsidTr="003D05FB">
        <w:trPr>
          <w:cantSplit/>
          <w:trHeight w:hRule="exact" w:val="274"/>
        </w:trPr>
        <w:tc>
          <w:tcPr>
            <w:tcW w:w="4536" w:type="dxa"/>
            <w:vAlign w:val="bottom"/>
          </w:tcPr>
          <w:p w14:paraId="56F5113D" w14:textId="20CA4AB5" w:rsidR="00116CDA" w:rsidRPr="003A176D" w:rsidRDefault="00116CDA" w:rsidP="001A6319">
            <w:pPr>
              <w:ind w:left="-120" w:firstLine="142"/>
              <w:rPr>
                <w:rFonts w:ascii="Arial" w:hAnsi="Arial" w:cs="Arial"/>
                <w:sz w:val="18"/>
                <w:szCs w:val="18"/>
              </w:rPr>
            </w:pPr>
            <w:r w:rsidRPr="003A176D">
              <w:rPr>
                <w:rFonts w:ascii="Arial" w:hAnsi="Arial" w:cs="Arial"/>
                <w:sz w:val="18"/>
                <w:szCs w:val="18"/>
              </w:rPr>
              <w:t xml:space="preserve">Goodwill (note </w:t>
            </w:r>
            <w:r w:rsidR="008B32C5" w:rsidRPr="003A176D">
              <w:rPr>
                <w:rFonts w:ascii="Arial" w:hAnsi="Arial" w:cs="Arial"/>
                <w:sz w:val="18"/>
                <w:szCs w:val="18"/>
              </w:rPr>
              <w:t>4</w:t>
            </w:r>
            <w:r w:rsidRPr="003A176D">
              <w:rPr>
                <w:rFonts w:ascii="Arial" w:hAnsi="Arial" w:cs="Arial"/>
                <w:sz w:val="18"/>
                <w:szCs w:val="18"/>
              </w:rPr>
              <w:t>)</w:t>
            </w:r>
          </w:p>
        </w:tc>
        <w:tc>
          <w:tcPr>
            <w:tcW w:w="284" w:type="dxa"/>
            <w:vAlign w:val="bottom"/>
          </w:tcPr>
          <w:p w14:paraId="12A3472D" w14:textId="77777777" w:rsidR="00116CDA" w:rsidRPr="003A176D" w:rsidRDefault="00116CDA" w:rsidP="001A6319">
            <w:pPr>
              <w:rPr>
                <w:rFonts w:ascii="Arial" w:hAnsi="Arial" w:cs="Arial"/>
                <w:sz w:val="18"/>
                <w:szCs w:val="18"/>
              </w:rPr>
            </w:pPr>
          </w:p>
        </w:tc>
        <w:tc>
          <w:tcPr>
            <w:tcW w:w="1134" w:type="dxa"/>
            <w:vAlign w:val="bottom"/>
          </w:tcPr>
          <w:p w14:paraId="1CEE400C" w14:textId="77777777" w:rsidR="00116CDA" w:rsidRPr="003A176D" w:rsidRDefault="00116CDA" w:rsidP="001A6319">
            <w:pPr>
              <w:pStyle w:val="CommentText"/>
              <w:tabs>
                <w:tab w:val="decimal" w:pos="960"/>
              </w:tabs>
              <w:rPr>
                <w:rFonts w:ascii="Arial" w:hAnsi="Arial" w:cs="Arial"/>
                <w:sz w:val="18"/>
                <w:szCs w:val="18"/>
              </w:rPr>
            </w:pPr>
          </w:p>
        </w:tc>
        <w:tc>
          <w:tcPr>
            <w:tcW w:w="283" w:type="dxa"/>
            <w:vAlign w:val="bottom"/>
          </w:tcPr>
          <w:p w14:paraId="7B1BD6C3" w14:textId="77777777" w:rsidR="00116CDA" w:rsidRPr="003A176D" w:rsidRDefault="00116CDA" w:rsidP="001A6319">
            <w:pPr>
              <w:rPr>
                <w:rFonts w:ascii="Arial" w:hAnsi="Arial" w:cs="Arial"/>
                <w:sz w:val="18"/>
                <w:szCs w:val="18"/>
              </w:rPr>
            </w:pPr>
          </w:p>
        </w:tc>
        <w:tc>
          <w:tcPr>
            <w:tcW w:w="1418" w:type="dxa"/>
            <w:vAlign w:val="bottom"/>
          </w:tcPr>
          <w:p w14:paraId="760ADED6" w14:textId="75F728A0" w:rsidR="00116CDA" w:rsidRPr="003A176D" w:rsidRDefault="003C1E27" w:rsidP="001A6319">
            <w:pPr>
              <w:pStyle w:val="CommentText"/>
              <w:tabs>
                <w:tab w:val="decimal" w:pos="960"/>
              </w:tabs>
              <w:rPr>
                <w:rFonts w:ascii="Arial" w:hAnsi="Arial" w:cs="Arial"/>
                <w:sz w:val="18"/>
                <w:szCs w:val="18"/>
              </w:rPr>
            </w:pPr>
            <w:r w:rsidRPr="003A176D">
              <w:rPr>
                <w:rFonts w:ascii="Arial" w:hAnsi="Arial" w:cs="Arial"/>
                <w:sz w:val="18"/>
                <w:szCs w:val="18"/>
              </w:rPr>
              <w:t>1,053,430</w:t>
            </w:r>
          </w:p>
        </w:tc>
        <w:tc>
          <w:tcPr>
            <w:tcW w:w="283" w:type="dxa"/>
            <w:vAlign w:val="bottom"/>
          </w:tcPr>
          <w:p w14:paraId="1A13BC71" w14:textId="77777777" w:rsidR="00116CDA" w:rsidRPr="003A176D" w:rsidRDefault="00116CDA" w:rsidP="001A6319">
            <w:pPr>
              <w:rPr>
                <w:rFonts w:ascii="Arial" w:hAnsi="Arial" w:cs="Arial"/>
                <w:sz w:val="18"/>
                <w:szCs w:val="18"/>
              </w:rPr>
            </w:pPr>
          </w:p>
        </w:tc>
        <w:tc>
          <w:tcPr>
            <w:tcW w:w="1310" w:type="dxa"/>
            <w:vAlign w:val="bottom"/>
          </w:tcPr>
          <w:p w14:paraId="023108E8" w14:textId="241A10E1" w:rsidR="00116CDA" w:rsidRPr="003A176D" w:rsidRDefault="00116CDA" w:rsidP="001A6319">
            <w:pPr>
              <w:pStyle w:val="CommentText"/>
              <w:tabs>
                <w:tab w:val="decimal" w:pos="960"/>
              </w:tabs>
              <w:rPr>
                <w:rFonts w:ascii="Arial" w:hAnsi="Arial" w:cs="Arial"/>
                <w:sz w:val="18"/>
                <w:szCs w:val="18"/>
              </w:rPr>
            </w:pPr>
            <w:r w:rsidRPr="003A176D">
              <w:rPr>
                <w:rFonts w:ascii="Arial" w:hAnsi="Arial" w:cs="Arial"/>
                <w:sz w:val="18"/>
                <w:szCs w:val="18"/>
              </w:rPr>
              <w:t>-</w:t>
            </w:r>
          </w:p>
        </w:tc>
      </w:tr>
      <w:tr w:rsidR="00173EF1" w:rsidRPr="003A176D" w14:paraId="388CA56F" w14:textId="77777777" w:rsidTr="003D05FB">
        <w:trPr>
          <w:cantSplit/>
          <w:trHeight w:hRule="exact" w:val="274"/>
        </w:trPr>
        <w:tc>
          <w:tcPr>
            <w:tcW w:w="4536" w:type="dxa"/>
            <w:vAlign w:val="bottom"/>
          </w:tcPr>
          <w:p w14:paraId="7AF3FC11" w14:textId="30D0D909" w:rsidR="00173EF1" w:rsidRPr="003A176D" w:rsidRDefault="00E2034A" w:rsidP="001A6319">
            <w:pPr>
              <w:ind w:left="-120" w:firstLine="142"/>
              <w:rPr>
                <w:rFonts w:ascii="Arial" w:hAnsi="Arial" w:cs="Arial"/>
                <w:sz w:val="18"/>
                <w:szCs w:val="18"/>
              </w:rPr>
            </w:pPr>
            <w:r w:rsidRPr="003A176D">
              <w:rPr>
                <w:rFonts w:ascii="Arial" w:hAnsi="Arial" w:cs="Arial"/>
                <w:sz w:val="18"/>
                <w:szCs w:val="18"/>
              </w:rPr>
              <w:t xml:space="preserve">Intangible asset (note </w:t>
            </w:r>
            <w:r w:rsidR="008B32C5" w:rsidRPr="003A176D">
              <w:rPr>
                <w:rFonts w:ascii="Arial" w:hAnsi="Arial" w:cs="Arial"/>
                <w:sz w:val="18"/>
                <w:szCs w:val="18"/>
              </w:rPr>
              <w:t>3</w:t>
            </w:r>
            <w:r w:rsidRPr="003A176D">
              <w:rPr>
                <w:rFonts w:ascii="Arial" w:hAnsi="Arial" w:cs="Arial"/>
                <w:sz w:val="18"/>
                <w:szCs w:val="18"/>
              </w:rPr>
              <w:t>)</w:t>
            </w:r>
          </w:p>
        </w:tc>
        <w:tc>
          <w:tcPr>
            <w:tcW w:w="284" w:type="dxa"/>
            <w:vAlign w:val="bottom"/>
          </w:tcPr>
          <w:p w14:paraId="7D1A18F9" w14:textId="77777777" w:rsidR="00173EF1" w:rsidRPr="003A176D" w:rsidRDefault="00173EF1" w:rsidP="001A6319">
            <w:pPr>
              <w:rPr>
                <w:rFonts w:ascii="Arial" w:hAnsi="Arial" w:cs="Arial"/>
                <w:sz w:val="18"/>
                <w:szCs w:val="18"/>
              </w:rPr>
            </w:pPr>
          </w:p>
        </w:tc>
        <w:tc>
          <w:tcPr>
            <w:tcW w:w="1134" w:type="dxa"/>
            <w:vAlign w:val="bottom"/>
          </w:tcPr>
          <w:p w14:paraId="6D3D11F3"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5AE67D1B" w14:textId="77777777" w:rsidR="00173EF1" w:rsidRPr="003A176D" w:rsidRDefault="00173EF1" w:rsidP="001A6319">
            <w:pPr>
              <w:rPr>
                <w:rFonts w:ascii="Arial" w:hAnsi="Arial" w:cs="Arial"/>
                <w:sz w:val="18"/>
                <w:szCs w:val="18"/>
              </w:rPr>
            </w:pPr>
          </w:p>
        </w:tc>
        <w:tc>
          <w:tcPr>
            <w:tcW w:w="1418" w:type="dxa"/>
            <w:vAlign w:val="bottom"/>
          </w:tcPr>
          <w:p w14:paraId="575A48F4" w14:textId="7D690EBF" w:rsidR="00173EF1" w:rsidRPr="003A176D" w:rsidRDefault="008B32C5" w:rsidP="001A6319">
            <w:pPr>
              <w:pStyle w:val="CommentText"/>
              <w:tabs>
                <w:tab w:val="decimal" w:pos="960"/>
              </w:tabs>
              <w:rPr>
                <w:rFonts w:ascii="Arial" w:hAnsi="Arial" w:cs="Arial"/>
                <w:sz w:val="18"/>
                <w:szCs w:val="18"/>
              </w:rPr>
            </w:pPr>
            <w:r w:rsidRPr="003A176D">
              <w:rPr>
                <w:rFonts w:ascii="Arial" w:hAnsi="Arial" w:cs="Arial"/>
                <w:sz w:val="18"/>
                <w:szCs w:val="18"/>
              </w:rPr>
              <w:t>1,</w:t>
            </w:r>
            <w:r w:rsidR="00ED6513" w:rsidRPr="003A176D">
              <w:rPr>
                <w:rFonts w:ascii="Arial" w:hAnsi="Arial" w:cs="Arial"/>
                <w:sz w:val="18"/>
                <w:szCs w:val="18"/>
              </w:rPr>
              <w:t>724,360</w:t>
            </w:r>
          </w:p>
        </w:tc>
        <w:tc>
          <w:tcPr>
            <w:tcW w:w="283" w:type="dxa"/>
            <w:vAlign w:val="bottom"/>
          </w:tcPr>
          <w:p w14:paraId="3DAD91CE" w14:textId="77777777" w:rsidR="00173EF1" w:rsidRPr="003A176D" w:rsidRDefault="00173EF1" w:rsidP="001A6319">
            <w:pPr>
              <w:rPr>
                <w:rFonts w:ascii="Arial" w:hAnsi="Arial" w:cs="Arial"/>
                <w:sz w:val="18"/>
                <w:szCs w:val="18"/>
              </w:rPr>
            </w:pPr>
          </w:p>
        </w:tc>
        <w:tc>
          <w:tcPr>
            <w:tcW w:w="1310" w:type="dxa"/>
            <w:vAlign w:val="bottom"/>
          </w:tcPr>
          <w:p w14:paraId="46BF6B85" w14:textId="2762A8B7" w:rsidR="00173EF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922,888</w:t>
            </w:r>
          </w:p>
        </w:tc>
      </w:tr>
      <w:tr w:rsidR="003D05FB" w:rsidRPr="003A176D" w14:paraId="233E0533" w14:textId="77777777" w:rsidTr="003D05FB">
        <w:trPr>
          <w:cantSplit/>
          <w:trHeight w:hRule="exact" w:val="274"/>
        </w:trPr>
        <w:tc>
          <w:tcPr>
            <w:tcW w:w="4536" w:type="dxa"/>
            <w:tcBorders>
              <w:bottom w:val="single" w:sz="4" w:space="0" w:color="auto"/>
            </w:tcBorders>
            <w:vAlign w:val="bottom"/>
          </w:tcPr>
          <w:p w14:paraId="016D77F6" w14:textId="4A6B92AA" w:rsidR="003D05FB" w:rsidRPr="003A176D" w:rsidRDefault="003D05FB" w:rsidP="001A6319">
            <w:pPr>
              <w:ind w:left="-120" w:firstLine="142"/>
              <w:rPr>
                <w:rFonts w:ascii="Arial" w:hAnsi="Arial" w:cs="Arial"/>
                <w:sz w:val="18"/>
                <w:szCs w:val="18"/>
              </w:rPr>
            </w:pPr>
            <w:r w:rsidRPr="003A176D">
              <w:rPr>
                <w:rFonts w:ascii="Arial" w:hAnsi="Arial" w:cs="Arial"/>
                <w:sz w:val="18"/>
                <w:szCs w:val="18"/>
              </w:rPr>
              <w:t xml:space="preserve">Long Term Investments (note </w:t>
            </w:r>
            <w:r w:rsidR="001909DF" w:rsidRPr="003A176D">
              <w:rPr>
                <w:rFonts w:ascii="Arial" w:hAnsi="Arial" w:cs="Arial"/>
                <w:sz w:val="18"/>
                <w:szCs w:val="18"/>
              </w:rPr>
              <w:t>10</w:t>
            </w:r>
            <w:r w:rsidRPr="003A176D">
              <w:rPr>
                <w:rFonts w:ascii="Arial" w:hAnsi="Arial" w:cs="Arial"/>
                <w:sz w:val="18"/>
                <w:szCs w:val="18"/>
              </w:rPr>
              <w:t>)</w:t>
            </w:r>
          </w:p>
        </w:tc>
        <w:tc>
          <w:tcPr>
            <w:tcW w:w="284" w:type="dxa"/>
            <w:tcBorders>
              <w:bottom w:val="single" w:sz="4" w:space="0" w:color="auto"/>
            </w:tcBorders>
            <w:vAlign w:val="bottom"/>
          </w:tcPr>
          <w:p w14:paraId="5F9FBB0F" w14:textId="77777777" w:rsidR="003D05FB" w:rsidRPr="003A176D" w:rsidRDefault="003D05FB" w:rsidP="001A6319">
            <w:pPr>
              <w:rPr>
                <w:rFonts w:ascii="Arial" w:hAnsi="Arial" w:cs="Arial"/>
                <w:sz w:val="18"/>
                <w:szCs w:val="18"/>
              </w:rPr>
            </w:pPr>
          </w:p>
        </w:tc>
        <w:tc>
          <w:tcPr>
            <w:tcW w:w="1134" w:type="dxa"/>
            <w:tcBorders>
              <w:bottom w:val="single" w:sz="4" w:space="0" w:color="auto"/>
            </w:tcBorders>
            <w:vAlign w:val="bottom"/>
          </w:tcPr>
          <w:p w14:paraId="0DD80C1D" w14:textId="77777777" w:rsidR="003D05FB" w:rsidRPr="003A176D" w:rsidRDefault="003D05FB" w:rsidP="001A6319">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3455756D" w14:textId="77777777" w:rsidR="003D05FB" w:rsidRPr="003A176D" w:rsidRDefault="003D05FB" w:rsidP="001A6319">
            <w:pPr>
              <w:rPr>
                <w:rFonts w:ascii="Arial" w:hAnsi="Arial" w:cs="Arial"/>
                <w:sz w:val="18"/>
                <w:szCs w:val="18"/>
              </w:rPr>
            </w:pPr>
          </w:p>
        </w:tc>
        <w:tc>
          <w:tcPr>
            <w:tcW w:w="1418" w:type="dxa"/>
            <w:tcBorders>
              <w:bottom w:val="single" w:sz="4" w:space="0" w:color="auto"/>
            </w:tcBorders>
            <w:vAlign w:val="bottom"/>
          </w:tcPr>
          <w:p w14:paraId="4D86959D" w14:textId="6BEBA9BA" w:rsidR="003D05FB" w:rsidRPr="003A176D" w:rsidRDefault="003D05FB" w:rsidP="001A6319">
            <w:pPr>
              <w:pStyle w:val="CommentText"/>
              <w:tabs>
                <w:tab w:val="decimal" w:pos="960"/>
              </w:tabs>
              <w:rPr>
                <w:rFonts w:ascii="Arial" w:hAnsi="Arial" w:cs="Arial"/>
                <w:sz w:val="18"/>
                <w:szCs w:val="18"/>
              </w:rPr>
            </w:pPr>
            <w:r w:rsidRPr="003A176D">
              <w:rPr>
                <w:rFonts w:ascii="Arial" w:hAnsi="Arial" w:cs="Arial"/>
                <w:sz w:val="18"/>
                <w:szCs w:val="18"/>
              </w:rPr>
              <w:t>90,923</w:t>
            </w:r>
          </w:p>
        </w:tc>
        <w:tc>
          <w:tcPr>
            <w:tcW w:w="283" w:type="dxa"/>
            <w:tcBorders>
              <w:bottom w:val="single" w:sz="4" w:space="0" w:color="auto"/>
            </w:tcBorders>
            <w:vAlign w:val="bottom"/>
          </w:tcPr>
          <w:p w14:paraId="3F2678A9" w14:textId="77777777" w:rsidR="003D05FB" w:rsidRPr="003A176D" w:rsidRDefault="003D05FB" w:rsidP="001A6319">
            <w:pPr>
              <w:rPr>
                <w:rFonts w:ascii="Arial" w:hAnsi="Arial" w:cs="Arial"/>
                <w:sz w:val="18"/>
                <w:szCs w:val="18"/>
              </w:rPr>
            </w:pPr>
          </w:p>
        </w:tc>
        <w:tc>
          <w:tcPr>
            <w:tcW w:w="1310" w:type="dxa"/>
            <w:tcBorders>
              <w:bottom w:val="single" w:sz="4" w:space="0" w:color="auto"/>
            </w:tcBorders>
            <w:vAlign w:val="bottom"/>
          </w:tcPr>
          <w:p w14:paraId="41EFAFF4" w14:textId="5CC3A027" w:rsidR="003D05FB" w:rsidRPr="003A176D" w:rsidRDefault="003D05FB" w:rsidP="001A6319">
            <w:pPr>
              <w:pStyle w:val="CommentText"/>
              <w:tabs>
                <w:tab w:val="decimal" w:pos="960"/>
              </w:tabs>
              <w:rPr>
                <w:rFonts w:ascii="Arial" w:hAnsi="Arial" w:cs="Arial"/>
                <w:sz w:val="18"/>
                <w:szCs w:val="18"/>
              </w:rPr>
            </w:pPr>
            <w:r w:rsidRPr="003A176D">
              <w:rPr>
                <w:rFonts w:ascii="Arial" w:hAnsi="Arial" w:cs="Arial"/>
                <w:sz w:val="18"/>
                <w:szCs w:val="18"/>
              </w:rPr>
              <w:t>-</w:t>
            </w:r>
          </w:p>
        </w:tc>
      </w:tr>
      <w:tr w:rsidR="00173EF1" w:rsidRPr="003A176D" w14:paraId="5E071CD7" w14:textId="77777777" w:rsidTr="00A64D71">
        <w:trPr>
          <w:cantSplit/>
          <w:trHeight w:hRule="exact" w:val="274"/>
        </w:trPr>
        <w:tc>
          <w:tcPr>
            <w:tcW w:w="4536" w:type="dxa"/>
            <w:tcBorders>
              <w:bottom w:val="single" w:sz="18" w:space="0" w:color="auto"/>
            </w:tcBorders>
            <w:vAlign w:val="bottom"/>
          </w:tcPr>
          <w:p w14:paraId="15A7135A" w14:textId="4D043669" w:rsidR="00173EF1" w:rsidRPr="003A176D" w:rsidRDefault="00173EF1" w:rsidP="001A6319">
            <w:pPr>
              <w:rPr>
                <w:rFonts w:ascii="Arial" w:hAnsi="Arial" w:cs="Arial"/>
                <w:b/>
                <w:sz w:val="18"/>
                <w:szCs w:val="18"/>
              </w:rPr>
            </w:pPr>
            <w:r w:rsidRPr="003A176D">
              <w:rPr>
                <w:rFonts w:ascii="Arial" w:hAnsi="Arial" w:cs="Arial"/>
                <w:b/>
                <w:sz w:val="18"/>
                <w:szCs w:val="18"/>
              </w:rPr>
              <w:t>Total Assets</w:t>
            </w:r>
          </w:p>
        </w:tc>
        <w:tc>
          <w:tcPr>
            <w:tcW w:w="284" w:type="dxa"/>
            <w:tcBorders>
              <w:bottom w:val="single" w:sz="18" w:space="0" w:color="auto"/>
            </w:tcBorders>
            <w:vAlign w:val="bottom"/>
          </w:tcPr>
          <w:p w14:paraId="459E1F90" w14:textId="77777777" w:rsidR="00173EF1" w:rsidRPr="003A176D" w:rsidRDefault="00173EF1" w:rsidP="001A6319">
            <w:pPr>
              <w:rPr>
                <w:rFonts w:ascii="Arial" w:hAnsi="Arial" w:cs="Arial"/>
                <w:b/>
                <w:sz w:val="18"/>
                <w:szCs w:val="18"/>
              </w:rPr>
            </w:pPr>
          </w:p>
        </w:tc>
        <w:tc>
          <w:tcPr>
            <w:tcW w:w="1134" w:type="dxa"/>
            <w:tcBorders>
              <w:bottom w:val="single" w:sz="18" w:space="0" w:color="auto"/>
            </w:tcBorders>
            <w:vAlign w:val="bottom"/>
          </w:tcPr>
          <w:p w14:paraId="5E2DB62C" w14:textId="77777777" w:rsidR="00173EF1" w:rsidRPr="003A176D" w:rsidRDefault="00173EF1" w:rsidP="001A6319">
            <w:pPr>
              <w:pStyle w:val="CommentText"/>
              <w:tabs>
                <w:tab w:val="decimal" w:pos="960"/>
              </w:tabs>
              <w:rPr>
                <w:rFonts w:ascii="Arial" w:hAnsi="Arial" w:cs="Arial"/>
                <w:b/>
                <w:sz w:val="18"/>
                <w:szCs w:val="18"/>
              </w:rPr>
            </w:pPr>
          </w:p>
        </w:tc>
        <w:tc>
          <w:tcPr>
            <w:tcW w:w="283" w:type="dxa"/>
            <w:tcBorders>
              <w:bottom w:val="single" w:sz="18" w:space="0" w:color="auto"/>
            </w:tcBorders>
            <w:vAlign w:val="bottom"/>
          </w:tcPr>
          <w:p w14:paraId="1AB28E2D" w14:textId="77777777" w:rsidR="00173EF1" w:rsidRPr="003A176D" w:rsidRDefault="00173EF1" w:rsidP="001A6319">
            <w:pPr>
              <w:rPr>
                <w:rFonts w:ascii="Arial" w:hAnsi="Arial" w:cs="Arial"/>
                <w:b/>
                <w:sz w:val="18"/>
                <w:szCs w:val="18"/>
              </w:rPr>
            </w:pPr>
            <w:r w:rsidRPr="003A176D">
              <w:rPr>
                <w:rFonts w:ascii="Arial" w:hAnsi="Arial" w:cs="Arial"/>
                <w:b/>
                <w:sz w:val="18"/>
                <w:szCs w:val="18"/>
              </w:rPr>
              <w:t>$</w:t>
            </w:r>
          </w:p>
        </w:tc>
        <w:tc>
          <w:tcPr>
            <w:tcW w:w="1418" w:type="dxa"/>
            <w:tcBorders>
              <w:bottom w:val="single" w:sz="18" w:space="0" w:color="auto"/>
            </w:tcBorders>
            <w:vAlign w:val="bottom"/>
          </w:tcPr>
          <w:p w14:paraId="4F05262B" w14:textId="39155640" w:rsidR="00173EF1" w:rsidRPr="003A176D" w:rsidRDefault="003D05FB" w:rsidP="001A6319">
            <w:pPr>
              <w:pStyle w:val="CommentText"/>
              <w:tabs>
                <w:tab w:val="decimal" w:pos="960"/>
              </w:tabs>
              <w:rPr>
                <w:rFonts w:ascii="Arial" w:hAnsi="Arial" w:cs="Arial"/>
                <w:b/>
                <w:sz w:val="18"/>
                <w:szCs w:val="18"/>
              </w:rPr>
            </w:pPr>
            <w:r w:rsidRPr="003A176D">
              <w:rPr>
                <w:rFonts w:ascii="Arial" w:hAnsi="Arial" w:cs="Arial"/>
                <w:b/>
                <w:sz w:val="18"/>
                <w:szCs w:val="18"/>
              </w:rPr>
              <w:t>5,</w:t>
            </w:r>
            <w:r w:rsidR="00ED6513" w:rsidRPr="003A176D">
              <w:rPr>
                <w:rFonts w:ascii="Arial" w:hAnsi="Arial" w:cs="Arial"/>
                <w:b/>
                <w:sz w:val="18"/>
                <w:szCs w:val="18"/>
              </w:rPr>
              <w:t>423,314</w:t>
            </w:r>
          </w:p>
        </w:tc>
        <w:tc>
          <w:tcPr>
            <w:tcW w:w="283" w:type="dxa"/>
            <w:tcBorders>
              <w:bottom w:val="single" w:sz="18" w:space="0" w:color="auto"/>
            </w:tcBorders>
            <w:vAlign w:val="bottom"/>
          </w:tcPr>
          <w:p w14:paraId="139626F3" w14:textId="24C34407" w:rsidR="00173EF1" w:rsidRPr="003A176D" w:rsidRDefault="005F5F27" w:rsidP="001A6319">
            <w:pPr>
              <w:rPr>
                <w:rFonts w:ascii="Arial" w:hAnsi="Arial" w:cs="Arial"/>
                <w:b/>
                <w:sz w:val="18"/>
                <w:szCs w:val="18"/>
              </w:rPr>
            </w:pPr>
            <w:r w:rsidRPr="003A176D">
              <w:rPr>
                <w:rFonts w:ascii="Arial" w:hAnsi="Arial" w:cs="Arial"/>
                <w:b/>
                <w:sz w:val="18"/>
                <w:szCs w:val="18"/>
              </w:rPr>
              <w:t>$</w:t>
            </w:r>
          </w:p>
        </w:tc>
        <w:tc>
          <w:tcPr>
            <w:tcW w:w="1310" w:type="dxa"/>
            <w:tcBorders>
              <w:bottom w:val="single" w:sz="18" w:space="0" w:color="auto"/>
            </w:tcBorders>
            <w:vAlign w:val="bottom"/>
          </w:tcPr>
          <w:p w14:paraId="0260FE44" w14:textId="4ACF4FDB" w:rsidR="00173EF1" w:rsidRPr="003A176D" w:rsidRDefault="000E21F8" w:rsidP="001A6319">
            <w:pPr>
              <w:pStyle w:val="CommentText"/>
              <w:tabs>
                <w:tab w:val="decimal" w:pos="960"/>
              </w:tabs>
              <w:rPr>
                <w:rFonts w:ascii="Arial" w:hAnsi="Arial" w:cs="Arial"/>
                <w:b/>
                <w:sz w:val="18"/>
                <w:szCs w:val="18"/>
              </w:rPr>
            </w:pPr>
            <w:r w:rsidRPr="003A176D">
              <w:rPr>
                <w:rFonts w:ascii="Arial" w:hAnsi="Arial" w:cs="Arial"/>
                <w:b/>
                <w:sz w:val="18"/>
                <w:szCs w:val="18"/>
              </w:rPr>
              <w:t>1,387,042</w:t>
            </w:r>
          </w:p>
        </w:tc>
      </w:tr>
      <w:tr w:rsidR="00173EF1" w:rsidRPr="003A176D" w14:paraId="016BC2C3" w14:textId="77777777" w:rsidTr="00A64D71">
        <w:trPr>
          <w:cantSplit/>
          <w:trHeight w:hRule="exact" w:val="274"/>
        </w:trPr>
        <w:tc>
          <w:tcPr>
            <w:tcW w:w="4536" w:type="dxa"/>
            <w:tcBorders>
              <w:top w:val="single" w:sz="18" w:space="0" w:color="auto"/>
            </w:tcBorders>
            <w:vAlign w:val="bottom"/>
          </w:tcPr>
          <w:p w14:paraId="51EA4F68" w14:textId="77777777" w:rsidR="00173EF1" w:rsidRPr="003A176D" w:rsidRDefault="00173EF1" w:rsidP="001A6319">
            <w:pPr>
              <w:rPr>
                <w:rFonts w:ascii="Arial" w:hAnsi="Arial" w:cs="Arial"/>
                <w:sz w:val="18"/>
                <w:szCs w:val="18"/>
              </w:rPr>
            </w:pPr>
          </w:p>
        </w:tc>
        <w:tc>
          <w:tcPr>
            <w:tcW w:w="284" w:type="dxa"/>
            <w:tcBorders>
              <w:top w:val="single" w:sz="18" w:space="0" w:color="auto"/>
            </w:tcBorders>
            <w:vAlign w:val="bottom"/>
          </w:tcPr>
          <w:p w14:paraId="24F51775" w14:textId="77777777" w:rsidR="00173EF1" w:rsidRPr="003A176D" w:rsidRDefault="00173EF1" w:rsidP="001A6319">
            <w:pPr>
              <w:rPr>
                <w:rFonts w:ascii="Arial" w:hAnsi="Arial" w:cs="Arial"/>
                <w:sz w:val="18"/>
                <w:szCs w:val="18"/>
              </w:rPr>
            </w:pPr>
          </w:p>
        </w:tc>
        <w:tc>
          <w:tcPr>
            <w:tcW w:w="1134" w:type="dxa"/>
            <w:tcBorders>
              <w:top w:val="single" w:sz="18" w:space="0" w:color="auto"/>
            </w:tcBorders>
            <w:vAlign w:val="bottom"/>
          </w:tcPr>
          <w:p w14:paraId="6991B2B3" w14:textId="77777777" w:rsidR="00173EF1" w:rsidRPr="003A176D" w:rsidRDefault="00173EF1" w:rsidP="001A6319">
            <w:pPr>
              <w:pStyle w:val="CommentText"/>
              <w:tabs>
                <w:tab w:val="decimal" w:pos="960"/>
              </w:tabs>
              <w:rPr>
                <w:rFonts w:ascii="Arial" w:hAnsi="Arial" w:cs="Arial"/>
                <w:sz w:val="18"/>
                <w:szCs w:val="18"/>
              </w:rPr>
            </w:pPr>
          </w:p>
        </w:tc>
        <w:tc>
          <w:tcPr>
            <w:tcW w:w="283" w:type="dxa"/>
            <w:tcBorders>
              <w:top w:val="single" w:sz="18" w:space="0" w:color="auto"/>
            </w:tcBorders>
            <w:vAlign w:val="bottom"/>
          </w:tcPr>
          <w:p w14:paraId="15817D02" w14:textId="77777777" w:rsidR="00173EF1" w:rsidRPr="003A176D" w:rsidRDefault="00173EF1" w:rsidP="001A6319">
            <w:pPr>
              <w:rPr>
                <w:rFonts w:ascii="Arial" w:hAnsi="Arial" w:cs="Arial"/>
                <w:sz w:val="18"/>
                <w:szCs w:val="18"/>
              </w:rPr>
            </w:pPr>
          </w:p>
        </w:tc>
        <w:tc>
          <w:tcPr>
            <w:tcW w:w="1418" w:type="dxa"/>
            <w:tcBorders>
              <w:top w:val="single" w:sz="18" w:space="0" w:color="auto"/>
            </w:tcBorders>
            <w:vAlign w:val="bottom"/>
          </w:tcPr>
          <w:p w14:paraId="23A5727F" w14:textId="77777777" w:rsidR="00173EF1" w:rsidRPr="003A176D" w:rsidRDefault="00173EF1" w:rsidP="001A6319">
            <w:pPr>
              <w:pStyle w:val="CommentText"/>
              <w:tabs>
                <w:tab w:val="decimal" w:pos="960"/>
              </w:tabs>
              <w:rPr>
                <w:rFonts w:ascii="Arial" w:hAnsi="Arial" w:cs="Arial"/>
                <w:sz w:val="18"/>
                <w:szCs w:val="18"/>
              </w:rPr>
            </w:pPr>
          </w:p>
        </w:tc>
        <w:tc>
          <w:tcPr>
            <w:tcW w:w="283" w:type="dxa"/>
            <w:tcBorders>
              <w:top w:val="single" w:sz="18" w:space="0" w:color="auto"/>
            </w:tcBorders>
            <w:vAlign w:val="bottom"/>
          </w:tcPr>
          <w:p w14:paraId="1D263187" w14:textId="77777777" w:rsidR="00173EF1" w:rsidRPr="003A176D" w:rsidRDefault="00173EF1" w:rsidP="001A6319">
            <w:pPr>
              <w:rPr>
                <w:rFonts w:ascii="Arial" w:hAnsi="Arial" w:cs="Arial"/>
                <w:sz w:val="18"/>
                <w:szCs w:val="18"/>
              </w:rPr>
            </w:pPr>
          </w:p>
        </w:tc>
        <w:tc>
          <w:tcPr>
            <w:tcW w:w="1310" w:type="dxa"/>
            <w:tcBorders>
              <w:top w:val="single" w:sz="18" w:space="0" w:color="auto"/>
            </w:tcBorders>
            <w:vAlign w:val="bottom"/>
          </w:tcPr>
          <w:p w14:paraId="5D46D525" w14:textId="77777777" w:rsidR="00173EF1" w:rsidRPr="003A176D" w:rsidRDefault="00173EF1" w:rsidP="001A6319">
            <w:pPr>
              <w:pStyle w:val="CommentText"/>
              <w:tabs>
                <w:tab w:val="decimal" w:pos="960"/>
              </w:tabs>
              <w:rPr>
                <w:rFonts w:ascii="Arial" w:hAnsi="Arial" w:cs="Arial"/>
                <w:sz w:val="18"/>
                <w:szCs w:val="18"/>
              </w:rPr>
            </w:pPr>
          </w:p>
        </w:tc>
      </w:tr>
      <w:tr w:rsidR="00173EF1" w:rsidRPr="003A176D" w14:paraId="17C3FD3F" w14:textId="77777777" w:rsidTr="00A64D71">
        <w:trPr>
          <w:cantSplit/>
          <w:trHeight w:hRule="exact" w:val="274"/>
        </w:trPr>
        <w:tc>
          <w:tcPr>
            <w:tcW w:w="4536" w:type="dxa"/>
            <w:vAlign w:val="bottom"/>
          </w:tcPr>
          <w:p w14:paraId="1E1B6FE9" w14:textId="77777777" w:rsidR="00173EF1" w:rsidRPr="003A176D" w:rsidRDefault="00173EF1" w:rsidP="001A6319">
            <w:pPr>
              <w:rPr>
                <w:rFonts w:ascii="Arial" w:hAnsi="Arial" w:cs="Arial"/>
                <w:b/>
                <w:sz w:val="18"/>
                <w:szCs w:val="18"/>
              </w:rPr>
            </w:pPr>
            <w:r w:rsidRPr="003A176D">
              <w:rPr>
                <w:rFonts w:ascii="Arial" w:hAnsi="Arial" w:cs="Arial"/>
                <w:b/>
                <w:sz w:val="18"/>
                <w:szCs w:val="18"/>
              </w:rPr>
              <w:t>Liabilities</w:t>
            </w:r>
          </w:p>
        </w:tc>
        <w:tc>
          <w:tcPr>
            <w:tcW w:w="284" w:type="dxa"/>
            <w:vAlign w:val="bottom"/>
          </w:tcPr>
          <w:p w14:paraId="1DA0F28C" w14:textId="77777777" w:rsidR="00173EF1" w:rsidRPr="003A176D" w:rsidRDefault="00173EF1" w:rsidP="001A6319">
            <w:pPr>
              <w:rPr>
                <w:rFonts w:ascii="Arial" w:hAnsi="Arial" w:cs="Arial"/>
                <w:sz w:val="18"/>
                <w:szCs w:val="18"/>
              </w:rPr>
            </w:pPr>
          </w:p>
        </w:tc>
        <w:tc>
          <w:tcPr>
            <w:tcW w:w="1134" w:type="dxa"/>
            <w:vAlign w:val="bottom"/>
          </w:tcPr>
          <w:p w14:paraId="4285ACFA"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1D49D94A" w14:textId="77777777" w:rsidR="00173EF1" w:rsidRPr="003A176D" w:rsidRDefault="00173EF1" w:rsidP="001A6319">
            <w:pPr>
              <w:rPr>
                <w:rFonts w:ascii="Arial" w:hAnsi="Arial" w:cs="Arial"/>
                <w:sz w:val="18"/>
                <w:szCs w:val="18"/>
              </w:rPr>
            </w:pPr>
          </w:p>
        </w:tc>
        <w:tc>
          <w:tcPr>
            <w:tcW w:w="1418" w:type="dxa"/>
            <w:vAlign w:val="bottom"/>
          </w:tcPr>
          <w:p w14:paraId="35219B3D"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654D4534" w14:textId="77777777" w:rsidR="00173EF1" w:rsidRPr="003A176D" w:rsidRDefault="00173EF1" w:rsidP="001A6319">
            <w:pPr>
              <w:rPr>
                <w:rFonts w:ascii="Arial" w:hAnsi="Arial" w:cs="Arial"/>
                <w:sz w:val="18"/>
                <w:szCs w:val="18"/>
              </w:rPr>
            </w:pPr>
          </w:p>
        </w:tc>
        <w:tc>
          <w:tcPr>
            <w:tcW w:w="1310" w:type="dxa"/>
            <w:vAlign w:val="bottom"/>
          </w:tcPr>
          <w:p w14:paraId="6064D81F" w14:textId="77777777" w:rsidR="00173EF1" w:rsidRPr="003A176D" w:rsidRDefault="00173EF1" w:rsidP="001A6319">
            <w:pPr>
              <w:pStyle w:val="CommentText"/>
              <w:tabs>
                <w:tab w:val="decimal" w:pos="960"/>
              </w:tabs>
              <w:rPr>
                <w:rFonts w:ascii="Arial" w:hAnsi="Arial" w:cs="Arial"/>
                <w:sz w:val="18"/>
                <w:szCs w:val="18"/>
              </w:rPr>
            </w:pPr>
          </w:p>
        </w:tc>
      </w:tr>
      <w:tr w:rsidR="00173EF1" w:rsidRPr="003A176D" w14:paraId="1492B733" w14:textId="77777777" w:rsidTr="0029481C">
        <w:trPr>
          <w:cantSplit/>
          <w:trHeight w:hRule="exact" w:val="80"/>
        </w:trPr>
        <w:tc>
          <w:tcPr>
            <w:tcW w:w="4536" w:type="dxa"/>
            <w:vAlign w:val="bottom"/>
          </w:tcPr>
          <w:p w14:paraId="54D72783" w14:textId="77777777" w:rsidR="00173EF1" w:rsidRPr="003A176D" w:rsidRDefault="00173EF1" w:rsidP="001A6319">
            <w:pPr>
              <w:rPr>
                <w:rFonts w:ascii="Arial" w:hAnsi="Arial" w:cs="Arial"/>
                <w:sz w:val="18"/>
                <w:szCs w:val="18"/>
              </w:rPr>
            </w:pPr>
          </w:p>
        </w:tc>
        <w:tc>
          <w:tcPr>
            <w:tcW w:w="284" w:type="dxa"/>
            <w:vAlign w:val="bottom"/>
          </w:tcPr>
          <w:p w14:paraId="5D13AD52" w14:textId="77777777" w:rsidR="00173EF1" w:rsidRPr="003A176D" w:rsidRDefault="00173EF1" w:rsidP="001A6319">
            <w:pPr>
              <w:rPr>
                <w:rFonts w:ascii="Arial" w:hAnsi="Arial" w:cs="Arial"/>
                <w:sz w:val="18"/>
                <w:szCs w:val="18"/>
              </w:rPr>
            </w:pPr>
          </w:p>
        </w:tc>
        <w:tc>
          <w:tcPr>
            <w:tcW w:w="1134" w:type="dxa"/>
            <w:vAlign w:val="bottom"/>
          </w:tcPr>
          <w:p w14:paraId="56ED0FBC"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5F817D2E" w14:textId="77777777" w:rsidR="00173EF1" w:rsidRPr="003A176D" w:rsidRDefault="00173EF1" w:rsidP="001A6319">
            <w:pPr>
              <w:rPr>
                <w:rFonts w:ascii="Arial" w:hAnsi="Arial" w:cs="Arial"/>
                <w:sz w:val="18"/>
                <w:szCs w:val="18"/>
              </w:rPr>
            </w:pPr>
          </w:p>
        </w:tc>
        <w:tc>
          <w:tcPr>
            <w:tcW w:w="1418" w:type="dxa"/>
            <w:vAlign w:val="bottom"/>
          </w:tcPr>
          <w:p w14:paraId="05AC3E68"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3BE2D673" w14:textId="77777777" w:rsidR="00173EF1" w:rsidRPr="003A176D" w:rsidRDefault="00173EF1" w:rsidP="001A6319">
            <w:pPr>
              <w:rPr>
                <w:rFonts w:ascii="Arial" w:hAnsi="Arial" w:cs="Arial"/>
                <w:sz w:val="18"/>
                <w:szCs w:val="18"/>
              </w:rPr>
            </w:pPr>
          </w:p>
        </w:tc>
        <w:tc>
          <w:tcPr>
            <w:tcW w:w="1310" w:type="dxa"/>
            <w:vAlign w:val="bottom"/>
          </w:tcPr>
          <w:p w14:paraId="0849DC3D" w14:textId="77777777" w:rsidR="00173EF1" w:rsidRPr="003A176D" w:rsidRDefault="00173EF1" w:rsidP="001A6319">
            <w:pPr>
              <w:pStyle w:val="CommentText"/>
              <w:tabs>
                <w:tab w:val="decimal" w:pos="960"/>
              </w:tabs>
              <w:rPr>
                <w:rFonts w:ascii="Arial" w:hAnsi="Arial" w:cs="Arial"/>
                <w:sz w:val="18"/>
                <w:szCs w:val="18"/>
              </w:rPr>
            </w:pPr>
          </w:p>
        </w:tc>
      </w:tr>
      <w:tr w:rsidR="00173EF1" w:rsidRPr="003A176D" w14:paraId="3519023D" w14:textId="77777777" w:rsidTr="00A64D71">
        <w:trPr>
          <w:cantSplit/>
          <w:trHeight w:hRule="exact" w:val="274"/>
        </w:trPr>
        <w:tc>
          <w:tcPr>
            <w:tcW w:w="4536" w:type="dxa"/>
            <w:vAlign w:val="bottom"/>
          </w:tcPr>
          <w:p w14:paraId="5B8AEB5A" w14:textId="77777777" w:rsidR="00173EF1" w:rsidRPr="003A176D" w:rsidRDefault="00173EF1" w:rsidP="001A6319">
            <w:pPr>
              <w:rPr>
                <w:rFonts w:ascii="Arial" w:hAnsi="Arial" w:cs="Arial"/>
                <w:b/>
                <w:sz w:val="18"/>
                <w:szCs w:val="18"/>
              </w:rPr>
            </w:pPr>
            <w:r w:rsidRPr="003A176D">
              <w:rPr>
                <w:rFonts w:ascii="Arial" w:hAnsi="Arial" w:cs="Arial"/>
                <w:b/>
                <w:sz w:val="18"/>
                <w:szCs w:val="18"/>
              </w:rPr>
              <w:t>Current</w:t>
            </w:r>
          </w:p>
        </w:tc>
        <w:tc>
          <w:tcPr>
            <w:tcW w:w="284" w:type="dxa"/>
            <w:vAlign w:val="bottom"/>
          </w:tcPr>
          <w:p w14:paraId="7B73D500" w14:textId="77777777" w:rsidR="00173EF1" w:rsidRPr="003A176D" w:rsidRDefault="00173EF1" w:rsidP="001A6319">
            <w:pPr>
              <w:rPr>
                <w:rFonts w:ascii="Arial" w:hAnsi="Arial" w:cs="Arial"/>
                <w:sz w:val="18"/>
                <w:szCs w:val="18"/>
              </w:rPr>
            </w:pPr>
          </w:p>
        </w:tc>
        <w:tc>
          <w:tcPr>
            <w:tcW w:w="1134" w:type="dxa"/>
            <w:vAlign w:val="bottom"/>
          </w:tcPr>
          <w:p w14:paraId="25BF6420"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3A70F4AB" w14:textId="77777777" w:rsidR="00173EF1" w:rsidRPr="003A176D" w:rsidRDefault="00173EF1" w:rsidP="001A6319">
            <w:pPr>
              <w:rPr>
                <w:rFonts w:ascii="Arial" w:hAnsi="Arial" w:cs="Arial"/>
                <w:sz w:val="18"/>
                <w:szCs w:val="18"/>
              </w:rPr>
            </w:pPr>
          </w:p>
        </w:tc>
        <w:tc>
          <w:tcPr>
            <w:tcW w:w="1418" w:type="dxa"/>
            <w:vAlign w:val="bottom"/>
          </w:tcPr>
          <w:p w14:paraId="1A67242F"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01E3CD4F" w14:textId="77777777" w:rsidR="00173EF1" w:rsidRPr="003A176D" w:rsidRDefault="00173EF1" w:rsidP="001A6319">
            <w:pPr>
              <w:rPr>
                <w:rFonts w:ascii="Arial" w:hAnsi="Arial" w:cs="Arial"/>
                <w:sz w:val="18"/>
                <w:szCs w:val="18"/>
              </w:rPr>
            </w:pPr>
          </w:p>
        </w:tc>
        <w:tc>
          <w:tcPr>
            <w:tcW w:w="1310" w:type="dxa"/>
            <w:vAlign w:val="bottom"/>
          </w:tcPr>
          <w:p w14:paraId="1B4805F3" w14:textId="77777777" w:rsidR="00173EF1" w:rsidRPr="003A176D" w:rsidRDefault="00173EF1" w:rsidP="001A6319">
            <w:pPr>
              <w:pStyle w:val="CommentText"/>
              <w:tabs>
                <w:tab w:val="decimal" w:pos="960"/>
              </w:tabs>
              <w:rPr>
                <w:rFonts w:ascii="Arial" w:hAnsi="Arial" w:cs="Arial"/>
                <w:sz w:val="18"/>
                <w:szCs w:val="18"/>
              </w:rPr>
            </w:pPr>
          </w:p>
        </w:tc>
      </w:tr>
      <w:tr w:rsidR="00173EF1" w:rsidRPr="003A176D" w14:paraId="01DCFEEF" w14:textId="77777777" w:rsidTr="00A64D71">
        <w:trPr>
          <w:cantSplit/>
          <w:trHeight w:hRule="exact" w:val="274"/>
        </w:trPr>
        <w:tc>
          <w:tcPr>
            <w:tcW w:w="4536" w:type="dxa"/>
            <w:vAlign w:val="bottom"/>
          </w:tcPr>
          <w:p w14:paraId="1B77A92A" w14:textId="6F3152CE" w:rsidR="00173EF1" w:rsidRPr="003A176D" w:rsidRDefault="00173EF1" w:rsidP="001A6319">
            <w:pPr>
              <w:rPr>
                <w:rFonts w:ascii="Arial" w:hAnsi="Arial" w:cs="Arial"/>
                <w:sz w:val="18"/>
                <w:szCs w:val="18"/>
              </w:rPr>
            </w:pPr>
            <w:r w:rsidRPr="003A176D">
              <w:rPr>
                <w:rFonts w:ascii="Arial" w:hAnsi="Arial" w:cs="Arial"/>
                <w:sz w:val="18"/>
                <w:szCs w:val="18"/>
              </w:rPr>
              <w:t xml:space="preserve"> </w:t>
            </w:r>
            <w:r w:rsidR="00A64D71" w:rsidRPr="003A176D">
              <w:rPr>
                <w:rFonts w:ascii="Arial" w:hAnsi="Arial" w:cs="Arial"/>
                <w:sz w:val="18"/>
                <w:szCs w:val="18"/>
              </w:rPr>
              <w:t xml:space="preserve">Accounts payable and accrued liabilities (note </w:t>
            </w:r>
            <w:r w:rsidR="00C915B1" w:rsidRPr="003A176D">
              <w:rPr>
                <w:rFonts w:ascii="Arial" w:hAnsi="Arial" w:cs="Arial"/>
                <w:sz w:val="18"/>
                <w:szCs w:val="18"/>
              </w:rPr>
              <w:t>6</w:t>
            </w:r>
            <w:r w:rsidR="00A64D71" w:rsidRPr="003A176D">
              <w:rPr>
                <w:rFonts w:ascii="Arial" w:hAnsi="Arial" w:cs="Arial"/>
                <w:sz w:val="18"/>
                <w:szCs w:val="18"/>
              </w:rPr>
              <w:t>)</w:t>
            </w:r>
          </w:p>
        </w:tc>
        <w:tc>
          <w:tcPr>
            <w:tcW w:w="284" w:type="dxa"/>
            <w:vAlign w:val="bottom"/>
          </w:tcPr>
          <w:p w14:paraId="58A18347" w14:textId="77777777" w:rsidR="00173EF1" w:rsidRPr="003A176D" w:rsidRDefault="00173EF1" w:rsidP="001A6319">
            <w:pPr>
              <w:rPr>
                <w:rFonts w:ascii="Arial" w:hAnsi="Arial" w:cs="Arial"/>
                <w:sz w:val="18"/>
                <w:szCs w:val="18"/>
              </w:rPr>
            </w:pPr>
          </w:p>
        </w:tc>
        <w:tc>
          <w:tcPr>
            <w:tcW w:w="1134" w:type="dxa"/>
            <w:vAlign w:val="bottom"/>
          </w:tcPr>
          <w:p w14:paraId="47361E86" w14:textId="77777777" w:rsidR="00173EF1" w:rsidRPr="003A176D" w:rsidRDefault="00173EF1" w:rsidP="001A6319">
            <w:pPr>
              <w:pStyle w:val="CommentText"/>
              <w:tabs>
                <w:tab w:val="decimal" w:pos="960"/>
              </w:tabs>
              <w:rPr>
                <w:rFonts w:ascii="Arial" w:hAnsi="Arial" w:cs="Arial"/>
                <w:sz w:val="18"/>
                <w:szCs w:val="18"/>
              </w:rPr>
            </w:pPr>
          </w:p>
        </w:tc>
        <w:tc>
          <w:tcPr>
            <w:tcW w:w="283" w:type="dxa"/>
            <w:vAlign w:val="bottom"/>
          </w:tcPr>
          <w:p w14:paraId="023DCB75" w14:textId="77777777" w:rsidR="00173EF1" w:rsidRPr="003A176D" w:rsidRDefault="00173EF1" w:rsidP="001A6319">
            <w:pPr>
              <w:rPr>
                <w:rFonts w:ascii="Arial" w:hAnsi="Arial" w:cs="Arial"/>
                <w:sz w:val="18"/>
                <w:szCs w:val="18"/>
              </w:rPr>
            </w:pPr>
            <w:r w:rsidRPr="003A176D">
              <w:rPr>
                <w:rFonts w:ascii="Arial" w:hAnsi="Arial" w:cs="Arial"/>
                <w:sz w:val="18"/>
                <w:szCs w:val="18"/>
              </w:rPr>
              <w:t>$</w:t>
            </w:r>
          </w:p>
        </w:tc>
        <w:tc>
          <w:tcPr>
            <w:tcW w:w="1418" w:type="dxa"/>
            <w:vAlign w:val="bottom"/>
          </w:tcPr>
          <w:p w14:paraId="17B2F3A4" w14:textId="561FB294" w:rsidR="00173EF1" w:rsidRPr="003A176D" w:rsidRDefault="003D05FB" w:rsidP="001A6319">
            <w:pPr>
              <w:pStyle w:val="CommentText"/>
              <w:tabs>
                <w:tab w:val="decimal" w:pos="960"/>
              </w:tabs>
              <w:rPr>
                <w:rFonts w:ascii="Arial" w:hAnsi="Arial" w:cs="Arial"/>
                <w:sz w:val="18"/>
                <w:szCs w:val="18"/>
              </w:rPr>
            </w:pPr>
            <w:r w:rsidRPr="003A176D">
              <w:rPr>
                <w:rFonts w:ascii="Arial" w:hAnsi="Arial" w:cs="Arial"/>
                <w:sz w:val="18"/>
                <w:szCs w:val="18"/>
              </w:rPr>
              <w:t>378,014</w:t>
            </w:r>
          </w:p>
        </w:tc>
        <w:tc>
          <w:tcPr>
            <w:tcW w:w="283" w:type="dxa"/>
            <w:vAlign w:val="bottom"/>
          </w:tcPr>
          <w:p w14:paraId="47398D88" w14:textId="72158819" w:rsidR="00173EF1" w:rsidRPr="003A176D" w:rsidRDefault="005F5F27" w:rsidP="001A6319">
            <w:pPr>
              <w:rPr>
                <w:rFonts w:ascii="Arial" w:hAnsi="Arial" w:cs="Arial"/>
                <w:sz w:val="18"/>
                <w:szCs w:val="18"/>
              </w:rPr>
            </w:pPr>
            <w:r w:rsidRPr="003A176D">
              <w:rPr>
                <w:rFonts w:ascii="Arial" w:hAnsi="Arial" w:cs="Arial"/>
                <w:sz w:val="18"/>
                <w:szCs w:val="18"/>
              </w:rPr>
              <w:t>$</w:t>
            </w:r>
          </w:p>
        </w:tc>
        <w:tc>
          <w:tcPr>
            <w:tcW w:w="1310" w:type="dxa"/>
            <w:vAlign w:val="bottom"/>
          </w:tcPr>
          <w:p w14:paraId="05F778AB" w14:textId="6E287838" w:rsidR="00173EF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197,645</w:t>
            </w:r>
          </w:p>
        </w:tc>
      </w:tr>
      <w:tr w:rsidR="00A64D71" w:rsidRPr="003A176D" w14:paraId="5A9F0B0E" w14:textId="77777777" w:rsidTr="00A64D71">
        <w:trPr>
          <w:cantSplit/>
          <w:trHeight w:hRule="exact" w:val="274"/>
        </w:trPr>
        <w:tc>
          <w:tcPr>
            <w:tcW w:w="4536" w:type="dxa"/>
            <w:tcBorders>
              <w:bottom w:val="single" w:sz="4" w:space="0" w:color="auto"/>
            </w:tcBorders>
            <w:vAlign w:val="bottom"/>
          </w:tcPr>
          <w:p w14:paraId="3847094B" w14:textId="72FA1EB7" w:rsidR="00A64D71" w:rsidRPr="003A176D" w:rsidRDefault="00A64D71" w:rsidP="001A6319">
            <w:pPr>
              <w:rPr>
                <w:rFonts w:ascii="Arial" w:hAnsi="Arial" w:cs="Arial"/>
                <w:sz w:val="18"/>
                <w:szCs w:val="18"/>
              </w:rPr>
            </w:pPr>
            <w:r w:rsidRPr="003A176D">
              <w:rPr>
                <w:rFonts w:ascii="Arial" w:hAnsi="Arial" w:cs="Arial"/>
                <w:sz w:val="18"/>
                <w:szCs w:val="18"/>
              </w:rPr>
              <w:t xml:space="preserve"> Due to related parties</w:t>
            </w:r>
            <w:r w:rsidR="008B0837" w:rsidRPr="003A176D">
              <w:rPr>
                <w:rFonts w:ascii="Arial" w:hAnsi="Arial" w:cs="Arial"/>
                <w:sz w:val="18"/>
                <w:szCs w:val="18"/>
              </w:rPr>
              <w:t>, short term</w:t>
            </w:r>
            <w:r w:rsidRPr="003A176D">
              <w:rPr>
                <w:rFonts w:ascii="Arial" w:hAnsi="Arial" w:cs="Arial"/>
                <w:sz w:val="18"/>
                <w:szCs w:val="18"/>
              </w:rPr>
              <w:t xml:space="preserve"> (note</w:t>
            </w:r>
            <w:r w:rsidR="002E16E1" w:rsidRPr="003A176D">
              <w:rPr>
                <w:rFonts w:ascii="Arial" w:hAnsi="Arial" w:cs="Arial"/>
                <w:sz w:val="18"/>
                <w:szCs w:val="18"/>
              </w:rPr>
              <w:t>s</w:t>
            </w:r>
            <w:r w:rsidRPr="003A176D">
              <w:rPr>
                <w:rFonts w:ascii="Arial" w:hAnsi="Arial" w:cs="Arial"/>
                <w:sz w:val="18"/>
                <w:szCs w:val="18"/>
              </w:rPr>
              <w:t xml:space="preserve"> </w:t>
            </w:r>
            <w:r w:rsidR="002E16E1" w:rsidRPr="003A176D">
              <w:rPr>
                <w:rFonts w:ascii="Arial" w:hAnsi="Arial" w:cs="Arial"/>
                <w:sz w:val="18"/>
                <w:szCs w:val="18"/>
              </w:rPr>
              <w:t>4 and 10</w:t>
            </w:r>
            <w:r w:rsidRPr="003A176D">
              <w:rPr>
                <w:rFonts w:ascii="Arial" w:hAnsi="Arial" w:cs="Arial"/>
                <w:sz w:val="18"/>
                <w:szCs w:val="18"/>
              </w:rPr>
              <w:t>)</w:t>
            </w:r>
          </w:p>
        </w:tc>
        <w:tc>
          <w:tcPr>
            <w:tcW w:w="284" w:type="dxa"/>
            <w:tcBorders>
              <w:bottom w:val="single" w:sz="4" w:space="0" w:color="auto"/>
            </w:tcBorders>
            <w:vAlign w:val="bottom"/>
          </w:tcPr>
          <w:p w14:paraId="183C4ED3" w14:textId="77777777" w:rsidR="00A64D71" w:rsidRPr="003A176D" w:rsidRDefault="00A64D71" w:rsidP="001A6319">
            <w:pPr>
              <w:rPr>
                <w:rFonts w:ascii="Arial" w:hAnsi="Arial" w:cs="Arial"/>
                <w:sz w:val="18"/>
                <w:szCs w:val="18"/>
              </w:rPr>
            </w:pPr>
          </w:p>
        </w:tc>
        <w:tc>
          <w:tcPr>
            <w:tcW w:w="1134" w:type="dxa"/>
            <w:tcBorders>
              <w:bottom w:val="single" w:sz="4" w:space="0" w:color="auto"/>
            </w:tcBorders>
            <w:vAlign w:val="bottom"/>
          </w:tcPr>
          <w:p w14:paraId="5CA8C08E" w14:textId="77777777" w:rsidR="00A64D71" w:rsidRPr="003A176D" w:rsidRDefault="00A64D71" w:rsidP="001A6319">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50EFE180" w14:textId="77777777" w:rsidR="00A64D71" w:rsidRPr="003A176D" w:rsidRDefault="00A64D71" w:rsidP="001A6319">
            <w:pPr>
              <w:rPr>
                <w:rFonts w:ascii="Arial" w:hAnsi="Arial" w:cs="Arial"/>
                <w:sz w:val="18"/>
                <w:szCs w:val="18"/>
              </w:rPr>
            </w:pPr>
          </w:p>
        </w:tc>
        <w:tc>
          <w:tcPr>
            <w:tcW w:w="1418" w:type="dxa"/>
            <w:tcBorders>
              <w:bottom w:val="single" w:sz="4" w:space="0" w:color="auto"/>
            </w:tcBorders>
            <w:vAlign w:val="bottom"/>
          </w:tcPr>
          <w:p w14:paraId="1DAAC425" w14:textId="479B4FAE" w:rsidR="00A64D71" w:rsidRPr="003A176D" w:rsidRDefault="009D0EE3" w:rsidP="001A6319">
            <w:pPr>
              <w:pStyle w:val="CommentText"/>
              <w:tabs>
                <w:tab w:val="decimal" w:pos="960"/>
              </w:tabs>
              <w:rPr>
                <w:rFonts w:ascii="Arial" w:hAnsi="Arial" w:cs="Arial"/>
                <w:sz w:val="18"/>
                <w:szCs w:val="18"/>
              </w:rPr>
            </w:pPr>
            <w:r w:rsidRPr="003A176D">
              <w:rPr>
                <w:rFonts w:ascii="Arial" w:hAnsi="Arial" w:cs="Arial"/>
                <w:sz w:val="18"/>
                <w:szCs w:val="18"/>
              </w:rPr>
              <w:t>-</w:t>
            </w:r>
          </w:p>
        </w:tc>
        <w:tc>
          <w:tcPr>
            <w:tcW w:w="283" w:type="dxa"/>
            <w:tcBorders>
              <w:bottom w:val="single" w:sz="4" w:space="0" w:color="auto"/>
            </w:tcBorders>
            <w:vAlign w:val="bottom"/>
          </w:tcPr>
          <w:p w14:paraId="3B336E59" w14:textId="77777777" w:rsidR="00A64D71" w:rsidRPr="003A176D" w:rsidRDefault="00A64D71" w:rsidP="001A6319">
            <w:pPr>
              <w:rPr>
                <w:rFonts w:ascii="Arial" w:hAnsi="Arial" w:cs="Arial"/>
                <w:sz w:val="18"/>
                <w:szCs w:val="18"/>
              </w:rPr>
            </w:pPr>
          </w:p>
        </w:tc>
        <w:tc>
          <w:tcPr>
            <w:tcW w:w="1310" w:type="dxa"/>
            <w:tcBorders>
              <w:bottom w:val="single" w:sz="4" w:space="0" w:color="auto"/>
            </w:tcBorders>
            <w:vAlign w:val="bottom"/>
          </w:tcPr>
          <w:p w14:paraId="3F1D1AEF" w14:textId="2E96ECAC" w:rsidR="00A64D71" w:rsidRPr="003A176D" w:rsidRDefault="000E21F8" w:rsidP="001A6319">
            <w:pPr>
              <w:pStyle w:val="CommentText"/>
              <w:tabs>
                <w:tab w:val="decimal" w:pos="960"/>
              </w:tabs>
              <w:rPr>
                <w:rFonts w:ascii="Arial" w:hAnsi="Arial" w:cs="Arial"/>
                <w:sz w:val="18"/>
                <w:szCs w:val="18"/>
              </w:rPr>
            </w:pPr>
            <w:r w:rsidRPr="003A176D">
              <w:rPr>
                <w:rFonts w:ascii="Arial" w:hAnsi="Arial" w:cs="Arial"/>
                <w:sz w:val="18"/>
                <w:szCs w:val="18"/>
              </w:rPr>
              <w:t>658,212</w:t>
            </w:r>
          </w:p>
        </w:tc>
      </w:tr>
      <w:tr w:rsidR="00A64D71" w:rsidRPr="003A176D" w14:paraId="0D1C9E90" w14:textId="77777777" w:rsidTr="00A64D71">
        <w:trPr>
          <w:cantSplit/>
          <w:trHeight w:hRule="exact" w:val="274"/>
        </w:trPr>
        <w:tc>
          <w:tcPr>
            <w:tcW w:w="4536" w:type="dxa"/>
            <w:tcBorders>
              <w:top w:val="single" w:sz="4" w:space="0" w:color="auto"/>
            </w:tcBorders>
            <w:vAlign w:val="bottom"/>
          </w:tcPr>
          <w:p w14:paraId="1D966625" w14:textId="7C5A1382" w:rsidR="00A64D71" w:rsidRPr="003A176D" w:rsidRDefault="00A64D71" w:rsidP="001A6319">
            <w:pPr>
              <w:rPr>
                <w:rFonts w:ascii="Arial" w:hAnsi="Arial" w:cs="Arial"/>
                <w:b/>
                <w:bCs/>
                <w:sz w:val="18"/>
                <w:szCs w:val="18"/>
              </w:rPr>
            </w:pPr>
            <w:r w:rsidRPr="003A176D">
              <w:rPr>
                <w:rFonts w:ascii="Arial" w:hAnsi="Arial" w:cs="Arial"/>
                <w:b/>
                <w:bCs/>
                <w:sz w:val="18"/>
                <w:szCs w:val="18"/>
              </w:rPr>
              <w:t>Total</w:t>
            </w:r>
            <w:r w:rsidR="008B0837" w:rsidRPr="003A176D">
              <w:rPr>
                <w:rFonts w:ascii="Arial" w:hAnsi="Arial" w:cs="Arial"/>
                <w:b/>
                <w:bCs/>
                <w:sz w:val="18"/>
                <w:szCs w:val="18"/>
              </w:rPr>
              <w:t xml:space="preserve"> current</w:t>
            </w:r>
            <w:r w:rsidRPr="003A176D">
              <w:rPr>
                <w:rFonts w:ascii="Arial" w:hAnsi="Arial" w:cs="Arial"/>
                <w:b/>
                <w:bCs/>
                <w:sz w:val="18"/>
                <w:szCs w:val="18"/>
              </w:rPr>
              <w:t xml:space="preserve"> liabilities</w:t>
            </w:r>
          </w:p>
        </w:tc>
        <w:tc>
          <w:tcPr>
            <w:tcW w:w="284" w:type="dxa"/>
            <w:tcBorders>
              <w:top w:val="single" w:sz="4" w:space="0" w:color="auto"/>
            </w:tcBorders>
            <w:vAlign w:val="bottom"/>
          </w:tcPr>
          <w:p w14:paraId="2DD95E01" w14:textId="77777777" w:rsidR="00A64D71" w:rsidRPr="003A176D" w:rsidRDefault="00A64D71" w:rsidP="001A6319">
            <w:pPr>
              <w:rPr>
                <w:rFonts w:ascii="Arial" w:hAnsi="Arial" w:cs="Arial"/>
                <w:sz w:val="18"/>
                <w:szCs w:val="18"/>
              </w:rPr>
            </w:pPr>
          </w:p>
        </w:tc>
        <w:tc>
          <w:tcPr>
            <w:tcW w:w="1134" w:type="dxa"/>
            <w:tcBorders>
              <w:top w:val="single" w:sz="4" w:space="0" w:color="auto"/>
            </w:tcBorders>
            <w:vAlign w:val="bottom"/>
          </w:tcPr>
          <w:p w14:paraId="06F8078F" w14:textId="77777777" w:rsidR="00A64D71" w:rsidRPr="003A176D" w:rsidRDefault="00A64D71" w:rsidP="001A6319">
            <w:pPr>
              <w:pStyle w:val="CommentText"/>
              <w:tabs>
                <w:tab w:val="decimal" w:pos="960"/>
              </w:tabs>
              <w:rPr>
                <w:rFonts w:ascii="Arial" w:hAnsi="Arial" w:cs="Arial"/>
                <w:sz w:val="18"/>
                <w:szCs w:val="18"/>
              </w:rPr>
            </w:pPr>
          </w:p>
        </w:tc>
        <w:tc>
          <w:tcPr>
            <w:tcW w:w="283" w:type="dxa"/>
            <w:tcBorders>
              <w:top w:val="single" w:sz="4" w:space="0" w:color="auto"/>
            </w:tcBorders>
            <w:vAlign w:val="bottom"/>
          </w:tcPr>
          <w:p w14:paraId="7446BF74" w14:textId="0544F999" w:rsidR="00A64D71" w:rsidRPr="003A176D" w:rsidRDefault="00A64D71" w:rsidP="001A6319">
            <w:pPr>
              <w:rPr>
                <w:rFonts w:ascii="Arial" w:hAnsi="Arial" w:cs="Arial"/>
                <w:sz w:val="18"/>
                <w:szCs w:val="18"/>
              </w:rPr>
            </w:pPr>
          </w:p>
        </w:tc>
        <w:tc>
          <w:tcPr>
            <w:tcW w:w="1418" w:type="dxa"/>
            <w:tcBorders>
              <w:top w:val="single" w:sz="4" w:space="0" w:color="auto"/>
            </w:tcBorders>
            <w:vAlign w:val="bottom"/>
          </w:tcPr>
          <w:p w14:paraId="768670E4" w14:textId="5276148C" w:rsidR="00A64D71" w:rsidRPr="003A176D" w:rsidRDefault="009D0EE3" w:rsidP="001A6319">
            <w:pPr>
              <w:pStyle w:val="CommentText"/>
              <w:tabs>
                <w:tab w:val="decimal" w:pos="960"/>
              </w:tabs>
              <w:rPr>
                <w:rFonts w:ascii="Arial" w:hAnsi="Arial" w:cs="Arial"/>
                <w:b/>
                <w:bCs/>
                <w:sz w:val="18"/>
                <w:szCs w:val="18"/>
              </w:rPr>
            </w:pPr>
            <w:r w:rsidRPr="003A176D">
              <w:rPr>
                <w:rFonts w:ascii="Arial" w:hAnsi="Arial" w:cs="Arial"/>
                <w:b/>
                <w:bCs/>
                <w:sz w:val="18"/>
                <w:szCs w:val="18"/>
              </w:rPr>
              <w:t>378,014</w:t>
            </w:r>
          </w:p>
          <w:p w14:paraId="592BC26B" w14:textId="28EF11B1" w:rsidR="00BA55FA" w:rsidRPr="003A176D" w:rsidRDefault="00BA55FA" w:rsidP="001A6319">
            <w:pPr>
              <w:pStyle w:val="CommentText"/>
              <w:tabs>
                <w:tab w:val="decimal" w:pos="960"/>
              </w:tabs>
              <w:rPr>
                <w:rFonts w:ascii="Arial" w:hAnsi="Arial" w:cs="Arial"/>
                <w:b/>
                <w:bCs/>
                <w:sz w:val="18"/>
                <w:szCs w:val="18"/>
              </w:rPr>
            </w:pPr>
          </w:p>
        </w:tc>
        <w:tc>
          <w:tcPr>
            <w:tcW w:w="283" w:type="dxa"/>
            <w:tcBorders>
              <w:top w:val="single" w:sz="4" w:space="0" w:color="auto"/>
            </w:tcBorders>
            <w:vAlign w:val="bottom"/>
          </w:tcPr>
          <w:p w14:paraId="7ECE77AE" w14:textId="77777777" w:rsidR="00A64D71" w:rsidRPr="003A176D" w:rsidRDefault="00A64D71" w:rsidP="001A6319">
            <w:pPr>
              <w:rPr>
                <w:rFonts w:ascii="Arial" w:hAnsi="Arial" w:cs="Arial"/>
                <w:sz w:val="18"/>
                <w:szCs w:val="18"/>
              </w:rPr>
            </w:pPr>
          </w:p>
        </w:tc>
        <w:tc>
          <w:tcPr>
            <w:tcW w:w="1310" w:type="dxa"/>
            <w:tcBorders>
              <w:top w:val="single" w:sz="4" w:space="0" w:color="auto"/>
            </w:tcBorders>
            <w:vAlign w:val="bottom"/>
          </w:tcPr>
          <w:p w14:paraId="51D2553B" w14:textId="553660CA" w:rsidR="00A64D71" w:rsidRPr="003A176D" w:rsidRDefault="00B24840" w:rsidP="001A6319">
            <w:pPr>
              <w:pStyle w:val="CommentText"/>
              <w:tabs>
                <w:tab w:val="decimal" w:pos="960"/>
              </w:tabs>
              <w:rPr>
                <w:rFonts w:ascii="Arial" w:hAnsi="Arial" w:cs="Arial"/>
                <w:b/>
                <w:bCs/>
                <w:sz w:val="18"/>
                <w:szCs w:val="18"/>
              </w:rPr>
            </w:pPr>
            <w:r w:rsidRPr="003A176D">
              <w:rPr>
                <w:rFonts w:ascii="Arial" w:hAnsi="Arial" w:cs="Arial"/>
                <w:b/>
                <w:bCs/>
                <w:sz w:val="18"/>
                <w:szCs w:val="18"/>
              </w:rPr>
              <w:t>855,857</w:t>
            </w:r>
          </w:p>
        </w:tc>
      </w:tr>
      <w:tr w:rsidR="00A64D71" w:rsidRPr="003A176D" w14:paraId="569ACD31" w14:textId="77777777" w:rsidTr="00A64D71">
        <w:trPr>
          <w:cantSplit/>
          <w:trHeight w:hRule="exact" w:val="274"/>
        </w:trPr>
        <w:tc>
          <w:tcPr>
            <w:tcW w:w="4536" w:type="dxa"/>
            <w:vAlign w:val="bottom"/>
          </w:tcPr>
          <w:p w14:paraId="5D95CDFB" w14:textId="77777777" w:rsidR="00A64D71" w:rsidRPr="003A176D" w:rsidRDefault="00A64D71" w:rsidP="001A6319">
            <w:pPr>
              <w:rPr>
                <w:rFonts w:ascii="Arial" w:hAnsi="Arial" w:cs="Arial"/>
                <w:sz w:val="18"/>
                <w:szCs w:val="18"/>
              </w:rPr>
            </w:pPr>
          </w:p>
        </w:tc>
        <w:tc>
          <w:tcPr>
            <w:tcW w:w="284" w:type="dxa"/>
            <w:vAlign w:val="bottom"/>
          </w:tcPr>
          <w:p w14:paraId="570C096C" w14:textId="77777777" w:rsidR="00A64D71" w:rsidRPr="003A176D" w:rsidRDefault="00A64D71" w:rsidP="001A6319">
            <w:pPr>
              <w:rPr>
                <w:rFonts w:ascii="Arial" w:hAnsi="Arial" w:cs="Arial"/>
                <w:sz w:val="18"/>
                <w:szCs w:val="18"/>
              </w:rPr>
            </w:pPr>
          </w:p>
        </w:tc>
        <w:tc>
          <w:tcPr>
            <w:tcW w:w="1134" w:type="dxa"/>
            <w:vAlign w:val="bottom"/>
          </w:tcPr>
          <w:p w14:paraId="03D25C04" w14:textId="77777777" w:rsidR="00A64D71" w:rsidRPr="003A176D" w:rsidRDefault="00A64D71" w:rsidP="001A6319">
            <w:pPr>
              <w:pStyle w:val="CommentText"/>
              <w:tabs>
                <w:tab w:val="decimal" w:pos="960"/>
              </w:tabs>
              <w:rPr>
                <w:rFonts w:ascii="Arial" w:hAnsi="Arial" w:cs="Arial"/>
                <w:sz w:val="18"/>
                <w:szCs w:val="18"/>
              </w:rPr>
            </w:pPr>
          </w:p>
        </w:tc>
        <w:tc>
          <w:tcPr>
            <w:tcW w:w="283" w:type="dxa"/>
            <w:vAlign w:val="bottom"/>
          </w:tcPr>
          <w:p w14:paraId="3820A885" w14:textId="77777777" w:rsidR="00A64D71" w:rsidRPr="003A176D" w:rsidRDefault="00A64D71" w:rsidP="001A6319">
            <w:pPr>
              <w:rPr>
                <w:rFonts w:ascii="Arial" w:hAnsi="Arial" w:cs="Arial"/>
                <w:sz w:val="18"/>
                <w:szCs w:val="18"/>
              </w:rPr>
            </w:pPr>
          </w:p>
        </w:tc>
        <w:tc>
          <w:tcPr>
            <w:tcW w:w="1418" w:type="dxa"/>
            <w:vAlign w:val="bottom"/>
          </w:tcPr>
          <w:p w14:paraId="57EDD074" w14:textId="77777777" w:rsidR="00A64D71" w:rsidRPr="003A176D" w:rsidRDefault="00A64D71" w:rsidP="001A6319">
            <w:pPr>
              <w:pStyle w:val="CommentText"/>
              <w:tabs>
                <w:tab w:val="decimal" w:pos="960"/>
              </w:tabs>
              <w:rPr>
                <w:rFonts w:ascii="Arial" w:hAnsi="Arial" w:cs="Arial"/>
                <w:sz w:val="18"/>
                <w:szCs w:val="18"/>
              </w:rPr>
            </w:pPr>
          </w:p>
        </w:tc>
        <w:tc>
          <w:tcPr>
            <w:tcW w:w="283" w:type="dxa"/>
            <w:vAlign w:val="bottom"/>
          </w:tcPr>
          <w:p w14:paraId="5962DFAF" w14:textId="77777777" w:rsidR="00A64D71" w:rsidRPr="003A176D" w:rsidRDefault="00A64D71" w:rsidP="001A6319">
            <w:pPr>
              <w:rPr>
                <w:rFonts w:ascii="Arial" w:hAnsi="Arial" w:cs="Arial"/>
                <w:sz w:val="18"/>
                <w:szCs w:val="18"/>
              </w:rPr>
            </w:pPr>
          </w:p>
        </w:tc>
        <w:tc>
          <w:tcPr>
            <w:tcW w:w="1310" w:type="dxa"/>
            <w:vAlign w:val="bottom"/>
          </w:tcPr>
          <w:p w14:paraId="412C2BD8" w14:textId="77777777" w:rsidR="00A64D71" w:rsidRPr="003A176D" w:rsidRDefault="00A64D71" w:rsidP="001A6319">
            <w:pPr>
              <w:pStyle w:val="CommentText"/>
              <w:tabs>
                <w:tab w:val="decimal" w:pos="960"/>
              </w:tabs>
              <w:rPr>
                <w:rFonts w:ascii="Arial" w:hAnsi="Arial" w:cs="Arial"/>
                <w:sz w:val="18"/>
                <w:szCs w:val="18"/>
              </w:rPr>
            </w:pPr>
          </w:p>
        </w:tc>
      </w:tr>
      <w:tr w:rsidR="003D05FB" w:rsidRPr="003A176D" w14:paraId="6B0539C7" w14:textId="77777777" w:rsidTr="00A64D71">
        <w:trPr>
          <w:cantSplit/>
          <w:trHeight w:hRule="exact" w:val="274"/>
        </w:trPr>
        <w:tc>
          <w:tcPr>
            <w:tcW w:w="4536" w:type="dxa"/>
            <w:vAlign w:val="bottom"/>
          </w:tcPr>
          <w:p w14:paraId="514C1EF7" w14:textId="650E2256" w:rsidR="003D05FB" w:rsidRPr="003A176D" w:rsidRDefault="003D05FB" w:rsidP="001A6319">
            <w:pPr>
              <w:rPr>
                <w:rFonts w:ascii="Arial" w:hAnsi="Arial" w:cs="Arial"/>
                <w:sz w:val="18"/>
                <w:szCs w:val="18"/>
              </w:rPr>
            </w:pPr>
            <w:r w:rsidRPr="003A176D">
              <w:rPr>
                <w:rFonts w:ascii="Arial" w:hAnsi="Arial" w:cs="Arial"/>
                <w:sz w:val="18"/>
                <w:szCs w:val="18"/>
              </w:rPr>
              <w:t xml:space="preserve">Long term debt (note </w:t>
            </w:r>
            <w:r w:rsidR="001909DF" w:rsidRPr="003A176D">
              <w:rPr>
                <w:rFonts w:ascii="Arial" w:hAnsi="Arial" w:cs="Arial"/>
                <w:sz w:val="18"/>
                <w:szCs w:val="18"/>
              </w:rPr>
              <w:t>11</w:t>
            </w:r>
            <w:r w:rsidRPr="003A176D">
              <w:rPr>
                <w:rFonts w:ascii="Arial" w:hAnsi="Arial" w:cs="Arial"/>
                <w:sz w:val="18"/>
                <w:szCs w:val="18"/>
              </w:rPr>
              <w:t>)</w:t>
            </w:r>
          </w:p>
        </w:tc>
        <w:tc>
          <w:tcPr>
            <w:tcW w:w="284" w:type="dxa"/>
            <w:vAlign w:val="bottom"/>
          </w:tcPr>
          <w:p w14:paraId="704CBFD2" w14:textId="77777777" w:rsidR="003D05FB" w:rsidRPr="003A176D" w:rsidRDefault="003D05FB" w:rsidP="001A6319">
            <w:pPr>
              <w:rPr>
                <w:rFonts w:ascii="Arial" w:hAnsi="Arial" w:cs="Arial"/>
                <w:sz w:val="18"/>
                <w:szCs w:val="18"/>
              </w:rPr>
            </w:pPr>
          </w:p>
        </w:tc>
        <w:tc>
          <w:tcPr>
            <w:tcW w:w="1134" w:type="dxa"/>
            <w:vAlign w:val="bottom"/>
          </w:tcPr>
          <w:p w14:paraId="4B67D02D" w14:textId="77777777" w:rsidR="003D05FB" w:rsidRPr="003A176D" w:rsidRDefault="003D05FB" w:rsidP="001A6319">
            <w:pPr>
              <w:pStyle w:val="CommentText"/>
              <w:tabs>
                <w:tab w:val="decimal" w:pos="960"/>
              </w:tabs>
              <w:rPr>
                <w:rFonts w:ascii="Arial" w:hAnsi="Arial" w:cs="Arial"/>
                <w:sz w:val="18"/>
                <w:szCs w:val="18"/>
              </w:rPr>
            </w:pPr>
          </w:p>
        </w:tc>
        <w:tc>
          <w:tcPr>
            <w:tcW w:w="283" w:type="dxa"/>
            <w:vAlign w:val="bottom"/>
          </w:tcPr>
          <w:p w14:paraId="68AA35F9" w14:textId="77777777" w:rsidR="003D05FB" w:rsidRPr="003A176D" w:rsidRDefault="003D05FB" w:rsidP="001A6319">
            <w:pPr>
              <w:rPr>
                <w:rFonts w:ascii="Arial" w:hAnsi="Arial" w:cs="Arial"/>
                <w:sz w:val="18"/>
                <w:szCs w:val="18"/>
              </w:rPr>
            </w:pPr>
          </w:p>
        </w:tc>
        <w:tc>
          <w:tcPr>
            <w:tcW w:w="1418" w:type="dxa"/>
            <w:vAlign w:val="bottom"/>
          </w:tcPr>
          <w:p w14:paraId="64E57350" w14:textId="4C493ABB" w:rsidR="003D05FB" w:rsidRPr="003A176D" w:rsidRDefault="003D05FB" w:rsidP="001A6319">
            <w:pPr>
              <w:pStyle w:val="CommentText"/>
              <w:tabs>
                <w:tab w:val="decimal" w:pos="960"/>
              </w:tabs>
              <w:rPr>
                <w:rFonts w:ascii="Arial" w:hAnsi="Arial" w:cs="Arial"/>
                <w:sz w:val="18"/>
                <w:szCs w:val="18"/>
              </w:rPr>
            </w:pPr>
            <w:r w:rsidRPr="003A176D">
              <w:rPr>
                <w:rFonts w:ascii="Arial" w:hAnsi="Arial" w:cs="Arial"/>
                <w:sz w:val="18"/>
                <w:szCs w:val="18"/>
              </w:rPr>
              <w:t>40,000</w:t>
            </w:r>
          </w:p>
        </w:tc>
        <w:tc>
          <w:tcPr>
            <w:tcW w:w="283" w:type="dxa"/>
            <w:vAlign w:val="bottom"/>
          </w:tcPr>
          <w:p w14:paraId="5185A671" w14:textId="77777777" w:rsidR="003D05FB" w:rsidRPr="003A176D" w:rsidRDefault="003D05FB" w:rsidP="001A6319">
            <w:pPr>
              <w:rPr>
                <w:rFonts w:ascii="Arial" w:hAnsi="Arial" w:cs="Arial"/>
                <w:sz w:val="18"/>
                <w:szCs w:val="18"/>
              </w:rPr>
            </w:pPr>
          </w:p>
        </w:tc>
        <w:tc>
          <w:tcPr>
            <w:tcW w:w="1310" w:type="dxa"/>
            <w:vAlign w:val="bottom"/>
          </w:tcPr>
          <w:p w14:paraId="0F4F29DA" w14:textId="77777777" w:rsidR="003D05FB" w:rsidRPr="003A176D" w:rsidRDefault="003D05FB" w:rsidP="001A6319">
            <w:pPr>
              <w:pStyle w:val="CommentText"/>
              <w:tabs>
                <w:tab w:val="decimal" w:pos="960"/>
              </w:tabs>
              <w:rPr>
                <w:rFonts w:ascii="Arial" w:hAnsi="Arial" w:cs="Arial"/>
                <w:sz w:val="18"/>
                <w:szCs w:val="18"/>
              </w:rPr>
            </w:pPr>
          </w:p>
        </w:tc>
      </w:tr>
      <w:tr w:rsidR="008B0837" w:rsidRPr="003A176D" w14:paraId="5BD2F2A3" w14:textId="77777777" w:rsidTr="008B0837">
        <w:trPr>
          <w:cantSplit/>
          <w:trHeight w:hRule="exact" w:val="274"/>
        </w:trPr>
        <w:tc>
          <w:tcPr>
            <w:tcW w:w="4536" w:type="dxa"/>
            <w:tcBorders>
              <w:bottom w:val="single" w:sz="4" w:space="0" w:color="auto"/>
            </w:tcBorders>
            <w:vAlign w:val="bottom"/>
          </w:tcPr>
          <w:p w14:paraId="182133B5" w14:textId="240F905A" w:rsidR="008B0837" w:rsidRPr="003A176D" w:rsidRDefault="008B0837" w:rsidP="008B0837">
            <w:pPr>
              <w:rPr>
                <w:rFonts w:ascii="Arial" w:hAnsi="Arial" w:cs="Arial"/>
                <w:sz w:val="18"/>
                <w:szCs w:val="18"/>
              </w:rPr>
            </w:pPr>
            <w:r w:rsidRPr="003A176D">
              <w:rPr>
                <w:rFonts w:ascii="Arial" w:hAnsi="Arial" w:cs="Arial"/>
                <w:sz w:val="18"/>
                <w:szCs w:val="18"/>
              </w:rPr>
              <w:t xml:space="preserve"> Due to related parties, long term (note 1</w:t>
            </w:r>
            <w:r w:rsidR="008B32C5" w:rsidRPr="003A176D">
              <w:rPr>
                <w:rFonts w:ascii="Arial" w:hAnsi="Arial" w:cs="Arial"/>
                <w:sz w:val="18"/>
                <w:szCs w:val="18"/>
              </w:rPr>
              <w:t>0</w:t>
            </w:r>
            <w:r w:rsidRPr="003A176D">
              <w:rPr>
                <w:rFonts w:ascii="Arial" w:hAnsi="Arial" w:cs="Arial"/>
                <w:sz w:val="18"/>
                <w:szCs w:val="18"/>
              </w:rPr>
              <w:t>)</w:t>
            </w:r>
          </w:p>
        </w:tc>
        <w:tc>
          <w:tcPr>
            <w:tcW w:w="284" w:type="dxa"/>
            <w:tcBorders>
              <w:bottom w:val="single" w:sz="4" w:space="0" w:color="auto"/>
            </w:tcBorders>
            <w:vAlign w:val="bottom"/>
          </w:tcPr>
          <w:p w14:paraId="4CC96EE9" w14:textId="77777777" w:rsidR="008B0837" w:rsidRPr="003A176D" w:rsidRDefault="008B0837" w:rsidP="008B0837">
            <w:pPr>
              <w:rPr>
                <w:rFonts w:ascii="Arial" w:hAnsi="Arial" w:cs="Arial"/>
                <w:sz w:val="18"/>
                <w:szCs w:val="18"/>
              </w:rPr>
            </w:pPr>
          </w:p>
        </w:tc>
        <w:tc>
          <w:tcPr>
            <w:tcW w:w="1134" w:type="dxa"/>
            <w:tcBorders>
              <w:bottom w:val="single" w:sz="4" w:space="0" w:color="auto"/>
            </w:tcBorders>
            <w:vAlign w:val="bottom"/>
          </w:tcPr>
          <w:p w14:paraId="66B0B769" w14:textId="77777777" w:rsidR="008B0837" w:rsidRPr="003A176D" w:rsidRDefault="008B0837" w:rsidP="008B0837">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24791E06" w14:textId="77777777" w:rsidR="008B0837" w:rsidRPr="003A176D" w:rsidRDefault="008B0837" w:rsidP="008B0837">
            <w:pPr>
              <w:rPr>
                <w:rFonts w:ascii="Arial" w:hAnsi="Arial" w:cs="Arial"/>
                <w:sz w:val="18"/>
                <w:szCs w:val="18"/>
              </w:rPr>
            </w:pPr>
          </w:p>
        </w:tc>
        <w:tc>
          <w:tcPr>
            <w:tcW w:w="1418" w:type="dxa"/>
            <w:tcBorders>
              <w:bottom w:val="single" w:sz="4" w:space="0" w:color="auto"/>
            </w:tcBorders>
            <w:vAlign w:val="bottom"/>
          </w:tcPr>
          <w:p w14:paraId="55818EB7" w14:textId="6658D414" w:rsidR="008B0837" w:rsidRPr="003A176D" w:rsidRDefault="003D05FB" w:rsidP="008B0837">
            <w:pPr>
              <w:pStyle w:val="CommentText"/>
              <w:tabs>
                <w:tab w:val="decimal" w:pos="960"/>
              </w:tabs>
              <w:rPr>
                <w:rFonts w:ascii="Arial" w:hAnsi="Arial" w:cs="Arial"/>
                <w:sz w:val="18"/>
                <w:szCs w:val="18"/>
              </w:rPr>
            </w:pPr>
            <w:r w:rsidRPr="003A176D">
              <w:rPr>
                <w:rFonts w:ascii="Arial" w:hAnsi="Arial" w:cs="Arial"/>
                <w:sz w:val="18"/>
                <w:szCs w:val="18"/>
              </w:rPr>
              <w:t>446,827</w:t>
            </w:r>
          </w:p>
        </w:tc>
        <w:tc>
          <w:tcPr>
            <w:tcW w:w="283" w:type="dxa"/>
            <w:tcBorders>
              <w:bottom w:val="single" w:sz="4" w:space="0" w:color="auto"/>
            </w:tcBorders>
            <w:vAlign w:val="bottom"/>
          </w:tcPr>
          <w:p w14:paraId="664CE7B5" w14:textId="77777777" w:rsidR="008B0837" w:rsidRPr="003A176D" w:rsidRDefault="008B0837" w:rsidP="008B0837">
            <w:pPr>
              <w:rPr>
                <w:rFonts w:ascii="Arial" w:hAnsi="Arial" w:cs="Arial"/>
                <w:sz w:val="18"/>
                <w:szCs w:val="18"/>
              </w:rPr>
            </w:pPr>
          </w:p>
        </w:tc>
        <w:tc>
          <w:tcPr>
            <w:tcW w:w="1310" w:type="dxa"/>
            <w:tcBorders>
              <w:bottom w:val="single" w:sz="4" w:space="0" w:color="auto"/>
            </w:tcBorders>
            <w:vAlign w:val="bottom"/>
          </w:tcPr>
          <w:p w14:paraId="2F61F3CE" w14:textId="472CBE61" w:rsidR="008B0837" w:rsidRPr="003A176D" w:rsidRDefault="000E21F8" w:rsidP="008B0837">
            <w:pPr>
              <w:pStyle w:val="CommentText"/>
              <w:tabs>
                <w:tab w:val="decimal" w:pos="960"/>
              </w:tabs>
              <w:rPr>
                <w:rFonts w:ascii="Arial" w:hAnsi="Arial" w:cs="Arial"/>
                <w:sz w:val="18"/>
                <w:szCs w:val="18"/>
              </w:rPr>
            </w:pPr>
            <w:r w:rsidRPr="003A176D">
              <w:rPr>
                <w:rFonts w:ascii="Arial" w:hAnsi="Arial" w:cs="Arial"/>
                <w:sz w:val="18"/>
                <w:szCs w:val="18"/>
              </w:rPr>
              <w:t>-</w:t>
            </w:r>
          </w:p>
        </w:tc>
      </w:tr>
      <w:tr w:rsidR="008B0837" w:rsidRPr="003A176D" w14:paraId="5FEFBC69" w14:textId="77777777" w:rsidTr="008B0837">
        <w:trPr>
          <w:cantSplit/>
          <w:trHeight w:hRule="exact" w:val="274"/>
        </w:trPr>
        <w:tc>
          <w:tcPr>
            <w:tcW w:w="4536" w:type="dxa"/>
            <w:tcBorders>
              <w:top w:val="single" w:sz="4" w:space="0" w:color="auto"/>
            </w:tcBorders>
            <w:vAlign w:val="bottom"/>
          </w:tcPr>
          <w:p w14:paraId="1B7DFC62" w14:textId="16627994" w:rsidR="008B0837" w:rsidRPr="003A176D" w:rsidRDefault="008B0837" w:rsidP="008B0837">
            <w:pPr>
              <w:rPr>
                <w:rFonts w:ascii="Arial" w:hAnsi="Arial" w:cs="Arial"/>
                <w:b/>
                <w:bCs/>
                <w:sz w:val="18"/>
                <w:szCs w:val="18"/>
              </w:rPr>
            </w:pPr>
            <w:r w:rsidRPr="003A176D">
              <w:rPr>
                <w:rFonts w:ascii="Arial" w:hAnsi="Arial" w:cs="Arial"/>
                <w:b/>
                <w:bCs/>
                <w:sz w:val="18"/>
                <w:szCs w:val="18"/>
              </w:rPr>
              <w:t>Total liabilities</w:t>
            </w:r>
          </w:p>
        </w:tc>
        <w:tc>
          <w:tcPr>
            <w:tcW w:w="284" w:type="dxa"/>
            <w:tcBorders>
              <w:top w:val="single" w:sz="4" w:space="0" w:color="auto"/>
            </w:tcBorders>
            <w:vAlign w:val="bottom"/>
          </w:tcPr>
          <w:p w14:paraId="4B47F78B" w14:textId="77777777" w:rsidR="008B0837" w:rsidRPr="003A176D" w:rsidRDefault="008B0837" w:rsidP="008B0837">
            <w:pPr>
              <w:rPr>
                <w:rFonts w:ascii="Arial" w:hAnsi="Arial" w:cs="Arial"/>
                <w:b/>
                <w:bCs/>
                <w:sz w:val="18"/>
                <w:szCs w:val="18"/>
              </w:rPr>
            </w:pPr>
          </w:p>
        </w:tc>
        <w:tc>
          <w:tcPr>
            <w:tcW w:w="1134" w:type="dxa"/>
            <w:tcBorders>
              <w:top w:val="single" w:sz="4" w:space="0" w:color="auto"/>
            </w:tcBorders>
            <w:vAlign w:val="bottom"/>
          </w:tcPr>
          <w:p w14:paraId="22F07553" w14:textId="77777777" w:rsidR="008B0837" w:rsidRPr="003A176D" w:rsidRDefault="008B0837" w:rsidP="008B0837">
            <w:pPr>
              <w:pStyle w:val="CommentText"/>
              <w:tabs>
                <w:tab w:val="decimal" w:pos="960"/>
              </w:tabs>
              <w:rPr>
                <w:rFonts w:ascii="Arial" w:hAnsi="Arial" w:cs="Arial"/>
                <w:b/>
                <w:bCs/>
                <w:sz w:val="18"/>
                <w:szCs w:val="18"/>
              </w:rPr>
            </w:pPr>
          </w:p>
        </w:tc>
        <w:tc>
          <w:tcPr>
            <w:tcW w:w="283" w:type="dxa"/>
            <w:tcBorders>
              <w:top w:val="single" w:sz="4" w:space="0" w:color="auto"/>
            </w:tcBorders>
            <w:vAlign w:val="bottom"/>
          </w:tcPr>
          <w:p w14:paraId="7DD1C538" w14:textId="77777777" w:rsidR="008B0837" w:rsidRPr="003A176D" w:rsidRDefault="008B0837" w:rsidP="008B0837">
            <w:pPr>
              <w:rPr>
                <w:rFonts w:ascii="Arial" w:hAnsi="Arial" w:cs="Arial"/>
                <w:b/>
                <w:bCs/>
                <w:sz w:val="18"/>
                <w:szCs w:val="18"/>
              </w:rPr>
            </w:pPr>
          </w:p>
        </w:tc>
        <w:tc>
          <w:tcPr>
            <w:tcW w:w="1418" w:type="dxa"/>
            <w:tcBorders>
              <w:top w:val="single" w:sz="4" w:space="0" w:color="auto"/>
            </w:tcBorders>
            <w:vAlign w:val="bottom"/>
          </w:tcPr>
          <w:p w14:paraId="7387EDE7" w14:textId="071CA46C" w:rsidR="008B0837" w:rsidRPr="003A176D" w:rsidRDefault="009D0EE3" w:rsidP="008B0837">
            <w:pPr>
              <w:pStyle w:val="CommentText"/>
              <w:tabs>
                <w:tab w:val="decimal" w:pos="960"/>
              </w:tabs>
              <w:rPr>
                <w:rFonts w:ascii="Arial" w:hAnsi="Arial" w:cs="Arial"/>
                <w:b/>
                <w:bCs/>
                <w:sz w:val="18"/>
                <w:szCs w:val="18"/>
              </w:rPr>
            </w:pPr>
            <w:r w:rsidRPr="003A176D">
              <w:rPr>
                <w:rFonts w:ascii="Arial" w:hAnsi="Arial" w:cs="Arial"/>
                <w:b/>
                <w:bCs/>
                <w:sz w:val="18"/>
                <w:szCs w:val="18"/>
              </w:rPr>
              <w:t>864,841</w:t>
            </w:r>
          </w:p>
        </w:tc>
        <w:tc>
          <w:tcPr>
            <w:tcW w:w="283" w:type="dxa"/>
            <w:tcBorders>
              <w:top w:val="single" w:sz="4" w:space="0" w:color="auto"/>
            </w:tcBorders>
            <w:vAlign w:val="bottom"/>
          </w:tcPr>
          <w:p w14:paraId="40BE9ACC" w14:textId="77777777" w:rsidR="008B0837" w:rsidRPr="003A176D" w:rsidRDefault="008B0837" w:rsidP="008B0837">
            <w:pPr>
              <w:rPr>
                <w:rFonts w:ascii="Arial" w:hAnsi="Arial" w:cs="Arial"/>
                <w:b/>
                <w:bCs/>
                <w:sz w:val="18"/>
                <w:szCs w:val="18"/>
              </w:rPr>
            </w:pPr>
          </w:p>
        </w:tc>
        <w:tc>
          <w:tcPr>
            <w:tcW w:w="1310" w:type="dxa"/>
            <w:tcBorders>
              <w:top w:val="single" w:sz="4" w:space="0" w:color="auto"/>
            </w:tcBorders>
            <w:vAlign w:val="bottom"/>
          </w:tcPr>
          <w:p w14:paraId="6B4562E4" w14:textId="2386B2A3" w:rsidR="008B0837" w:rsidRPr="003A176D" w:rsidRDefault="00B24840" w:rsidP="008B0837">
            <w:pPr>
              <w:pStyle w:val="CommentText"/>
              <w:tabs>
                <w:tab w:val="decimal" w:pos="960"/>
              </w:tabs>
              <w:rPr>
                <w:rFonts w:ascii="Arial" w:hAnsi="Arial" w:cs="Arial"/>
                <w:b/>
                <w:bCs/>
                <w:sz w:val="18"/>
                <w:szCs w:val="18"/>
              </w:rPr>
            </w:pPr>
            <w:r w:rsidRPr="003A176D">
              <w:rPr>
                <w:rFonts w:ascii="Arial" w:hAnsi="Arial" w:cs="Arial"/>
                <w:b/>
                <w:bCs/>
                <w:sz w:val="18"/>
                <w:szCs w:val="18"/>
              </w:rPr>
              <w:t>855,857</w:t>
            </w:r>
          </w:p>
        </w:tc>
      </w:tr>
      <w:tr w:rsidR="008B0837" w:rsidRPr="003A176D" w14:paraId="5036DBC3" w14:textId="77777777" w:rsidTr="00A64D71">
        <w:trPr>
          <w:cantSplit/>
          <w:trHeight w:hRule="exact" w:val="274"/>
        </w:trPr>
        <w:tc>
          <w:tcPr>
            <w:tcW w:w="4536" w:type="dxa"/>
            <w:vAlign w:val="bottom"/>
          </w:tcPr>
          <w:p w14:paraId="162CBCE4" w14:textId="77777777" w:rsidR="008B0837" w:rsidRPr="003A176D" w:rsidRDefault="008B0837" w:rsidP="008B0837">
            <w:pPr>
              <w:rPr>
                <w:rFonts w:ascii="Arial" w:hAnsi="Arial" w:cs="Arial"/>
                <w:sz w:val="18"/>
                <w:szCs w:val="18"/>
              </w:rPr>
            </w:pPr>
          </w:p>
        </w:tc>
        <w:tc>
          <w:tcPr>
            <w:tcW w:w="284" w:type="dxa"/>
            <w:vAlign w:val="bottom"/>
          </w:tcPr>
          <w:p w14:paraId="4D5734CC" w14:textId="77777777" w:rsidR="008B0837" w:rsidRPr="003A176D" w:rsidRDefault="008B0837" w:rsidP="008B0837">
            <w:pPr>
              <w:rPr>
                <w:rFonts w:ascii="Arial" w:hAnsi="Arial" w:cs="Arial"/>
                <w:sz w:val="18"/>
                <w:szCs w:val="18"/>
              </w:rPr>
            </w:pPr>
          </w:p>
        </w:tc>
        <w:tc>
          <w:tcPr>
            <w:tcW w:w="1134" w:type="dxa"/>
            <w:vAlign w:val="bottom"/>
          </w:tcPr>
          <w:p w14:paraId="259148E8" w14:textId="77777777" w:rsidR="008B0837" w:rsidRPr="003A176D" w:rsidRDefault="008B0837" w:rsidP="008B0837">
            <w:pPr>
              <w:pStyle w:val="CommentText"/>
              <w:tabs>
                <w:tab w:val="decimal" w:pos="960"/>
              </w:tabs>
              <w:rPr>
                <w:rFonts w:ascii="Arial" w:hAnsi="Arial" w:cs="Arial"/>
                <w:sz w:val="18"/>
                <w:szCs w:val="18"/>
              </w:rPr>
            </w:pPr>
          </w:p>
        </w:tc>
        <w:tc>
          <w:tcPr>
            <w:tcW w:w="283" w:type="dxa"/>
            <w:vAlign w:val="bottom"/>
          </w:tcPr>
          <w:p w14:paraId="51A6BB1B" w14:textId="77777777" w:rsidR="008B0837" w:rsidRPr="003A176D" w:rsidRDefault="008B0837" w:rsidP="008B0837">
            <w:pPr>
              <w:rPr>
                <w:rFonts w:ascii="Arial" w:hAnsi="Arial" w:cs="Arial"/>
                <w:sz w:val="18"/>
                <w:szCs w:val="18"/>
              </w:rPr>
            </w:pPr>
          </w:p>
        </w:tc>
        <w:tc>
          <w:tcPr>
            <w:tcW w:w="1418" w:type="dxa"/>
            <w:vAlign w:val="bottom"/>
          </w:tcPr>
          <w:p w14:paraId="0464D7F3" w14:textId="77777777" w:rsidR="008B0837" w:rsidRPr="003A176D" w:rsidRDefault="008B0837" w:rsidP="008B0837">
            <w:pPr>
              <w:pStyle w:val="CommentText"/>
              <w:tabs>
                <w:tab w:val="decimal" w:pos="960"/>
              </w:tabs>
              <w:rPr>
                <w:rFonts w:ascii="Arial" w:hAnsi="Arial" w:cs="Arial"/>
                <w:sz w:val="18"/>
                <w:szCs w:val="18"/>
              </w:rPr>
            </w:pPr>
          </w:p>
        </w:tc>
        <w:tc>
          <w:tcPr>
            <w:tcW w:w="283" w:type="dxa"/>
            <w:vAlign w:val="bottom"/>
          </w:tcPr>
          <w:p w14:paraId="2BBD304A" w14:textId="77777777" w:rsidR="008B0837" w:rsidRPr="003A176D" w:rsidRDefault="008B0837" w:rsidP="008B0837">
            <w:pPr>
              <w:rPr>
                <w:rFonts w:ascii="Arial" w:hAnsi="Arial" w:cs="Arial"/>
                <w:sz w:val="18"/>
                <w:szCs w:val="18"/>
              </w:rPr>
            </w:pPr>
          </w:p>
        </w:tc>
        <w:tc>
          <w:tcPr>
            <w:tcW w:w="1310" w:type="dxa"/>
            <w:vAlign w:val="bottom"/>
          </w:tcPr>
          <w:p w14:paraId="13F24467" w14:textId="77777777" w:rsidR="008B0837" w:rsidRPr="003A176D" w:rsidRDefault="008B0837" w:rsidP="008B0837">
            <w:pPr>
              <w:pStyle w:val="CommentText"/>
              <w:tabs>
                <w:tab w:val="decimal" w:pos="960"/>
              </w:tabs>
              <w:rPr>
                <w:rFonts w:ascii="Arial" w:hAnsi="Arial" w:cs="Arial"/>
                <w:sz w:val="18"/>
                <w:szCs w:val="18"/>
              </w:rPr>
            </w:pPr>
          </w:p>
        </w:tc>
      </w:tr>
      <w:tr w:rsidR="008B0837" w:rsidRPr="003A176D" w14:paraId="46123B1E" w14:textId="77777777" w:rsidTr="00A64D71">
        <w:trPr>
          <w:cantSplit/>
          <w:trHeight w:hRule="exact" w:val="274"/>
        </w:trPr>
        <w:tc>
          <w:tcPr>
            <w:tcW w:w="4536" w:type="dxa"/>
            <w:vAlign w:val="bottom"/>
          </w:tcPr>
          <w:p w14:paraId="6399B875" w14:textId="77777777" w:rsidR="008B0837" w:rsidRPr="003A176D" w:rsidRDefault="008B0837" w:rsidP="008B0837">
            <w:pPr>
              <w:rPr>
                <w:rFonts w:ascii="Arial" w:hAnsi="Arial" w:cs="Arial"/>
                <w:b/>
                <w:sz w:val="18"/>
                <w:szCs w:val="18"/>
              </w:rPr>
            </w:pPr>
            <w:r w:rsidRPr="003A176D">
              <w:rPr>
                <w:rFonts w:ascii="Arial" w:hAnsi="Arial" w:cs="Arial"/>
                <w:b/>
                <w:sz w:val="18"/>
                <w:szCs w:val="18"/>
              </w:rPr>
              <w:t xml:space="preserve">Shareholders’ Equity </w:t>
            </w:r>
          </w:p>
        </w:tc>
        <w:tc>
          <w:tcPr>
            <w:tcW w:w="284" w:type="dxa"/>
            <w:vAlign w:val="bottom"/>
          </w:tcPr>
          <w:p w14:paraId="1B463A92" w14:textId="77777777" w:rsidR="008B0837" w:rsidRPr="003A176D" w:rsidRDefault="008B0837" w:rsidP="008B0837">
            <w:pPr>
              <w:rPr>
                <w:rFonts w:ascii="Arial" w:hAnsi="Arial" w:cs="Arial"/>
                <w:sz w:val="18"/>
                <w:szCs w:val="18"/>
              </w:rPr>
            </w:pPr>
          </w:p>
        </w:tc>
        <w:tc>
          <w:tcPr>
            <w:tcW w:w="1134" w:type="dxa"/>
            <w:vAlign w:val="bottom"/>
          </w:tcPr>
          <w:p w14:paraId="7041B340" w14:textId="77777777" w:rsidR="008B0837" w:rsidRPr="003A176D" w:rsidRDefault="008B0837" w:rsidP="008B0837">
            <w:pPr>
              <w:pStyle w:val="CommentText"/>
              <w:tabs>
                <w:tab w:val="decimal" w:pos="960"/>
              </w:tabs>
              <w:rPr>
                <w:rFonts w:ascii="Arial" w:hAnsi="Arial" w:cs="Arial"/>
                <w:sz w:val="18"/>
                <w:szCs w:val="18"/>
              </w:rPr>
            </w:pPr>
          </w:p>
        </w:tc>
        <w:tc>
          <w:tcPr>
            <w:tcW w:w="283" w:type="dxa"/>
            <w:vAlign w:val="bottom"/>
          </w:tcPr>
          <w:p w14:paraId="238691A4" w14:textId="77777777" w:rsidR="008B0837" w:rsidRPr="003A176D" w:rsidRDefault="008B0837" w:rsidP="008B0837">
            <w:pPr>
              <w:rPr>
                <w:rFonts w:ascii="Arial" w:hAnsi="Arial" w:cs="Arial"/>
                <w:sz w:val="18"/>
                <w:szCs w:val="18"/>
              </w:rPr>
            </w:pPr>
          </w:p>
        </w:tc>
        <w:tc>
          <w:tcPr>
            <w:tcW w:w="1418" w:type="dxa"/>
            <w:vAlign w:val="bottom"/>
          </w:tcPr>
          <w:p w14:paraId="7C8E0FEC" w14:textId="77777777" w:rsidR="008B0837" w:rsidRPr="003A176D" w:rsidRDefault="008B0837" w:rsidP="008B0837">
            <w:pPr>
              <w:pStyle w:val="CommentText"/>
              <w:tabs>
                <w:tab w:val="decimal" w:pos="960"/>
              </w:tabs>
              <w:rPr>
                <w:rFonts w:ascii="Arial" w:hAnsi="Arial" w:cs="Arial"/>
                <w:sz w:val="18"/>
                <w:szCs w:val="18"/>
              </w:rPr>
            </w:pPr>
          </w:p>
        </w:tc>
        <w:tc>
          <w:tcPr>
            <w:tcW w:w="283" w:type="dxa"/>
            <w:vAlign w:val="bottom"/>
          </w:tcPr>
          <w:p w14:paraId="7105DEA5" w14:textId="77777777" w:rsidR="008B0837" w:rsidRPr="003A176D" w:rsidRDefault="008B0837" w:rsidP="008B0837">
            <w:pPr>
              <w:rPr>
                <w:rFonts w:ascii="Arial" w:hAnsi="Arial" w:cs="Arial"/>
                <w:sz w:val="18"/>
                <w:szCs w:val="18"/>
              </w:rPr>
            </w:pPr>
          </w:p>
        </w:tc>
        <w:tc>
          <w:tcPr>
            <w:tcW w:w="1310" w:type="dxa"/>
            <w:vAlign w:val="bottom"/>
          </w:tcPr>
          <w:p w14:paraId="093B6159" w14:textId="77777777" w:rsidR="008B0837" w:rsidRPr="003A176D" w:rsidRDefault="008B0837" w:rsidP="008B0837">
            <w:pPr>
              <w:pStyle w:val="CommentText"/>
              <w:tabs>
                <w:tab w:val="decimal" w:pos="960"/>
              </w:tabs>
              <w:rPr>
                <w:rFonts w:ascii="Arial" w:hAnsi="Arial" w:cs="Arial"/>
                <w:sz w:val="18"/>
                <w:szCs w:val="18"/>
              </w:rPr>
            </w:pPr>
          </w:p>
        </w:tc>
      </w:tr>
      <w:tr w:rsidR="008B0837" w:rsidRPr="003A176D" w14:paraId="41A2EC26" w14:textId="77777777" w:rsidTr="0029481C">
        <w:trPr>
          <w:cantSplit/>
          <w:trHeight w:hRule="exact" w:val="80"/>
        </w:trPr>
        <w:tc>
          <w:tcPr>
            <w:tcW w:w="4536" w:type="dxa"/>
            <w:vAlign w:val="bottom"/>
          </w:tcPr>
          <w:p w14:paraId="4472D90C" w14:textId="77777777" w:rsidR="008B0837" w:rsidRPr="003A176D" w:rsidRDefault="008B0837" w:rsidP="008B0837">
            <w:pPr>
              <w:rPr>
                <w:rFonts w:ascii="Arial" w:hAnsi="Arial" w:cs="Arial"/>
                <w:sz w:val="18"/>
                <w:szCs w:val="18"/>
              </w:rPr>
            </w:pPr>
          </w:p>
        </w:tc>
        <w:tc>
          <w:tcPr>
            <w:tcW w:w="284" w:type="dxa"/>
            <w:vAlign w:val="bottom"/>
          </w:tcPr>
          <w:p w14:paraId="04FD7176" w14:textId="77777777" w:rsidR="008B0837" w:rsidRPr="003A176D" w:rsidRDefault="008B0837" w:rsidP="008B0837">
            <w:pPr>
              <w:rPr>
                <w:rFonts w:ascii="Arial" w:hAnsi="Arial" w:cs="Arial"/>
                <w:sz w:val="18"/>
                <w:szCs w:val="18"/>
              </w:rPr>
            </w:pPr>
          </w:p>
        </w:tc>
        <w:tc>
          <w:tcPr>
            <w:tcW w:w="1134" w:type="dxa"/>
            <w:vAlign w:val="bottom"/>
          </w:tcPr>
          <w:p w14:paraId="09F67604" w14:textId="77777777" w:rsidR="008B0837" w:rsidRPr="003A176D" w:rsidRDefault="008B0837" w:rsidP="008B0837">
            <w:pPr>
              <w:pStyle w:val="CommentText"/>
              <w:tabs>
                <w:tab w:val="decimal" w:pos="960"/>
              </w:tabs>
              <w:rPr>
                <w:rFonts w:ascii="Arial" w:hAnsi="Arial" w:cs="Arial"/>
                <w:sz w:val="18"/>
                <w:szCs w:val="18"/>
              </w:rPr>
            </w:pPr>
          </w:p>
        </w:tc>
        <w:tc>
          <w:tcPr>
            <w:tcW w:w="283" w:type="dxa"/>
            <w:vAlign w:val="bottom"/>
          </w:tcPr>
          <w:p w14:paraId="4F1A2921" w14:textId="77777777" w:rsidR="008B0837" w:rsidRPr="003A176D" w:rsidRDefault="008B0837" w:rsidP="008B0837">
            <w:pPr>
              <w:rPr>
                <w:rFonts w:ascii="Arial" w:hAnsi="Arial" w:cs="Arial"/>
                <w:sz w:val="18"/>
                <w:szCs w:val="18"/>
              </w:rPr>
            </w:pPr>
          </w:p>
        </w:tc>
        <w:tc>
          <w:tcPr>
            <w:tcW w:w="1418" w:type="dxa"/>
            <w:vAlign w:val="bottom"/>
          </w:tcPr>
          <w:p w14:paraId="39A8C13D" w14:textId="77777777" w:rsidR="008B0837" w:rsidRPr="003A176D" w:rsidRDefault="008B0837" w:rsidP="008B0837">
            <w:pPr>
              <w:pStyle w:val="CommentText"/>
              <w:tabs>
                <w:tab w:val="decimal" w:pos="960"/>
              </w:tabs>
              <w:rPr>
                <w:rFonts w:ascii="Arial" w:hAnsi="Arial" w:cs="Arial"/>
                <w:sz w:val="18"/>
                <w:szCs w:val="18"/>
              </w:rPr>
            </w:pPr>
          </w:p>
        </w:tc>
        <w:tc>
          <w:tcPr>
            <w:tcW w:w="283" w:type="dxa"/>
            <w:vAlign w:val="bottom"/>
          </w:tcPr>
          <w:p w14:paraId="1A0A0A5E" w14:textId="77777777" w:rsidR="008B0837" w:rsidRPr="003A176D" w:rsidRDefault="008B0837" w:rsidP="008B0837">
            <w:pPr>
              <w:rPr>
                <w:rFonts w:ascii="Arial" w:hAnsi="Arial" w:cs="Arial"/>
                <w:sz w:val="18"/>
                <w:szCs w:val="18"/>
              </w:rPr>
            </w:pPr>
          </w:p>
        </w:tc>
        <w:tc>
          <w:tcPr>
            <w:tcW w:w="1310" w:type="dxa"/>
            <w:vAlign w:val="bottom"/>
          </w:tcPr>
          <w:p w14:paraId="0E3C7D63" w14:textId="77777777" w:rsidR="008B0837" w:rsidRPr="003A176D" w:rsidRDefault="008B0837" w:rsidP="008B0837">
            <w:pPr>
              <w:pStyle w:val="CommentText"/>
              <w:tabs>
                <w:tab w:val="decimal" w:pos="960"/>
              </w:tabs>
              <w:rPr>
                <w:rFonts w:ascii="Arial" w:hAnsi="Arial" w:cs="Arial"/>
                <w:sz w:val="18"/>
                <w:szCs w:val="18"/>
              </w:rPr>
            </w:pPr>
          </w:p>
        </w:tc>
      </w:tr>
      <w:tr w:rsidR="008B0837" w:rsidRPr="003A176D" w14:paraId="2F2E7EAD" w14:textId="77777777" w:rsidTr="00A64D71">
        <w:trPr>
          <w:cantSplit/>
          <w:trHeight w:hRule="exact" w:val="274"/>
        </w:trPr>
        <w:tc>
          <w:tcPr>
            <w:tcW w:w="4536" w:type="dxa"/>
            <w:vAlign w:val="bottom"/>
          </w:tcPr>
          <w:p w14:paraId="224A3597" w14:textId="18EAB3DC" w:rsidR="008B0837" w:rsidRPr="003A176D" w:rsidRDefault="008B0837" w:rsidP="008B0837">
            <w:pPr>
              <w:rPr>
                <w:rFonts w:ascii="Arial" w:hAnsi="Arial" w:cs="Arial"/>
                <w:bCs/>
                <w:sz w:val="18"/>
                <w:szCs w:val="18"/>
              </w:rPr>
            </w:pPr>
            <w:r w:rsidRPr="003A176D">
              <w:rPr>
                <w:rFonts w:ascii="Arial" w:hAnsi="Arial" w:cs="Arial"/>
                <w:bCs/>
                <w:sz w:val="18"/>
                <w:szCs w:val="18"/>
              </w:rPr>
              <w:t xml:space="preserve">Share Capital (note </w:t>
            </w:r>
            <w:r w:rsidR="008B32C5" w:rsidRPr="003A176D">
              <w:rPr>
                <w:rFonts w:ascii="Arial" w:hAnsi="Arial" w:cs="Arial"/>
                <w:bCs/>
                <w:sz w:val="18"/>
                <w:szCs w:val="18"/>
              </w:rPr>
              <w:t>7</w:t>
            </w:r>
            <w:r w:rsidRPr="003A176D">
              <w:rPr>
                <w:rFonts w:ascii="Arial" w:hAnsi="Arial" w:cs="Arial"/>
                <w:bCs/>
                <w:sz w:val="18"/>
                <w:szCs w:val="18"/>
              </w:rPr>
              <w:t>)</w:t>
            </w:r>
          </w:p>
        </w:tc>
        <w:tc>
          <w:tcPr>
            <w:tcW w:w="284" w:type="dxa"/>
            <w:vAlign w:val="bottom"/>
          </w:tcPr>
          <w:p w14:paraId="13F695C9" w14:textId="77777777" w:rsidR="008B0837" w:rsidRPr="003A176D" w:rsidRDefault="008B0837" w:rsidP="008B0837">
            <w:pPr>
              <w:rPr>
                <w:rFonts w:ascii="Arial" w:hAnsi="Arial" w:cs="Arial"/>
                <w:bCs/>
                <w:sz w:val="18"/>
                <w:szCs w:val="18"/>
              </w:rPr>
            </w:pPr>
          </w:p>
        </w:tc>
        <w:tc>
          <w:tcPr>
            <w:tcW w:w="1134" w:type="dxa"/>
            <w:vAlign w:val="bottom"/>
          </w:tcPr>
          <w:p w14:paraId="75DCEEC6" w14:textId="77777777" w:rsidR="008B0837" w:rsidRPr="003A176D" w:rsidRDefault="008B0837" w:rsidP="008B0837">
            <w:pPr>
              <w:pStyle w:val="CommentText"/>
              <w:tabs>
                <w:tab w:val="decimal" w:pos="960"/>
              </w:tabs>
              <w:rPr>
                <w:rFonts w:ascii="Arial" w:hAnsi="Arial" w:cs="Arial"/>
                <w:bCs/>
                <w:sz w:val="18"/>
                <w:szCs w:val="18"/>
              </w:rPr>
            </w:pPr>
          </w:p>
        </w:tc>
        <w:tc>
          <w:tcPr>
            <w:tcW w:w="283" w:type="dxa"/>
            <w:vAlign w:val="bottom"/>
          </w:tcPr>
          <w:p w14:paraId="37C108F5" w14:textId="43AE000E" w:rsidR="008B0837" w:rsidRPr="003A176D" w:rsidRDefault="008B0837" w:rsidP="008B0837">
            <w:pPr>
              <w:rPr>
                <w:rFonts w:ascii="Arial" w:hAnsi="Arial" w:cs="Arial"/>
                <w:bCs/>
                <w:sz w:val="18"/>
                <w:szCs w:val="18"/>
              </w:rPr>
            </w:pPr>
          </w:p>
        </w:tc>
        <w:tc>
          <w:tcPr>
            <w:tcW w:w="1418" w:type="dxa"/>
            <w:vAlign w:val="bottom"/>
          </w:tcPr>
          <w:p w14:paraId="03816F8E" w14:textId="47208174" w:rsidR="008B0837" w:rsidRPr="003A176D" w:rsidRDefault="003D05FB" w:rsidP="008B0837">
            <w:pPr>
              <w:pStyle w:val="CommentText"/>
              <w:tabs>
                <w:tab w:val="decimal" w:pos="960"/>
              </w:tabs>
              <w:rPr>
                <w:rFonts w:ascii="Arial" w:hAnsi="Arial" w:cs="Arial"/>
                <w:bCs/>
                <w:sz w:val="18"/>
                <w:szCs w:val="18"/>
              </w:rPr>
            </w:pPr>
            <w:r w:rsidRPr="003A176D">
              <w:rPr>
                <w:rFonts w:ascii="Arial" w:hAnsi="Arial" w:cs="Arial"/>
                <w:bCs/>
                <w:sz w:val="18"/>
                <w:szCs w:val="18"/>
              </w:rPr>
              <w:t>18,305,120</w:t>
            </w:r>
          </w:p>
        </w:tc>
        <w:tc>
          <w:tcPr>
            <w:tcW w:w="283" w:type="dxa"/>
            <w:vAlign w:val="bottom"/>
          </w:tcPr>
          <w:p w14:paraId="17A1582E" w14:textId="77777777" w:rsidR="008B0837" w:rsidRPr="003A176D" w:rsidRDefault="008B0837" w:rsidP="008B0837">
            <w:pPr>
              <w:rPr>
                <w:rFonts w:ascii="Arial" w:hAnsi="Arial" w:cs="Arial"/>
                <w:bCs/>
                <w:sz w:val="18"/>
                <w:szCs w:val="18"/>
              </w:rPr>
            </w:pPr>
          </w:p>
        </w:tc>
        <w:tc>
          <w:tcPr>
            <w:tcW w:w="1310" w:type="dxa"/>
            <w:vAlign w:val="bottom"/>
          </w:tcPr>
          <w:p w14:paraId="23C09C07" w14:textId="04FB749F" w:rsidR="008B0837" w:rsidRPr="003A176D" w:rsidRDefault="008B0837" w:rsidP="008B0837">
            <w:pPr>
              <w:pStyle w:val="CommentText"/>
              <w:tabs>
                <w:tab w:val="decimal" w:pos="960"/>
              </w:tabs>
              <w:rPr>
                <w:rFonts w:ascii="Arial" w:hAnsi="Arial" w:cs="Arial"/>
                <w:bCs/>
                <w:sz w:val="18"/>
                <w:szCs w:val="18"/>
              </w:rPr>
            </w:pPr>
            <w:r w:rsidRPr="003A176D">
              <w:rPr>
                <w:rFonts w:ascii="Arial" w:hAnsi="Arial" w:cs="Arial"/>
                <w:bCs/>
                <w:sz w:val="18"/>
                <w:szCs w:val="18"/>
              </w:rPr>
              <w:t>6,</w:t>
            </w:r>
            <w:r w:rsidR="000E21F8" w:rsidRPr="003A176D">
              <w:rPr>
                <w:rFonts w:ascii="Arial" w:hAnsi="Arial" w:cs="Arial"/>
                <w:bCs/>
                <w:sz w:val="18"/>
                <w:szCs w:val="18"/>
              </w:rPr>
              <w:t>172,515</w:t>
            </w:r>
          </w:p>
        </w:tc>
      </w:tr>
      <w:tr w:rsidR="008B0837" w:rsidRPr="003A176D" w14:paraId="3306B3F0" w14:textId="77777777" w:rsidTr="00A64D71">
        <w:trPr>
          <w:cantSplit/>
          <w:trHeight w:hRule="exact" w:val="274"/>
        </w:trPr>
        <w:tc>
          <w:tcPr>
            <w:tcW w:w="4536" w:type="dxa"/>
            <w:vAlign w:val="bottom"/>
          </w:tcPr>
          <w:p w14:paraId="7D0D04A4" w14:textId="73D08CF2" w:rsidR="008B0837" w:rsidRPr="003A176D" w:rsidRDefault="008B0837" w:rsidP="008B0837">
            <w:pPr>
              <w:rPr>
                <w:rFonts w:ascii="Arial" w:hAnsi="Arial" w:cs="Arial"/>
                <w:bCs/>
                <w:sz w:val="18"/>
                <w:szCs w:val="18"/>
              </w:rPr>
            </w:pPr>
            <w:r w:rsidRPr="003A176D">
              <w:rPr>
                <w:rFonts w:ascii="Arial" w:hAnsi="Arial" w:cs="Arial"/>
                <w:bCs/>
                <w:sz w:val="18"/>
                <w:szCs w:val="18"/>
              </w:rPr>
              <w:t>Share-based payment reserve (note</w:t>
            </w:r>
            <w:r w:rsidR="008B32C5" w:rsidRPr="003A176D">
              <w:rPr>
                <w:rFonts w:ascii="Arial" w:hAnsi="Arial" w:cs="Arial"/>
                <w:bCs/>
                <w:sz w:val="18"/>
                <w:szCs w:val="18"/>
              </w:rPr>
              <w:t xml:space="preserve"> 8</w:t>
            </w:r>
            <w:r w:rsidRPr="003A176D">
              <w:rPr>
                <w:rFonts w:ascii="Arial" w:hAnsi="Arial" w:cs="Arial"/>
                <w:bCs/>
                <w:sz w:val="18"/>
                <w:szCs w:val="18"/>
              </w:rPr>
              <w:t>)</w:t>
            </w:r>
          </w:p>
        </w:tc>
        <w:tc>
          <w:tcPr>
            <w:tcW w:w="284" w:type="dxa"/>
            <w:vAlign w:val="bottom"/>
          </w:tcPr>
          <w:p w14:paraId="7777EFF3" w14:textId="77777777" w:rsidR="008B0837" w:rsidRPr="003A176D" w:rsidRDefault="008B0837" w:rsidP="008B0837">
            <w:pPr>
              <w:rPr>
                <w:rFonts w:ascii="Arial" w:hAnsi="Arial" w:cs="Arial"/>
                <w:bCs/>
                <w:sz w:val="18"/>
                <w:szCs w:val="18"/>
              </w:rPr>
            </w:pPr>
          </w:p>
        </w:tc>
        <w:tc>
          <w:tcPr>
            <w:tcW w:w="1134" w:type="dxa"/>
            <w:vAlign w:val="bottom"/>
          </w:tcPr>
          <w:p w14:paraId="4F3D3E87" w14:textId="77777777" w:rsidR="008B0837" w:rsidRPr="003A176D" w:rsidRDefault="008B0837" w:rsidP="008B0837">
            <w:pPr>
              <w:pStyle w:val="CommentText"/>
              <w:tabs>
                <w:tab w:val="decimal" w:pos="960"/>
              </w:tabs>
              <w:rPr>
                <w:rFonts w:ascii="Arial" w:hAnsi="Arial" w:cs="Arial"/>
                <w:bCs/>
                <w:sz w:val="18"/>
                <w:szCs w:val="18"/>
              </w:rPr>
            </w:pPr>
          </w:p>
        </w:tc>
        <w:tc>
          <w:tcPr>
            <w:tcW w:w="283" w:type="dxa"/>
            <w:vAlign w:val="bottom"/>
          </w:tcPr>
          <w:p w14:paraId="7B94A79E" w14:textId="77777777" w:rsidR="008B0837" w:rsidRPr="003A176D" w:rsidRDefault="008B0837" w:rsidP="008B0837">
            <w:pPr>
              <w:rPr>
                <w:rFonts w:ascii="Arial" w:hAnsi="Arial" w:cs="Arial"/>
                <w:bCs/>
                <w:sz w:val="18"/>
                <w:szCs w:val="18"/>
              </w:rPr>
            </w:pPr>
          </w:p>
        </w:tc>
        <w:tc>
          <w:tcPr>
            <w:tcW w:w="1418" w:type="dxa"/>
            <w:vAlign w:val="bottom"/>
          </w:tcPr>
          <w:p w14:paraId="10EF4BCB" w14:textId="4EED7671" w:rsidR="008B0837" w:rsidRPr="003A176D" w:rsidRDefault="003D05FB" w:rsidP="008B0837">
            <w:pPr>
              <w:pStyle w:val="CommentText"/>
              <w:tabs>
                <w:tab w:val="decimal" w:pos="960"/>
              </w:tabs>
              <w:rPr>
                <w:rFonts w:ascii="Arial" w:hAnsi="Arial" w:cs="Arial"/>
                <w:bCs/>
                <w:sz w:val="18"/>
                <w:szCs w:val="18"/>
              </w:rPr>
            </w:pPr>
            <w:r w:rsidRPr="003A176D">
              <w:rPr>
                <w:rFonts w:ascii="Arial" w:hAnsi="Arial" w:cs="Arial"/>
                <w:bCs/>
                <w:sz w:val="18"/>
                <w:szCs w:val="18"/>
              </w:rPr>
              <w:t>1,369,374</w:t>
            </w:r>
          </w:p>
        </w:tc>
        <w:tc>
          <w:tcPr>
            <w:tcW w:w="283" w:type="dxa"/>
            <w:vAlign w:val="bottom"/>
          </w:tcPr>
          <w:p w14:paraId="473B53BB" w14:textId="77777777" w:rsidR="008B0837" w:rsidRPr="003A176D" w:rsidRDefault="008B0837" w:rsidP="008B0837">
            <w:pPr>
              <w:rPr>
                <w:rFonts w:ascii="Arial" w:hAnsi="Arial" w:cs="Arial"/>
                <w:bCs/>
                <w:sz w:val="18"/>
                <w:szCs w:val="18"/>
              </w:rPr>
            </w:pPr>
          </w:p>
        </w:tc>
        <w:tc>
          <w:tcPr>
            <w:tcW w:w="1310" w:type="dxa"/>
            <w:vAlign w:val="bottom"/>
          </w:tcPr>
          <w:p w14:paraId="4A08147C" w14:textId="5D3DEDAC" w:rsidR="008B0837" w:rsidRPr="003A176D" w:rsidRDefault="000E21F8" w:rsidP="008B0837">
            <w:pPr>
              <w:pStyle w:val="CommentText"/>
              <w:tabs>
                <w:tab w:val="decimal" w:pos="960"/>
              </w:tabs>
              <w:rPr>
                <w:rFonts w:ascii="Arial" w:hAnsi="Arial" w:cs="Arial"/>
                <w:bCs/>
                <w:sz w:val="18"/>
                <w:szCs w:val="18"/>
              </w:rPr>
            </w:pPr>
            <w:r w:rsidRPr="003A176D">
              <w:rPr>
                <w:rFonts w:ascii="Arial" w:hAnsi="Arial" w:cs="Arial"/>
                <w:bCs/>
                <w:sz w:val="18"/>
                <w:szCs w:val="18"/>
              </w:rPr>
              <w:t>1,118,953</w:t>
            </w:r>
          </w:p>
        </w:tc>
      </w:tr>
      <w:tr w:rsidR="002E16E1" w:rsidRPr="003A176D" w14:paraId="3C72B234" w14:textId="77777777" w:rsidTr="00A64D71">
        <w:trPr>
          <w:cantSplit/>
          <w:trHeight w:hRule="exact" w:val="274"/>
        </w:trPr>
        <w:tc>
          <w:tcPr>
            <w:tcW w:w="4536" w:type="dxa"/>
            <w:vAlign w:val="bottom"/>
          </w:tcPr>
          <w:p w14:paraId="70E79777" w14:textId="6868ABB3" w:rsidR="002E16E1" w:rsidRPr="003A176D" w:rsidRDefault="002E16E1" w:rsidP="008B0837">
            <w:pPr>
              <w:rPr>
                <w:rFonts w:ascii="Arial" w:hAnsi="Arial" w:cs="Arial"/>
                <w:bCs/>
                <w:sz w:val="18"/>
                <w:szCs w:val="18"/>
              </w:rPr>
            </w:pPr>
            <w:r w:rsidRPr="003A176D">
              <w:rPr>
                <w:rFonts w:ascii="Arial" w:hAnsi="Arial" w:cs="Arial"/>
                <w:bCs/>
                <w:sz w:val="18"/>
                <w:szCs w:val="18"/>
              </w:rPr>
              <w:t>Warrant Reserve (note 9)</w:t>
            </w:r>
          </w:p>
        </w:tc>
        <w:tc>
          <w:tcPr>
            <w:tcW w:w="284" w:type="dxa"/>
            <w:vAlign w:val="bottom"/>
          </w:tcPr>
          <w:p w14:paraId="7FAA9262" w14:textId="77777777" w:rsidR="002E16E1" w:rsidRPr="003A176D" w:rsidRDefault="002E16E1" w:rsidP="008B0837">
            <w:pPr>
              <w:rPr>
                <w:rFonts w:ascii="Arial" w:hAnsi="Arial" w:cs="Arial"/>
                <w:bCs/>
                <w:sz w:val="18"/>
                <w:szCs w:val="18"/>
              </w:rPr>
            </w:pPr>
          </w:p>
        </w:tc>
        <w:tc>
          <w:tcPr>
            <w:tcW w:w="1134" w:type="dxa"/>
            <w:vAlign w:val="bottom"/>
          </w:tcPr>
          <w:p w14:paraId="4DBEB801" w14:textId="77777777" w:rsidR="002E16E1" w:rsidRPr="003A176D" w:rsidRDefault="002E16E1" w:rsidP="008B0837">
            <w:pPr>
              <w:pStyle w:val="CommentText"/>
              <w:tabs>
                <w:tab w:val="decimal" w:pos="960"/>
              </w:tabs>
              <w:rPr>
                <w:rFonts w:ascii="Arial" w:hAnsi="Arial" w:cs="Arial"/>
                <w:bCs/>
                <w:sz w:val="18"/>
                <w:szCs w:val="18"/>
              </w:rPr>
            </w:pPr>
          </w:p>
        </w:tc>
        <w:tc>
          <w:tcPr>
            <w:tcW w:w="283" w:type="dxa"/>
            <w:vAlign w:val="bottom"/>
          </w:tcPr>
          <w:p w14:paraId="28A5E8B0" w14:textId="77777777" w:rsidR="002E16E1" w:rsidRPr="003A176D" w:rsidRDefault="002E16E1" w:rsidP="008B0837">
            <w:pPr>
              <w:rPr>
                <w:rFonts w:ascii="Arial" w:hAnsi="Arial" w:cs="Arial"/>
                <w:bCs/>
                <w:sz w:val="18"/>
                <w:szCs w:val="18"/>
              </w:rPr>
            </w:pPr>
          </w:p>
        </w:tc>
        <w:tc>
          <w:tcPr>
            <w:tcW w:w="1418" w:type="dxa"/>
            <w:vAlign w:val="bottom"/>
          </w:tcPr>
          <w:p w14:paraId="7FDC781B" w14:textId="1A7A57F7" w:rsidR="002E16E1" w:rsidRPr="003A176D" w:rsidRDefault="003D05FB" w:rsidP="008B0837">
            <w:pPr>
              <w:pStyle w:val="CommentText"/>
              <w:tabs>
                <w:tab w:val="decimal" w:pos="960"/>
              </w:tabs>
              <w:rPr>
                <w:rFonts w:ascii="Arial" w:hAnsi="Arial" w:cs="Arial"/>
                <w:bCs/>
                <w:sz w:val="18"/>
                <w:szCs w:val="18"/>
              </w:rPr>
            </w:pPr>
            <w:r w:rsidRPr="003A176D">
              <w:rPr>
                <w:rFonts w:ascii="Arial" w:hAnsi="Arial" w:cs="Arial"/>
                <w:bCs/>
                <w:sz w:val="18"/>
                <w:szCs w:val="18"/>
              </w:rPr>
              <w:t>388,637</w:t>
            </w:r>
          </w:p>
        </w:tc>
        <w:tc>
          <w:tcPr>
            <w:tcW w:w="283" w:type="dxa"/>
            <w:vAlign w:val="bottom"/>
          </w:tcPr>
          <w:p w14:paraId="47F8B1A6" w14:textId="77777777" w:rsidR="002E16E1" w:rsidRPr="003A176D" w:rsidRDefault="002E16E1" w:rsidP="008B0837">
            <w:pPr>
              <w:rPr>
                <w:rFonts w:ascii="Arial" w:hAnsi="Arial" w:cs="Arial"/>
                <w:bCs/>
                <w:sz w:val="18"/>
                <w:szCs w:val="18"/>
              </w:rPr>
            </w:pPr>
          </w:p>
        </w:tc>
        <w:tc>
          <w:tcPr>
            <w:tcW w:w="1310" w:type="dxa"/>
            <w:vAlign w:val="bottom"/>
          </w:tcPr>
          <w:p w14:paraId="2AC4014D" w14:textId="77777777" w:rsidR="002E16E1" w:rsidRPr="003A176D" w:rsidRDefault="002E16E1" w:rsidP="008B0837">
            <w:pPr>
              <w:pStyle w:val="CommentText"/>
              <w:tabs>
                <w:tab w:val="decimal" w:pos="960"/>
              </w:tabs>
              <w:rPr>
                <w:rFonts w:ascii="Arial" w:hAnsi="Arial" w:cs="Arial"/>
                <w:bCs/>
                <w:sz w:val="18"/>
                <w:szCs w:val="18"/>
              </w:rPr>
            </w:pPr>
          </w:p>
        </w:tc>
      </w:tr>
      <w:tr w:rsidR="008B0837" w:rsidRPr="003A176D" w14:paraId="300D5F88" w14:textId="77777777" w:rsidTr="00A64D71">
        <w:trPr>
          <w:cantSplit/>
          <w:trHeight w:hRule="exact" w:val="274"/>
        </w:trPr>
        <w:tc>
          <w:tcPr>
            <w:tcW w:w="4536" w:type="dxa"/>
            <w:vAlign w:val="bottom"/>
          </w:tcPr>
          <w:p w14:paraId="012857F4" w14:textId="63DCFE96" w:rsidR="008B0837" w:rsidRPr="003A176D" w:rsidRDefault="008B0837" w:rsidP="008B0837">
            <w:pPr>
              <w:rPr>
                <w:rFonts w:ascii="Arial" w:hAnsi="Arial" w:cs="Arial"/>
                <w:bCs/>
                <w:sz w:val="18"/>
                <w:szCs w:val="18"/>
              </w:rPr>
            </w:pPr>
            <w:r w:rsidRPr="003A176D">
              <w:rPr>
                <w:rFonts w:ascii="Arial" w:hAnsi="Arial" w:cs="Arial"/>
                <w:bCs/>
                <w:sz w:val="18"/>
                <w:szCs w:val="18"/>
              </w:rPr>
              <w:t>Accumulated other comprehensive loss</w:t>
            </w:r>
          </w:p>
        </w:tc>
        <w:tc>
          <w:tcPr>
            <w:tcW w:w="284" w:type="dxa"/>
            <w:vAlign w:val="bottom"/>
          </w:tcPr>
          <w:p w14:paraId="03C2DE72" w14:textId="77777777" w:rsidR="008B0837" w:rsidRPr="003A176D" w:rsidRDefault="008B0837" w:rsidP="008B0837">
            <w:pPr>
              <w:rPr>
                <w:rFonts w:ascii="Arial" w:hAnsi="Arial" w:cs="Arial"/>
                <w:bCs/>
                <w:sz w:val="18"/>
                <w:szCs w:val="18"/>
              </w:rPr>
            </w:pPr>
          </w:p>
        </w:tc>
        <w:tc>
          <w:tcPr>
            <w:tcW w:w="1134" w:type="dxa"/>
            <w:vAlign w:val="bottom"/>
          </w:tcPr>
          <w:p w14:paraId="65DC74BC" w14:textId="77777777" w:rsidR="008B0837" w:rsidRPr="003A176D" w:rsidRDefault="008B0837" w:rsidP="008B0837">
            <w:pPr>
              <w:pStyle w:val="CommentText"/>
              <w:tabs>
                <w:tab w:val="decimal" w:pos="960"/>
              </w:tabs>
              <w:rPr>
                <w:rFonts w:ascii="Arial" w:hAnsi="Arial" w:cs="Arial"/>
                <w:bCs/>
                <w:sz w:val="18"/>
                <w:szCs w:val="18"/>
              </w:rPr>
            </w:pPr>
          </w:p>
        </w:tc>
        <w:tc>
          <w:tcPr>
            <w:tcW w:w="283" w:type="dxa"/>
            <w:vAlign w:val="bottom"/>
          </w:tcPr>
          <w:p w14:paraId="557733E9" w14:textId="77777777" w:rsidR="008B0837" w:rsidRPr="003A176D" w:rsidRDefault="008B0837" w:rsidP="008B0837">
            <w:pPr>
              <w:rPr>
                <w:rFonts w:ascii="Arial" w:hAnsi="Arial" w:cs="Arial"/>
                <w:bCs/>
                <w:sz w:val="18"/>
                <w:szCs w:val="18"/>
              </w:rPr>
            </w:pPr>
          </w:p>
        </w:tc>
        <w:tc>
          <w:tcPr>
            <w:tcW w:w="1418" w:type="dxa"/>
            <w:vAlign w:val="bottom"/>
          </w:tcPr>
          <w:p w14:paraId="590F438A" w14:textId="19025E24" w:rsidR="008B0837" w:rsidRPr="003A176D" w:rsidRDefault="003D05FB" w:rsidP="008B0837">
            <w:pPr>
              <w:pStyle w:val="CommentText"/>
              <w:tabs>
                <w:tab w:val="decimal" w:pos="960"/>
              </w:tabs>
              <w:rPr>
                <w:rFonts w:ascii="Arial" w:hAnsi="Arial" w:cs="Arial"/>
                <w:bCs/>
                <w:sz w:val="18"/>
                <w:szCs w:val="18"/>
              </w:rPr>
            </w:pPr>
            <w:r w:rsidRPr="003A176D">
              <w:rPr>
                <w:rFonts w:ascii="Arial" w:hAnsi="Arial" w:cs="Arial"/>
                <w:bCs/>
                <w:sz w:val="18"/>
                <w:szCs w:val="18"/>
              </w:rPr>
              <w:t>1,87</w:t>
            </w:r>
            <w:r w:rsidR="000B5EA6" w:rsidRPr="003A176D">
              <w:rPr>
                <w:rFonts w:ascii="Arial" w:hAnsi="Arial" w:cs="Arial"/>
                <w:bCs/>
                <w:sz w:val="18"/>
                <w:szCs w:val="18"/>
              </w:rPr>
              <w:t>1</w:t>
            </w:r>
          </w:p>
        </w:tc>
        <w:tc>
          <w:tcPr>
            <w:tcW w:w="283" w:type="dxa"/>
            <w:vAlign w:val="bottom"/>
          </w:tcPr>
          <w:p w14:paraId="399EF36E" w14:textId="77777777" w:rsidR="008B0837" w:rsidRPr="003A176D" w:rsidRDefault="008B0837" w:rsidP="008B0837">
            <w:pPr>
              <w:rPr>
                <w:rFonts w:ascii="Arial" w:hAnsi="Arial" w:cs="Arial"/>
                <w:bCs/>
                <w:sz w:val="18"/>
                <w:szCs w:val="18"/>
              </w:rPr>
            </w:pPr>
          </w:p>
        </w:tc>
        <w:tc>
          <w:tcPr>
            <w:tcW w:w="1310" w:type="dxa"/>
            <w:vAlign w:val="bottom"/>
          </w:tcPr>
          <w:p w14:paraId="21ED84D3" w14:textId="72251482" w:rsidR="008B0837" w:rsidRPr="003A176D" w:rsidRDefault="000E21F8" w:rsidP="008B0837">
            <w:pPr>
              <w:pStyle w:val="CommentText"/>
              <w:tabs>
                <w:tab w:val="decimal" w:pos="960"/>
              </w:tabs>
              <w:rPr>
                <w:rFonts w:ascii="Arial" w:hAnsi="Arial" w:cs="Arial"/>
                <w:bCs/>
                <w:sz w:val="18"/>
                <w:szCs w:val="18"/>
              </w:rPr>
            </w:pPr>
            <w:r w:rsidRPr="003A176D">
              <w:rPr>
                <w:rFonts w:ascii="Arial" w:hAnsi="Arial" w:cs="Arial"/>
                <w:bCs/>
                <w:sz w:val="18"/>
                <w:szCs w:val="18"/>
              </w:rPr>
              <w:t>(460)</w:t>
            </w:r>
          </w:p>
        </w:tc>
      </w:tr>
      <w:tr w:rsidR="008B0837" w:rsidRPr="003A176D" w14:paraId="20796F3B" w14:textId="77777777" w:rsidTr="00A64D71">
        <w:trPr>
          <w:cantSplit/>
          <w:trHeight w:hRule="exact" w:val="315"/>
        </w:trPr>
        <w:tc>
          <w:tcPr>
            <w:tcW w:w="4536" w:type="dxa"/>
            <w:tcBorders>
              <w:bottom w:val="single" w:sz="4" w:space="0" w:color="auto"/>
            </w:tcBorders>
            <w:vAlign w:val="bottom"/>
          </w:tcPr>
          <w:p w14:paraId="25BE8D4A" w14:textId="77777777" w:rsidR="008B0837" w:rsidRPr="003A176D" w:rsidRDefault="008B0837" w:rsidP="008B0837">
            <w:pPr>
              <w:rPr>
                <w:rFonts w:ascii="Arial" w:hAnsi="Arial" w:cs="Arial"/>
                <w:bCs/>
                <w:sz w:val="18"/>
                <w:szCs w:val="18"/>
              </w:rPr>
            </w:pPr>
            <w:r w:rsidRPr="003A176D">
              <w:rPr>
                <w:rFonts w:ascii="Arial" w:hAnsi="Arial" w:cs="Arial"/>
                <w:bCs/>
                <w:sz w:val="18"/>
                <w:szCs w:val="18"/>
              </w:rPr>
              <w:t>Deficit</w:t>
            </w:r>
          </w:p>
        </w:tc>
        <w:tc>
          <w:tcPr>
            <w:tcW w:w="284" w:type="dxa"/>
            <w:tcBorders>
              <w:bottom w:val="single" w:sz="4" w:space="0" w:color="auto"/>
            </w:tcBorders>
            <w:vAlign w:val="bottom"/>
          </w:tcPr>
          <w:p w14:paraId="1A3F0C94" w14:textId="77777777" w:rsidR="008B0837" w:rsidRPr="003A176D" w:rsidRDefault="008B0837" w:rsidP="008B0837">
            <w:pPr>
              <w:rPr>
                <w:rFonts w:ascii="Arial" w:hAnsi="Arial" w:cs="Arial"/>
                <w:bCs/>
                <w:sz w:val="18"/>
                <w:szCs w:val="18"/>
              </w:rPr>
            </w:pPr>
          </w:p>
        </w:tc>
        <w:tc>
          <w:tcPr>
            <w:tcW w:w="1134" w:type="dxa"/>
            <w:tcBorders>
              <w:bottom w:val="single" w:sz="4" w:space="0" w:color="auto"/>
            </w:tcBorders>
            <w:vAlign w:val="bottom"/>
          </w:tcPr>
          <w:p w14:paraId="7FD2422F" w14:textId="77777777" w:rsidR="008B0837" w:rsidRPr="003A176D" w:rsidRDefault="008B0837" w:rsidP="008B0837">
            <w:pPr>
              <w:pStyle w:val="CommentText"/>
              <w:tabs>
                <w:tab w:val="decimal" w:pos="960"/>
              </w:tabs>
              <w:rPr>
                <w:rFonts w:ascii="Arial" w:hAnsi="Arial" w:cs="Arial"/>
                <w:bCs/>
                <w:sz w:val="18"/>
                <w:szCs w:val="18"/>
              </w:rPr>
            </w:pPr>
          </w:p>
        </w:tc>
        <w:tc>
          <w:tcPr>
            <w:tcW w:w="283" w:type="dxa"/>
            <w:tcBorders>
              <w:bottom w:val="single" w:sz="4" w:space="0" w:color="auto"/>
            </w:tcBorders>
            <w:vAlign w:val="bottom"/>
          </w:tcPr>
          <w:p w14:paraId="4041FCA9" w14:textId="77777777" w:rsidR="008B0837" w:rsidRPr="003A176D" w:rsidRDefault="008B0837" w:rsidP="008B0837">
            <w:pPr>
              <w:rPr>
                <w:rFonts w:ascii="Arial" w:hAnsi="Arial" w:cs="Arial"/>
                <w:bCs/>
                <w:sz w:val="18"/>
                <w:szCs w:val="18"/>
              </w:rPr>
            </w:pPr>
          </w:p>
        </w:tc>
        <w:tc>
          <w:tcPr>
            <w:tcW w:w="1418" w:type="dxa"/>
            <w:tcBorders>
              <w:bottom w:val="single" w:sz="4" w:space="0" w:color="auto"/>
            </w:tcBorders>
            <w:vAlign w:val="bottom"/>
          </w:tcPr>
          <w:p w14:paraId="3E86B556" w14:textId="4B17BF47" w:rsidR="008B0837" w:rsidRPr="003A176D" w:rsidRDefault="008B0837" w:rsidP="008B0837">
            <w:pPr>
              <w:pStyle w:val="CommentText"/>
              <w:tabs>
                <w:tab w:val="decimal" w:pos="960"/>
              </w:tabs>
              <w:rPr>
                <w:rFonts w:ascii="Arial" w:hAnsi="Arial" w:cs="Arial"/>
                <w:bCs/>
                <w:sz w:val="18"/>
                <w:szCs w:val="18"/>
              </w:rPr>
            </w:pPr>
            <w:r w:rsidRPr="003A176D">
              <w:rPr>
                <w:rFonts w:ascii="Arial" w:hAnsi="Arial" w:cs="Arial"/>
                <w:bCs/>
                <w:sz w:val="18"/>
                <w:szCs w:val="18"/>
              </w:rPr>
              <w:t>(</w:t>
            </w:r>
            <w:r w:rsidR="003D05FB" w:rsidRPr="003A176D">
              <w:rPr>
                <w:rFonts w:ascii="Arial" w:hAnsi="Arial" w:cs="Arial"/>
                <w:bCs/>
                <w:sz w:val="18"/>
                <w:szCs w:val="18"/>
              </w:rPr>
              <w:t>15,</w:t>
            </w:r>
            <w:r w:rsidR="00ED6513" w:rsidRPr="003A176D">
              <w:rPr>
                <w:rFonts w:ascii="Arial" w:hAnsi="Arial" w:cs="Arial"/>
                <w:bCs/>
                <w:sz w:val="18"/>
                <w:szCs w:val="18"/>
              </w:rPr>
              <w:t>506,529</w:t>
            </w:r>
            <w:r w:rsidRPr="003A176D">
              <w:rPr>
                <w:rFonts w:ascii="Arial" w:hAnsi="Arial" w:cs="Arial"/>
                <w:bCs/>
                <w:sz w:val="18"/>
                <w:szCs w:val="18"/>
              </w:rPr>
              <w:t>)</w:t>
            </w:r>
          </w:p>
        </w:tc>
        <w:tc>
          <w:tcPr>
            <w:tcW w:w="283" w:type="dxa"/>
            <w:tcBorders>
              <w:bottom w:val="single" w:sz="4" w:space="0" w:color="auto"/>
            </w:tcBorders>
            <w:vAlign w:val="bottom"/>
          </w:tcPr>
          <w:p w14:paraId="50E78B31" w14:textId="77777777" w:rsidR="008B0837" w:rsidRPr="003A176D" w:rsidRDefault="008B0837" w:rsidP="008B0837">
            <w:pPr>
              <w:rPr>
                <w:rFonts w:ascii="Arial" w:hAnsi="Arial" w:cs="Arial"/>
                <w:bCs/>
                <w:sz w:val="18"/>
                <w:szCs w:val="18"/>
              </w:rPr>
            </w:pPr>
          </w:p>
        </w:tc>
        <w:tc>
          <w:tcPr>
            <w:tcW w:w="1310" w:type="dxa"/>
            <w:tcBorders>
              <w:bottom w:val="single" w:sz="4" w:space="0" w:color="auto"/>
            </w:tcBorders>
            <w:vAlign w:val="bottom"/>
          </w:tcPr>
          <w:p w14:paraId="5DD3C6AB" w14:textId="7BE1F8A9" w:rsidR="008B0837" w:rsidRPr="003A176D" w:rsidRDefault="008B0837" w:rsidP="008B0837">
            <w:pPr>
              <w:pStyle w:val="CommentText"/>
              <w:tabs>
                <w:tab w:val="decimal" w:pos="960"/>
              </w:tabs>
              <w:rPr>
                <w:rFonts w:ascii="Arial" w:hAnsi="Arial" w:cs="Arial"/>
                <w:bCs/>
                <w:sz w:val="18"/>
                <w:szCs w:val="18"/>
              </w:rPr>
            </w:pPr>
            <w:r w:rsidRPr="003A176D">
              <w:rPr>
                <w:rFonts w:ascii="Arial" w:hAnsi="Arial" w:cs="Arial"/>
                <w:bCs/>
                <w:sz w:val="18"/>
                <w:szCs w:val="18"/>
              </w:rPr>
              <w:t>(</w:t>
            </w:r>
            <w:r w:rsidR="000E21F8" w:rsidRPr="003A176D">
              <w:rPr>
                <w:rFonts w:ascii="Arial" w:hAnsi="Arial" w:cs="Arial"/>
                <w:bCs/>
                <w:sz w:val="18"/>
                <w:szCs w:val="18"/>
              </w:rPr>
              <w:t>6,759,823</w:t>
            </w:r>
            <w:r w:rsidRPr="003A176D">
              <w:rPr>
                <w:rFonts w:ascii="Arial" w:hAnsi="Arial" w:cs="Arial"/>
                <w:bCs/>
                <w:sz w:val="18"/>
                <w:szCs w:val="18"/>
              </w:rPr>
              <w:t>)</w:t>
            </w:r>
          </w:p>
        </w:tc>
      </w:tr>
      <w:tr w:rsidR="008B0837" w:rsidRPr="003A176D" w14:paraId="56539F19" w14:textId="77777777" w:rsidTr="00A64D71">
        <w:trPr>
          <w:cantSplit/>
          <w:trHeight w:hRule="exact" w:val="274"/>
        </w:trPr>
        <w:tc>
          <w:tcPr>
            <w:tcW w:w="4536" w:type="dxa"/>
            <w:tcBorders>
              <w:bottom w:val="single" w:sz="4" w:space="0" w:color="auto"/>
            </w:tcBorders>
            <w:vAlign w:val="bottom"/>
          </w:tcPr>
          <w:p w14:paraId="635D5E53" w14:textId="77777777" w:rsidR="008B0837" w:rsidRPr="003A176D" w:rsidRDefault="008B0837" w:rsidP="008B0837">
            <w:pPr>
              <w:rPr>
                <w:rFonts w:ascii="Arial" w:hAnsi="Arial" w:cs="Arial"/>
                <w:sz w:val="18"/>
                <w:szCs w:val="18"/>
              </w:rPr>
            </w:pPr>
            <w:r w:rsidRPr="003A176D">
              <w:rPr>
                <w:rFonts w:ascii="Arial" w:hAnsi="Arial" w:cs="Arial"/>
                <w:b/>
                <w:sz w:val="18"/>
                <w:szCs w:val="18"/>
              </w:rPr>
              <w:t xml:space="preserve"> Total Shareholders’ Equity</w:t>
            </w:r>
          </w:p>
        </w:tc>
        <w:tc>
          <w:tcPr>
            <w:tcW w:w="284" w:type="dxa"/>
            <w:tcBorders>
              <w:bottom w:val="single" w:sz="4" w:space="0" w:color="auto"/>
            </w:tcBorders>
            <w:vAlign w:val="bottom"/>
          </w:tcPr>
          <w:p w14:paraId="0FF89276" w14:textId="77777777" w:rsidR="008B0837" w:rsidRPr="003A176D" w:rsidRDefault="008B0837" w:rsidP="008B0837">
            <w:pPr>
              <w:rPr>
                <w:rFonts w:ascii="Arial" w:hAnsi="Arial" w:cs="Arial"/>
                <w:sz w:val="18"/>
                <w:szCs w:val="18"/>
              </w:rPr>
            </w:pPr>
          </w:p>
        </w:tc>
        <w:tc>
          <w:tcPr>
            <w:tcW w:w="1134" w:type="dxa"/>
            <w:tcBorders>
              <w:bottom w:val="single" w:sz="4" w:space="0" w:color="auto"/>
            </w:tcBorders>
            <w:vAlign w:val="bottom"/>
          </w:tcPr>
          <w:p w14:paraId="4E177974" w14:textId="77777777" w:rsidR="008B0837" w:rsidRPr="003A176D" w:rsidRDefault="008B0837" w:rsidP="008B0837">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759B4701" w14:textId="77777777" w:rsidR="008B0837" w:rsidRPr="003A176D" w:rsidRDefault="008B0837" w:rsidP="008B0837">
            <w:pPr>
              <w:rPr>
                <w:rFonts w:ascii="Arial" w:hAnsi="Arial" w:cs="Arial"/>
                <w:sz w:val="18"/>
                <w:szCs w:val="18"/>
              </w:rPr>
            </w:pPr>
          </w:p>
        </w:tc>
        <w:tc>
          <w:tcPr>
            <w:tcW w:w="1418" w:type="dxa"/>
            <w:tcBorders>
              <w:bottom w:val="single" w:sz="4" w:space="0" w:color="auto"/>
            </w:tcBorders>
            <w:vAlign w:val="bottom"/>
          </w:tcPr>
          <w:p w14:paraId="60FFF8D5" w14:textId="31DFB616" w:rsidR="008B0837" w:rsidRPr="003A176D" w:rsidRDefault="008B0837" w:rsidP="008B0837">
            <w:pPr>
              <w:pStyle w:val="CommentText"/>
              <w:tabs>
                <w:tab w:val="decimal" w:pos="960"/>
              </w:tabs>
              <w:rPr>
                <w:rFonts w:ascii="Arial" w:hAnsi="Arial" w:cs="Arial"/>
                <w:b/>
                <w:bCs/>
                <w:sz w:val="18"/>
                <w:szCs w:val="18"/>
              </w:rPr>
            </w:pPr>
            <w:r w:rsidRPr="003A176D">
              <w:rPr>
                <w:rFonts w:ascii="Arial" w:hAnsi="Arial" w:cs="Arial"/>
                <w:b/>
                <w:bCs/>
                <w:sz w:val="18"/>
                <w:szCs w:val="18"/>
              </w:rPr>
              <w:t>4,</w:t>
            </w:r>
            <w:r w:rsidR="00ED6513" w:rsidRPr="003A176D">
              <w:rPr>
                <w:rFonts w:ascii="Arial" w:hAnsi="Arial" w:cs="Arial"/>
                <w:b/>
                <w:bCs/>
                <w:sz w:val="18"/>
                <w:szCs w:val="18"/>
              </w:rPr>
              <w:t>558,473</w:t>
            </w:r>
          </w:p>
        </w:tc>
        <w:tc>
          <w:tcPr>
            <w:tcW w:w="283" w:type="dxa"/>
            <w:tcBorders>
              <w:bottom w:val="single" w:sz="4" w:space="0" w:color="auto"/>
            </w:tcBorders>
            <w:vAlign w:val="bottom"/>
          </w:tcPr>
          <w:p w14:paraId="56F9ECCD" w14:textId="77777777" w:rsidR="008B0837" w:rsidRPr="003A176D" w:rsidRDefault="008B0837" w:rsidP="008B0837">
            <w:pPr>
              <w:rPr>
                <w:rFonts w:ascii="Arial" w:hAnsi="Arial" w:cs="Arial"/>
                <w:sz w:val="18"/>
                <w:szCs w:val="18"/>
              </w:rPr>
            </w:pPr>
          </w:p>
        </w:tc>
        <w:tc>
          <w:tcPr>
            <w:tcW w:w="1310" w:type="dxa"/>
            <w:tcBorders>
              <w:bottom w:val="single" w:sz="4" w:space="0" w:color="auto"/>
            </w:tcBorders>
            <w:vAlign w:val="bottom"/>
          </w:tcPr>
          <w:p w14:paraId="4CFE641E" w14:textId="49929F4D" w:rsidR="008B0837" w:rsidRPr="003A176D" w:rsidRDefault="000E21F8" w:rsidP="008B0837">
            <w:pPr>
              <w:pStyle w:val="CommentText"/>
              <w:tabs>
                <w:tab w:val="decimal" w:pos="960"/>
              </w:tabs>
              <w:rPr>
                <w:rFonts w:ascii="Arial" w:hAnsi="Arial" w:cs="Arial"/>
                <w:b/>
                <w:bCs/>
                <w:sz w:val="18"/>
                <w:szCs w:val="18"/>
              </w:rPr>
            </w:pPr>
            <w:r w:rsidRPr="003A176D">
              <w:rPr>
                <w:rFonts w:ascii="Arial" w:hAnsi="Arial" w:cs="Arial"/>
                <w:b/>
                <w:bCs/>
                <w:sz w:val="18"/>
                <w:szCs w:val="18"/>
              </w:rPr>
              <w:t>531,185</w:t>
            </w:r>
          </w:p>
        </w:tc>
      </w:tr>
      <w:tr w:rsidR="008B0837" w:rsidRPr="003A176D" w14:paraId="7113803B" w14:textId="77777777" w:rsidTr="00205A92">
        <w:trPr>
          <w:cantSplit/>
          <w:trHeight w:hRule="exact" w:val="274"/>
        </w:trPr>
        <w:tc>
          <w:tcPr>
            <w:tcW w:w="4536" w:type="dxa"/>
            <w:tcBorders>
              <w:top w:val="single" w:sz="4" w:space="0" w:color="auto"/>
              <w:bottom w:val="double" w:sz="4" w:space="0" w:color="auto"/>
            </w:tcBorders>
            <w:vAlign w:val="bottom"/>
          </w:tcPr>
          <w:p w14:paraId="610B77DE" w14:textId="77777777" w:rsidR="008B0837" w:rsidRPr="003A176D" w:rsidRDefault="008B0837" w:rsidP="008B0837">
            <w:pPr>
              <w:rPr>
                <w:rFonts w:ascii="Arial" w:hAnsi="Arial" w:cs="Arial"/>
                <w:sz w:val="18"/>
                <w:szCs w:val="18"/>
              </w:rPr>
            </w:pPr>
            <w:r w:rsidRPr="003A176D">
              <w:rPr>
                <w:rFonts w:ascii="Arial" w:hAnsi="Arial" w:cs="Arial"/>
                <w:b/>
                <w:sz w:val="18"/>
                <w:szCs w:val="18"/>
              </w:rPr>
              <w:t>Total Liabilities and Shareholders’ Equity</w:t>
            </w:r>
          </w:p>
        </w:tc>
        <w:tc>
          <w:tcPr>
            <w:tcW w:w="284" w:type="dxa"/>
            <w:tcBorders>
              <w:top w:val="single" w:sz="4" w:space="0" w:color="auto"/>
              <w:bottom w:val="double" w:sz="4" w:space="0" w:color="auto"/>
            </w:tcBorders>
            <w:vAlign w:val="bottom"/>
          </w:tcPr>
          <w:p w14:paraId="10026E2C" w14:textId="77777777" w:rsidR="008B0837" w:rsidRPr="003A176D" w:rsidRDefault="008B0837" w:rsidP="008B0837">
            <w:pPr>
              <w:rPr>
                <w:rFonts w:ascii="Arial" w:hAnsi="Arial" w:cs="Arial"/>
                <w:sz w:val="18"/>
                <w:szCs w:val="18"/>
              </w:rPr>
            </w:pPr>
          </w:p>
        </w:tc>
        <w:tc>
          <w:tcPr>
            <w:tcW w:w="1134" w:type="dxa"/>
            <w:tcBorders>
              <w:top w:val="single" w:sz="4" w:space="0" w:color="auto"/>
              <w:bottom w:val="double" w:sz="4" w:space="0" w:color="auto"/>
            </w:tcBorders>
            <w:vAlign w:val="bottom"/>
          </w:tcPr>
          <w:p w14:paraId="48493E63" w14:textId="77777777" w:rsidR="008B0837" w:rsidRPr="003A176D" w:rsidRDefault="008B0837" w:rsidP="008B0837">
            <w:pPr>
              <w:pStyle w:val="CommentText"/>
              <w:tabs>
                <w:tab w:val="decimal" w:pos="960"/>
              </w:tabs>
              <w:rPr>
                <w:rFonts w:ascii="Arial" w:hAnsi="Arial" w:cs="Arial"/>
                <w:sz w:val="18"/>
                <w:szCs w:val="18"/>
              </w:rPr>
            </w:pPr>
          </w:p>
        </w:tc>
        <w:tc>
          <w:tcPr>
            <w:tcW w:w="283" w:type="dxa"/>
            <w:tcBorders>
              <w:top w:val="single" w:sz="4" w:space="0" w:color="auto"/>
              <w:bottom w:val="double" w:sz="4" w:space="0" w:color="auto"/>
            </w:tcBorders>
            <w:vAlign w:val="bottom"/>
          </w:tcPr>
          <w:p w14:paraId="3CEB42D8" w14:textId="77777777" w:rsidR="008B0837" w:rsidRPr="003A176D" w:rsidRDefault="008B0837" w:rsidP="008B0837">
            <w:pPr>
              <w:rPr>
                <w:rFonts w:ascii="Arial" w:hAnsi="Arial" w:cs="Arial"/>
                <w:sz w:val="18"/>
                <w:szCs w:val="18"/>
              </w:rPr>
            </w:pPr>
            <w:r w:rsidRPr="003A176D">
              <w:rPr>
                <w:rFonts w:ascii="Arial" w:hAnsi="Arial" w:cs="Arial"/>
                <w:sz w:val="18"/>
                <w:szCs w:val="18"/>
              </w:rPr>
              <w:t>$</w:t>
            </w:r>
          </w:p>
        </w:tc>
        <w:tc>
          <w:tcPr>
            <w:tcW w:w="1418" w:type="dxa"/>
            <w:tcBorders>
              <w:top w:val="single" w:sz="4" w:space="0" w:color="auto"/>
              <w:bottom w:val="double" w:sz="4" w:space="0" w:color="auto"/>
            </w:tcBorders>
            <w:vAlign w:val="bottom"/>
          </w:tcPr>
          <w:p w14:paraId="28701B02" w14:textId="2B6D1D72" w:rsidR="008B0837" w:rsidRPr="003A176D" w:rsidRDefault="009D0EE3" w:rsidP="008B0837">
            <w:pPr>
              <w:pStyle w:val="CommentText"/>
              <w:tabs>
                <w:tab w:val="decimal" w:pos="960"/>
              </w:tabs>
              <w:rPr>
                <w:rFonts w:ascii="Arial" w:hAnsi="Arial" w:cs="Arial"/>
                <w:b/>
                <w:bCs/>
                <w:sz w:val="18"/>
                <w:szCs w:val="18"/>
              </w:rPr>
            </w:pPr>
            <w:r w:rsidRPr="003A176D">
              <w:rPr>
                <w:rFonts w:ascii="Arial" w:hAnsi="Arial" w:cs="Arial"/>
                <w:b/>
                <w:sz w:val="18"/>
                <w:szCs w:val="18"/>
              </w:rPr>
              <w:t>5,</w:t>
            </w:r>
            <w:r w:rsidR="00ED6513" w:rsidRPr="003A176D">
              <w:rPr>
                <w:rFonts w:ascii="Arial" w:hAnsi="Arial" w:cs="Arial"/>
                <w:b/>
                <w:sz w:val="18"/>
                <w:szCs w:val="18"/>
              </w:rPr>
              <w:t>423,314</w:t>
            </w:r>
          </w:p>
        </w:tc>
        <w:tc>
          <w:tcPr>
            <w:tcW w:w="283" w:type="dxa"/>
            <w:tcBorders>
              <w:top w:val="single" w:sz="4" w:space="0" w:color="auto"/>
              <w:bottom w:val="double" w:sz="4" w:space="0" w:color="auto"/>
            </w:tcBorders>
            <w:vAlign w:val="bottom"/>
          </w:tcPr>
          <w:p w14:paraId="6FC8DA97" w14:textId="3F1312D4" w:rsidR="008B0837" w:rsidRPr="003A176D" w:rsidRDefault="008B0837" w:rsidP="008B0837">
            <w:pPr>
              <w:rPr>
                <w:rFonts w:ascii="Arial" w:hAnsi="Arial" w:cs="Arial"/>
                <w:sz w:val="18"/>
                <w:szCs w:val="18"/>
              </w:rPr>
            </w:pPr>
            <w:r w:rsidRPr="003A176D">
              <w:rPr>
                <w:rFonts w:ascii="Arial" w:hAnsi="Arial" w:cs="Arial"/>
                <w:sz w:val="18"/>
                <w:szCs w:val="18"/>
              </w:rPr>
              <w:t>$</w:t>
            </w:r>
          </w:p>
        </w:tc>
        <w:tc>
          <w:tcPr>
            <w:tcW w:w="1310" w:type="dxa"/>
            <w:tcBorders>
              <w:top w:val="single" w:sz="4" w:space="0" w:color="auto"/>
              <w:bottom w:val="double" w:sz="4" w:space="0" w:color="auto"/>
            </w:tcBorders>
            <w:vAlign w:val="bottom"/>
          </w:tcPr>
          <w:p w14:paraId="0776BBE9" w14:textId="1F66BD5D" w:rsidR="008B0837" w:rsidRPr="003A176D" w:rsidRDefault="000E21F8" w:rsidP="008B0837">
            <w:pPr>
              <w:pStyle w:val="CommentText"/>
              <w:tabs>
                <w:tab w:val="decimal" w:pos="960"/>
              </w:tabs>
              <w:rPr>
                <w:rFonts w:ascii="Arial" w:hAnsi="Arial" w:cs="Arial"/>
                <w:b/>
                <w:bCs/>
                <w:sz w:val="18"/>
                <w:szCs w:val="18"/>
              </w:rPr>
            </w:pPr>
            <w:r w:rsidRPr="003A176D">
              <w:rPr>
                <w:rFonts w:ascii="Arial" w:hAnsi="Arial" w:cs="Arial"/>
                <w:b/>
                <w:bCs/>
                <w:sz w:val="18"/>
                <w:szCs w:val="18"/>
              </w:rPr>
              <w:t>1,387,042</w:t>
            </w:r>
          </w:p>
        </w:tc>
      </w:tr>
    </w:tbl>
    <w:p w14:paraId="5CCD0524" w14:textId="49675F57" w:rsidR="006D529D" w:rsidRPr="003A176D" w:rsidRDefault="006D529D" w:rsidP="002C5AAC">
      <w:pPr>
        <w:pStyle w:val="Letter-Body"/>
        <w:tabs>
          <w:tab w:val="clear" w:pos="283"/>
          <w:tab w:val="clear" w:pos="1133"/>
          <w:tab w:val="clear" w:pos="5952"/>
          <w:tab w:val="left" w:pos="4680"/>
        </w:tabs>
        <w:rPr>
          <w:rFonts w:ascii="Arial" w:hAnsi="Arial" w:cs="Arial"/>
          <w:sz w:val="18"/>
          <w:szCs w:val="18"/>
        </w:rPr>
      </w:pPr>
      <w:bookmarkStart w:id="1" w:name="para_345"/>
      <w:bookmarkStart w:id="2" w:name="para_346"/>
      <w:bookmarkStart w:id="3" w:name="para_347"/>
      <w:bookmarkStart w:id="4" w:name="para_348"/>
      <w:bookmarkStart w:id="5" w:name="para_349"/>
      <w:bookmarkStart w:id="6" w:name="para_350"/>
      <w:bookmarkStart w:id="7" w:name="para_351"/>
      <w:bookmarkStart w:id="8" w:name="para_144"/>
      <w:bookmarkStart w:id="9" w:name="para_352"/>
      <w:bookmarkStart w:id="10" w:name="para_355"/>
      <w:bookmarkStart w:id="11" w:name="para_357"/>
      <w:bookmarkStart w:id="12" w:name="para_358"/>
      <w:bookmarkStart w:id="13" w:name="para_359"/>
      <w:bookmarkStart w:id="14" w:name="para_360"/>
      <w:bookmarkStart w:id="15" w:name="para_361"/>
      <w:bookmarkStart w:id="16" w:name="para_362"/>
      <w:bookmarkStart w:id="17" w:name="para_363"/>
      <w:bookmarkStart w:id="18" w:name="para_374"/>
      <w:bookmarkStart w:id="19" w:name="para_375"/>
      <w:bookmarkStart w:id="20" w:name="para_376"/>
      <w:bookmarkStart w:id="21" w:name="para_377"/>
      <w:bookmarkStart w:id="22" w:name="para_378"/>
      <w:bookmarkStart w:id="23" w:name="para_85"/>
      <w:bookmarkStart w:id="24" w:name="para_86"/>
      <w:bookmarkStart w:id="25" w:name="para_400"/>
      <w:bookmarkStart w:id="26" w:name="para_401"/>
      <w:bookmarkStart w:id="27" w:name="para_402"/>
      <w:bookmarkStart w:id="28" w:name="para_403"/>
      <w:bookmarkStart w:id="29" w:name="para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5EBA579" w14:textId="203C3516" w:rsidR="00245363" w:rsidRPr="003A176D" w:rsidRDefault="00AF2B37" w:rsidP="00AF2B37">
      <w:pPr>
        <w:spacing w:after="0" w:line="240" w:lineRule="auto"/>
        <w:rPr>
          <w:rFonts w:asciiTheme="minorHAnsi" w:hAnsiTheme="minorHAnsi" w:cs="Arial"/>
          <w:sz w:val="20"/>
          <w:szCs w:val="20"/>
        </w:rPr>
      </w:pPr>
      <w:r w:rsidRPr="003A176D">
        <w:rPr>
          <w:rFonts w:asciiTheme="minorHAnsi" w:hAnsiTheme="minorHAnsi" w:cs="Arial"/>
          <w:sz w:val="20"/>
          <w:szCs w:val="20"/>
        </w:rPr>
        <w:t>Natur</w:t>
      </w:r>
      <w:r w:rsidR="0051603E" w:rsidRPr="003A176D">
        <w:rPr>
          <w:rFonts w:asciiTheme="minorHAnsi" w:hAnsiTheme="minorHAnsi" w:cs="Arial"/>
          <w:sz w:val="20"/>
          <w:szCs w:val="20"/>
        </w:rPr>
        <w:t>e</w:t>
      </w:r>
      <w:r w:rsidRPr="003A176D">
        <w:rPr>
          <w:rFonts w:asciiTheme="minorHAnsi" w:hAnsiTheme="minorHAnsi" w:cs="Arial"/>
          <w:sz w:val="20"/>
          <w:szCs w:val="20"/>
        </w:rPr>
        <w:t xml:space="preserve"> of operations and going concern – Note 1</w:t>
      </w:r>
    </w:p>
    <w:p w14:paraId="6AB9BEE7" w14:textId="220FBFED" w:rsidR="00487460" w:rsidRPr="003A176D" w:rsidRDefault="00487460" w:rsidP="00AF2B37">
      <w:pPr>
        <w:spacing w:after="0" w:line="240" w:lineRule="auto"/>
        <w:rPr>
          <w:rFonts w:asciiTheme="minorHAnsi" w:hAnsiTheme="minorHAnsi" w:cs="Arial"/>
          <w:sz w:val="20"/>
          <w:szCs w:val="20"/>
        </w:rPr>
      </w:pPr>
      <w:r w:rsidRPr="003A176D">
        <w:rPr>
          <w:rFonts w:asciiTheme="minorHAnsi" w:hAnsiTheme="minorHAnsi" w:cs="Arial"/>
          <w:sz w:val="20"/>
          <w:szCs w:val="20"/>
        </w:rPr>
        <w:t>Subsequent event – Note 1</w:t>
      </w:r>
      <w:r w:rsidR="008B32C5" w:rsidRPr="003A176D">
        <w:rPr>
          <w:rFonts w:asciiTheme="minorHAnsi" w:hAnsiTheme="minorHAnsi" w:cs="Arial"/>
          <w:sz w:val="20"/>
          <w:szCs w:val="20"/>
        </w:rPr>
        <w:t>2</w:t>
      </w:r>
    </w:p>
    <w:p w14:paraId="440CA3E1" w14:textId="77777777" w:rsidR="00AF2B37" w:rsidRPr="003A176D" w:rsidRDefault="00AF2B37" w:rsidP="00AF2B37">
      <w:pPr>
        <w:spacing w:after="0" w:line="240" w:lineRule="auto"/>
        <w:rPr>
          <w:rFonts w:asciiTheme="minorHAnsi" w:hAnsiTheme="minorHAnsi" w:cs="Arial"/>
          <w:sz w:val="20"/>
          <w:szCs w:val="20"/>
        </w:rPr>
      </w:pPr>
    </w:p>
    <w:p w14:paraId="33F7CAFA" w14:textId="02297390" w:rsidR="00483AC8" w:rsidRPr="003A176D" w:rsidRDefault="00483AC8" w:rsidP="004D0FC9">
      <w:pPr>
        <w:jc w:val="both"/>
        <w:outlineLvl w:val="0"/>
        <w:rPr>
          <w:rFonts w:asciiTheme="minorHAnsi" w:hAnsiTheme="minorHAnsi" w:cs="Arial"/>
          <w:sz w:val="20"/>
          <w:szCs w:val="20"/>
        </w:rPr>
      </w:pPr>
      <w:r w:rsidRPr="003A176D">
        <w:rPr>
          <w:rFonts w:asciiTheme="minorHAnsi" w:hAnsiTheme="minorHAnsi" w:cs="Arial"/>
          <w:sz w:val="20"/>
          <w:szCs w:val="20"/>
        </w:rPr>
        <w:t>Thes</w:t>
      </w:r>
      <w:r w:rsidR="00C44920" w:rsidRPr="003A176D">
        <w:rPr>
          <w:rFonts w:asciiTheme="minorHAnsi" w:hAnsiTheme="minorHAnsi" w:cs="Arial"/>
          <w:sz w:val="20"/>
          <w:szCs w:val="20"/>
        </w:rPr>
        <w:t>e</w:t>
      </w:r>
      <w:r w:rsidR="004A03C1" w:rsidRPr="003A176D">
        <w:rPr>
          <w:rFonts w:asciiTheme="minorHAnsi" w:hAnsiTheme="minorHAnsi" w:cs="Arial"/>
          <w:sz w:val="20"/>
          <w:szCs w:val="20"/>
        </w:rPr>
        <w:t xml:space="preserve"> </w:t>
      </w:r>
      <w:r w:rsidR="008C5AE5" w:rsidRPr="003A176D">
        <w:rPr>
          <w:rFonts w:asciiTheme="minorHAnsi" w:hAnsiTheme="minorHAnsi" w:cs="Arial"/>
          <w:sz w:val="20"/>
          <w:szCs w:val="20"/>
        </w:rPr>
        <w:t xml:space="preserve">consolidated </w:t>
      </w:r>
      <w:r w:rsidRPr="003A176D">
        <w:rPr>
          <w:rFonts w:asciiTheme="minorHAnsi" w:hAnsiTheme="minorHAnsi" w:cs="Arial"/>
          <w:sz w:val="20"/>
          <w:szCs w:val="20"/>
        </w:rPr>
        <w:t xml:space="preserve">financial statements </w:t>
      </w:r>
      <w:r w:rsidR="009D7038" w:rsidRPr="003A176D">
        <w:rPr>
          <w:rFonts w:asciiTheme="minorHAnsi" w:hAnsiTheme="minorHAnsi" w:cs="Arial"/>
          <w:sz w:val="20"/>
          <w:szCs w:val="20"/>
        </w:rPr>
        <w:t xml:space="preserve">were </w:t>
      </w:r>
      <w:r w:rsidRPr="003A176D">
        <w:rPr>
          <w:rFonts w:asciiTheme="minorHAnsi" w:hAnsiTheme="minorHAnsi" w:cs="Arial"/>
          <w:sz w:val="20"/>
          <w:szCs w:val="20"/>
        </w:rPr>
        <w:t xml:space="preserve">authorized for issue by the Board of Directors </w:t>
      </w:r>
      <w:r w:rsidR="00E13410" w:rsidRPr="003A176D">
        <w:rPr>
          <w:rFonts w:asciiTheme="minorHAnsi" w:hAnsiTheme="minorHAnsi" w:cs="Arial"/>
          <w:sz w:val="20"/>
          <w:szCs w:val="20"/>
        </w:rPr>
        <w:t xml:space="preserve">on </w:t>
      </w:r>
      <w:r w:rsidR="008914C2" w:rsidRPr="003A176D">
        <w:rPr>
          <w:rFonts w:asciiTheme="minorHAnsi" w:hAnsiTheme="minorHAnsi" w:cs="Arial"/>
          <w:sz w:val="20"/>
          <w:szCs w:val="20"/>
        </w:rPr>
        <w:t xml:space="preserve"> </w:t>
      </w:r>
      <w:r w:rsidR="003D05FB" w:rsidRPr="003A176D">
        <w:rPr>
          <w:rFonts w:asciiTheme="minorHAnsi" w:hAnsiTheme="minorHAnsi" w:cs="Arial"/>
          <w:sz w:val="20"/>
          <w:szCs w:val="20"/>
        </w:rPr>
        <w:t>August __, 2020</w:t>
      </w:r>
    </w:p>
    <w:p w14:paraId="07D8D29D" w14:textId="6725B251" w:rsidR="00904B66" w:rsidRPr="003A176D" w:rsidRDefault="00245363" w:rsidP="0029481C">
      <w:pPr>
        <w:jc w:val="both"/>
        <w:outlineLvl w:val="0"/>
        <w:rPr>
          <w:rFonts w:ascii="Arial" w:hAnsi="Arial" w:cs="Arial"/>
          <w:sz w:val="18"/>
          <w:szCs w:val="18"/>
        </w:rPr>
      </w:pPr>
      <w:r w:rsidRPr="003A176D">
        <w:rPr>
          <w:rFonts w:asciiTheme="minorHAnsi" w:hAnsiTheme="minorHAnsi" w:cs="Arial"/>
          <w:sz w:val="20"/>
          <w:szCs w:val="20"/>
        </w:rPr>
        <w:t>Director:</w:t>
      </w:r>
      <w:r w:rsidRPr="003A176D">
        <w:rPr>
          <w:rFonts w:asciiTheme="minorHAnsi" w:hAnsiTheme="minorHAnsi" w:cs="Arial"/>
          <w:i/>
          <w:sz w:val="20"/>
          <w:szCs w:val="20"/>
          <w:u w:val="single"/>
        </w:rPr>
        <w:t xml:space="preserve">      </w:t>
      </w:r>
      <w:r w:rsidR="008D11CC" w:rsidRPr="003A176D">
        <w:rPr>
          <w:rFonts w:asciiTheme="minorHAnsi" w:hAnsiTheme="minorHAnsi" w:cs="Arial"/>
          <w:sz w:val="20"/>
          <w:szCs w:val="20"/>
          <w:u w:val="single"/>
        </w:rPr>
        <w:t>_________</w:t>
      </w:r>
      <w:r w:rsidR="008C5AE5" w:rsidRPr="003A176D">
        <w:rPr>
          <w:rFonts w:asciiTheme="minorHAnsi" w:hAnsiTheme="minorHAnsi" w:cs="Arial"/>
          <w:sz w:val="20"/>
          <w:szCs w:val="20"/>
        </w:rPr>
        <w:tab/>
      </w:r>
      <w:r w:rsidR="008C5AE5" w:rsidRPr="003A176D">
        <w:rPr>
          <w:rFonts w:asciiTheme="minorHAnsi" w:hAnsiTheme="minorHAnsi" w:cs="Arial"/>
          <w:sz w:val="20"/>
          <w:szCs w:val="20"/>
        </w:rPr>
        <w:tab/>
        <w:t xml:space="preserve">                                                         </w:t>
      </w:r>
      <w:r w:rsidRPr="003A176D">
        <w:rPr>
          <w:rFonts w:asciiTheme="minorHAnsi" w:hAnsiTheme="minorHAnsi" w:cs="Arial"/>
          <w:sz w:val="20"/>
          <w:szCs w:val="20"/>
        </w:rPr>
        <w:t>Director:</w:t>
      </w:r>
      <w:r w:rsidRPr="003A176D">
        <w:rPr>
          <w:rFonts w:asciiTheme="minorHAnsi" w:hAnsiTheme="minorHAnsi" w:cs="Arial"/>
          <w:i/>
          <w:sz w:val="20"/>
          <w:szCs w:val="20"/>
          <w:u w:val="single"/>
        </w:rPr>
        <w:t xml:space="preserve">     </w:t>
      </w:r>
      <w:r w:rsidRPr="003A176D">
        <w:rPr>
          <w:rFonts w:asciiTheme="minorHAnsi" w:hAnsiTheme="minorHAnsi" w:cs="Arial"/>
          <w:sz w:val="20"/>
          <w:szCs w:val="20"/>
          <w:u w:val="single"/>
        </w:rPr>
        <w:t xml:space="preserve"> </w:t>
      </w:r>
      <w:r w:rsidR="008D11CC" w:rsidRPr="003A176D">
        <w:rPr>
          <w:rFonts w:asciiTheme="minorHAnsi" w:hAnsiTheme="minorHAnsi" w:cs="Arial"/>
          <w:sz w:val="20"/>
          <w:szCs w:val="20"/>
          <w:u w:val="single"/>
        </w:rPr>
        <w:t>______________</w:t>
      </w:r>
    </w:p>
    <w:p w14:paraId="6B3BD933" w14:textId="7170DBAC" w:rsidR="00245363" w:rsidRPr="003A176D" w:rsidRDefault="00245363" w:rsidP="00904B66">
      <w:pPr>
        <w:tabs>
          <w:tab w:val="left" w:pos="5220"/>
        </w:tabs>
        <w:rPr>
          <w:rFonts w:ascii="Arial" w:hAnsi="Arial" w:cs="Arial"/>
          <w:sz w:val="18"/>
          <w:szCs w:val="18"/>
        </w:rPr>
        <w:sectPr w:rsidR="00245363" w:rsidRPr="003A176D" w:rsidSect="00245551">
          <w:headerReference w:type="default" r:id="rId12"/>
          <w:footerReference w:type="default" r:id="rId13"/>
          <w:pgSz w:w="12240" w:h="15840"/>
          <w:pgMar w:top="1440" w:right="1440" w:bottom="1440" w:left="1440" w:header="720" w:footer="720" w:gutter="0"/>
          <w:cols w:space="720"/>
          <w:docGrid w:linePitch="360"/>
        </w:sectPr>
      </w:pPr>
    </w:p>
    <w:p w14:paraId="666DB306" w14:textId="6571EB20" w:rsidR="00B418D1" w:rsidRPr="003A176D" w:rsidRDefault="00B418D1" w:rsidP="005F354B">
      <w:pPr>
        <w:spacing w:after="0" w:line="240" w:lineRule="auto"/>
        <w:rPr>
          <w:rFonts w:ascii="Arial" w:hAnsi="Arial" w:cs="Arial"/>
          <w:noProof/>
          <w:sz w:val="18"/>
          <w:szCs w:val="18"/>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239"/>
        <w:gridCol w:w="1212"/>
        <w:gridCol w:w="270"/>
        <w:gridCol w:w="1170"/>
        <w:gridCol w:w="270"/>
        <w:gridCol w:w="1260"/>
        <w:gridCol w:w="360"/>
        <w:gridCol w:w="1170"/>
      </w:tblGrid>
      <w:tr w:rsidR="00B52DAE" w:rsidRPr="003A176D" w14:paraId="3CE96407" w14:textId="77777777" w:rsidTr="00B52DAE">
        <w:tc>
          <w:tcPr>
            <w:tcW w:w="3589" w:type="dxa"/>
          </w:tcPr>
          <w:p w14:paraId="17A05B73" w14:textId="77777777" w:rsidR="00B52DAE" w:rsidRPr="003A176D" w:rsidRDefault="00B52DAE" w:rsidP="00704BB5">
            <w:pPr>
              <w:spacing w:after="0" w:line="240" w:lineRule="auto"/>
              <w:rPr>
                <w:rFonts w:ascii="Arial" w:hAnsi="Arial" w:cs="Arial"/>
                <w:sz w:val="18"/>
                <w:szCs w:val="18"/>
              </w:rPr>
            </w:pPr>
          </w:p>
        </w:tc>
        <w:tc>
          <w:tcPr>
            <w:tcW w:w="2891" w:type="dxa"/>
            <w:gridSpan w:val="4"/>
          </w:tcPr>
          <w:p w14:paraId="7DE0F6AF" w14:textId="28ACCCF4"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3 months ended June 30</w:t>
            </w:r>
          </w:p>
        </w:tc>
        <w:tc>
          <w:tcPr>
            <w:tcW w:w="3060" w:type="dxa"/>
            <w:gridSpan w:val="4"/>
          </w:tcPr>
          <w:p w14:paraId="3A648259" w14:textId="22EBF769"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6 months ended June 30</w:t>
            </w:r>
          </w:p>
        </w:tc>
      </w:tr>
      <w:tr w:rsidR="00B52DAE" w:rsidRPr="003A176D" w14:paraId="57D7F840" w14:textId="77777777" w:rsidTr="00B52DAE">
        <w:tc>
          <w:tcPr>
            <w:tcW w:w="3589" w:type="dxa"/>
            <w:tcBorders>
              <w:bottom w:val="single" w:sz="4" w:space="0" w:color="auto"/>
            </w:tcBorders>
          </w:tcPr>
          <w:p w14:paraId="60AF3642" w14:textId="77777777" w:rsidR="00B52DAE" w:rsidRPr="003A176D" w:rsidRDefault="00B52DAE" w:rsidP="00704BB5">
            <w:pPr>
              <w:spacing w:after="0" w:line="240" w:lineRule="auto"/>
              <w:rPr>
                <w:rFonts w:ascii="Arial" w:hAnsi="Arial" w:cs="Arial"/>
                <w:sz w:val="18"/>
                <w:szCs w:val="18"/>
              </w:rPr>
            </w:pPr>
          </w:p>
        </w:tc>
        <w:tc>
          <w:tcPr>
            <w:tcW w:w="239" w:type="dxa"/>
            <w:tcBorders>
              <w:bottom w:val="single" w:sz="4" w:space="0" w:color="auto"/>
            </w:tcBorders>
          </w:tcPr>
          <w:p w14:paraId="3CC17A63" w14:textId="77777777" w:rsidR="00B52DAE" w:rsidRPr="003A176D" w:rsidRDefault="00B52DAE" w:rsidP="00704BB5">
            <w:pPr>
              <w:spacing w:after="0" w:line="240" w:lineRule="auto"/>
              <w:rPr>
                <w:rFonts w:ascii="Arial" w:hAnsi="Arial" w:cs="Arial"/>
                <w:sz w:val="18"/>
                <w:szCs w:val="18"/>
              </w:rPr>
            </w:pPr>
          </w:p>
        </w:tc>
        <w:tc>
          <w:tcPr>
            <w:tcW w:w="1212" w:type="dxa"/>
            <w:tcBorders>
              <w:bottom w:val="single" w:sz="4" w:space="0" w:color="auto"/>
            </w:tcBorders>
          </w:tcPr>
          <w:p w14:paraId="6580FDD5" w14:textId="439B92A2"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2020</w:t>
            </w:r>
          </w:p>
        </w:tc>
        <w:tc>
          <w:tcPr>
            <w:tcW w:w="270" w:type="dxa"/>
            <w:tcBorders>
              <w:bottom w:val="single" w:sz="4" w:space="0" w:color="auto"/>
            </w:tcBorders>
          </w:tcPr>
          <w:p w14:paraId="2096B45D" w14:textId="77777777" w:rsidR="00B52DAE" w:rsidRPr="003A176D" w:rsidRDefault="00B52DAE" w:rsidP="00704BB5">
            <w:pPr>
              <w:spacing w:after="0" w:line="240" w:lineRule="auto"/>
              <w:rPr>
                <w:rFonts w:ascii="Arial" w:hAnsi="Arial" w:cs="Arial"/>
                <w:sz w:val="18"/>
                <w:szCs w:val="18"/>
              </w:rPr>
            </w:pPr>
          </w:p>
        </w:tc>
        <w:tc>
          <w:tcPr>
            <w:tcW w:w="1170" w:type="dxa"/>
            <w:tcBorders>
              <w:bottom w:val="single" w:sz="4" w:space="0" w:color="auto"/>
            </w:tcBorders>
          </w:tcPr>
          <w:p w14:paraId="50922169" w14:textId="647DDD18"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2019</w:t>
            </w:r>
          </w:p>
        </w:tc>
        <w:tc>
          <w:tcPr>
            <w:tcW w:w="270" w:type="dxa"/>
            <w:tcBorders>
              <w:bottom w:val="single" w:sz="4" w:space="0" w:color="auto"/>
            </w:tcBorders>
          </w:tcPr>
          <w:p w14:paraId="111899E1" w14:textId="77777777" w:rsidR="00B52DAE" w:rsidRPr="003A176D" w:rsidRDefault="00B52DAE" w:rsidP="00704BB5">
            <w:pPr>
              <w:spacing w:after="0" w:line="240" w:lineRule="auto"/>
              <w:rPr>
                <w:rFonts w:ascii="Arial" w:hAnsi="Arial" w:cs="Arial"/>
                <w:sz w:val="18"/>
                <w:szCs w:val="18"/>
              </w:rPr>
            </w:pPr>
          </w:p>
        </w:tc>
        <w:tc>
          <w:tcPr>
            <w:tcW w:w="1260" w:type="dxa"/>
            <w:tcBorders>
              <w:bottom w:val="single" w:sz="4" w:space="0" w:color="auto"/>
            </w:tcBorders>
          </w:tcPr>
          <w:p w14:paraId="77D41351" w14:textId="2ABFFFAC"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2020</w:t>
            </w:r>
          </w:p>
        </w:tc>
        <w:tc>
          <w:tcPr>
            <w:tcW w:w="360" w:type="dxa"/>
            <w:tcBorders>
              <w:bottom w:val="single" w:sz="4" w:space="0" w:color="auto"/>
            </w:tcBorders>
          </w:tcPr>
          <w:p w14:paraId="1DF60EAD" w14:textId="77777777" w:rsidR="00B52DAE" w:rsidRPr="003A176D" w:rsidRDefault="00B52DAE" w:rsidP="00704BB5">
            <w:pPr>
              <w:spacing w:after="0" w:line="240" w:lineRule="auto"/>
              <w:rPr>
                <w:rFonts w:ascii="Arial" w:hAnsi="Arial" w:cs="Arial"/>
                <w:sz w:val="18"/>
                <w:szCs w:val="18"/>
              </w:rPr>
            </w:pPr>
          </w:p>
        </w:tc>
        <w:tc>
          <w:tcPr>
            <w:tcW w:w="1170" w:type="dxa"/>
            <w:tcBorders>
              <w:bottom w:val="single" w:sz="4" w:space="0" w:color="auto"/>
            </w:tcBorders>
          </w:tcPr>
          <w:p w14:paraId="039DCD41" w14:textId="406DC963"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2019</w:t>
            </w:r>
          </w:p>
        </w:tc>
      </w:tr>
      <w:tr w:rsidR="00B52DAE" w:rsidRPr="003A176D" w14:paraId="253D4353" w14:textId="77777777" w:rsidTr="00B52DAE">
        <w:tc>
          <w:tcPr>
            <w:tcW w:w="3589" w:type="dxa"/>
            <w:tcBorders>
              <w:top w:val="single" w:sz="4" w:space="0" w:color="auto"/>
            </w:tcBorders>
          </w:tcPr>
          <w:p w14:paraId="135B8D96" w14:textId="77777777" w:rsidR="00B52DAE" w:rsidRPr="003A176D" w:rsidRDefault="00B52DAE" w:rsidP="00704BB5">
            <w:pPr>
              <w:spacing w:after="0" w:line="240" w:lineRule="auto"/>
              <w:rPr>
                <w:rFonts w:ascii="Arial" w:hAnsi="Arial" w:cs="Arial"/>
                <w:sz w:val="18"/>
                <w:szCs w:val="18"/>
              </w:rPr>
            </w:pPr>
          </w:p>
        </w:tc>
        <w:tc>
          <w:tcPr>
            <w:tcW w:w="239" w:type="dxa"/>
            <w:tcBorders>
              <w:top w:val="single" w:sz="4" w:space="0" w:color="auto"/>
            </w:tcBorders>
            <w:vAlign w:val="bottom"/>
          </w:tcPr>
          <w:p w14:paraId="3A538145" w14:textId="77777777" w:rsidR="00B52DAE" w:rsidRPr="003A176D" w:rsidRDefault="00B52DAE" w:rsidP="00704BB5">
            <w:pPr>
              <w:spacing w:after="0" w:line="240" w:lineRule="auto"/>
              <w:jc w:val="right"/>
              <w:rPr>
                <w:rFonts w:ascii="Arial" w:hAnsi="Arial" w:cs="Arial"/>
                <w:sz w:val="18"/>
                <w:szCs w:val="18"/>
              </w:rPr>
            </w:pPr>
          </w:p>
        </w:tc>
        <w:tc>
          <w:tcPr>
            <w:tcW w:w="1212" w:type="dxa"/>
            <w:tcBorders>
              <w:top w:val="single" w:sz="4" w:space="0" w:color="auto"/>
            </w:tcBorders>
            <w:vAlign w:val="bottom"/>
          </w:tcPr>
          <w:p w14:paraId="3092FC60"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11E8AD38"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2649F59E"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7E6071AE" w14:textId="77777777" w:rsidR="00B52DAE" w:rsidRPr="003A176D" w:rsidRDefault="00B52DAE" w:rsidP="00704BB5">
            <w:pPr>
              <w:spacing w:after="0" w:line="240" w:lineRule="auto"/>
              <w:jc w:val="right"/>
              <w:rPr>
                <w:rFonts w:ascii="Arial" w:hAnsi="Arial" w:cs="Arial"/>
                <w:sz w:val="18"/>
                <w:szCs w:val="18"/>
              </w:rPr>
            </w:pPr>
          </w:p>
        </w:tc>
        <w:tc>
          <w:tcPr>
            <w:tcW w:w="1260" w:type="dxa"/>
            <w:tcBorders>
              <w:top w:val="single" w:sz="4" w:space="0" w:color="auto"/>
            </w:tcBorders>
            <w:vAlign w:val="bottom"/>
          </w:tcPr>
          <w:p w14:paraId="54F624C2" w14:textId="77777777" w:rsidR="00B52DAE" w:rsidRPr="003A176D" w:rsidRDefault="00B52DAE" w:rsidP="00704BB5">
            <w:pPr>
              <w:spacing w:after="0" w:line="240" w:lineRule="auto"/>
              <w:jc w:val="right"/>
              <w:rPr>
                <w:rFonts w:ascii="Arial" w:hAnsi="Arial" w:cs="Arial"/>
                <w:sz w:val="18"/>
                <w:szCs w:val="18"/>
              </w:rPr>
            </w:pPr>
          </w:p>
        </w:tc>
        <w:tc>
          <w:tcPr>
            <w:tcW w:w="360" w:type="dxa"/>
            <w:tcBorders>
              <w:top w:val="single" w:sz="4" w:space="0" w:color="auto"/>
            </w:tcBorders>
            <w:vAlign w:val="bottom"/>
          </w:tcPr>
          <w:p w14:paraId="01ED0CC2"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7E0F1FA0"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40DE0C7F" w14:textId="77777777" w:rsidTr="00B52DAE">
        <w:tc>
          <w:tcPr>
            <w:tcW w:w="3589" w:type="dxa"/>
          </w:tcPr>
          <w:p w14:paraId="671560DD" w14:textId="359D4674" w:rsidR="00B52DAE" w:rsidRPr="003A176D" w:rsidRDefault="00B52DAE" w:rsidP="00E90BA5">
            <w:pPr>
              <w:spacing w:after="0" w:line="240" w:lineRule="auto"/>
              <w:rPr>
                <w:rFonts w:ascii="Arial" w:hAnsi="Arial" w:cs="Arial"/>
                <w:sz w:val="18"/>
                <w:szCs w:val="18"/>
              </w:rPr>
            </w:pPr>
            <w:r w:rsidRPr="003A176D">
              <w:rPr>
                <w:rFonts w:ascii="Arial" w:hAnsi="Arial" w:cs="Arial"/>
                <w:sz w:val="18"/>
                <w:szCs w:val="18"/>
              </w:rPr>
              <w:t>Revenue</w:t>
            </w:r>
          </w:p>
        </w:tc>
        <w:tc>
          <w:tcPr>
            <w:tcW w:w="239" w:type="dxa"/>
            <w:vAlign w:val="bottom"/>
          </w:tcPr>
          <w:p w14:paraId="3A31FC77" w14:textId="77777777" w:rsidR="00B52DAE" w:rsidRPr="003A176D" w:rsidRDefault="00B52DAE" w:rsidP="00E90BA5">
            <w:pPr>
              <w:spacing w:after="0" w:line="240" w:lineRule="auto"/>
              <w:jc w:val="right"/>
              <w:rPr>
                <w:rFonts w:ascii="Arial" w:hAnsi="Arial" w:cs="Arial"/>
                <w:sz w:val="18"/>
                <w:szCs w:val="18"/>
              </w:rPr>
            </w:pPr>
          </w:p>
        </w:tc>
        <w:tc>
          <w:tcPr>
            <w:tcW w:w="1212" w:type="dxa"/>
            <w:vAlign w:val="center"/>
          </w:tcPr>
          <w:p w14:paraId="2AAF3693" w14:textId="31CFFDE5" w:rsidR="00B52DAE" w:rsidRPr="003A176D" w:rsidRDefault="00B52DAE" w:rsidP="00E90BA5">
            <w:pPr>
              <w:spacing w:after="0" w:line="240" w:lineRule="auto"/>
              <w:jc w:val="right"/>
              <w:rPr>
                <w:rFonts w:ascii="Arial" w:hAnsi="Arial" w:cs="Arial"/>
                <w:sz w:val="18"/>
                <w:szCs w:val="18"/>
              </w:rPr>
            </w:pPr>
            <w:r w:rsidRPr="003A176D">
              <w:rPr>
                <w:rFonts w:ascii="Arial" w:hAnsi="Arial" w:cs="Arial"/>
                <w:color w:val="000000"/>
                <w:sz w:val="18"/>
                <w:szCs w:val="18"/>
              </w:rPr>
              <w:t>323,966</w:t>
            </w:r>
          </w:p>
        </w:tc>
        <w:tc>
          <w:tcPr>
            <w:tcW w:w="270" w:type="dxa"/>
            <w:vAlign w:val="bottom"/>
          </w:tcPr>
          <w:p w14:paraId="1ECD7AF9" w14:textId="77777777" w:rsidR="00B52DAE" w:rsidRPr="003A176D" w:rsidRDefault="00B52DAE" w:rsidP="00E90BA5">
            <w:pPr>
              <w:spacing w:after="0" w:line="240" w:lineRule="auto"/>
              <w:jc w:val="right"/>
              <w:rPr>
                <w:rFonts w:ascii="Arial" w:hAnsi="Arial" w:cs="Arial"/>
                <w:sz w:val="18"/>
                <w:szCs w:val="18"/>
              </w:rPr>
            </w:pPr>
          </w:p>
        </w:tc>
        <w:tc>
          <w:tcPr>
            <w:tcW w:w="1170" w:type="dxa"/>
            <w:vAlign w:val="bottom"/>
          </w:tcPr>
          <w:p w14:paraId="4BF36691" w14:textId="548A5F3F" w:rsidR="00B52DAE" w:rsidRPr="003A176D" w:rsidRDefault="00B52DAE" w:rsidP="00E90BA5">
            <w:pPr>
              <w:spacing w:after="0" w:line="240" w:lineRule="auto"/>
              <w:jc w:val="right"/>
              <w:rPr>
                <w:rFonts w:ascii="Arial" w:hAnsi="Arial" w:cs="Arial"/>
                <w:sz w:val="18"/>
                <w:szCs w:val="18"/>
              </w:rPr>
            </w:pPr>
            <w:r w:rsidRPr="003A176D">
              <w:rPr>
                <w:rFonts w:ascii="Arial" w:hAnsi="Arial" w:cs="Arial"/>
                <w:sz w:val="18"/>
                <w:szCs w:val="18"/>
              </w:rPr>
              <w:t>-</w:t>
            </w:r>
          </w:p>
        </w:tc>
        <w:tc>
          <w:tcPr>
            <w:tcW w:w="270" w:type="dxa"/>
            <w:vAlign w:val="bottom"/>
          </w:tcPr>
          <w:p w14:paraId="53B2A6C9" w14:textId="77777777" w:rsidR="00B52DAE" w:rsidRPr="003A176D" w:rsidRDefault="00B52DAE" w:rsidP="00E90BA5">
            <w:pPr>
              <w:spacing w:after="0" w:line="240" w:lineRule="auto"/>
              <w:jc w:val="right"/>
              <w:rPr>
                <w:rFonts w:ascii="Arial" w:hAnsi="Arial" w:cs="Arial"/>
                <w:sz w:val="18"/>
                <w:szCs w:val="18"/>
              </w:rPr>
            </w:pPr>
          </w:p>
        </w:tc>
        <w:tc>
          <w:tcPr>
            <w:tcW w:w="1260" w:type="dxa"/>
            <w:vAlign w:val="bottom"/>
          </w:tcPr>
          <w:p w14:paraId="07B54C42" w14:textId="3ECD5565" w:rsidR="00B52DAE" w:rsidRPr="003A176D" w:rsidRDefault="00B52DAE" w:rsidP="00E90BA5">
            <w:pPr>
              <w:spacing w:after="0" w:line="240" w:lineRule="auto"/>
              <w:jc w:val="right"/>
              <w:rPr>
                <w:rFonts w:ascii="Arial" w:hAnsi="Arial" w:cs="Arial"/>
                <w:sz w:val="18"/>
                <w:szCs w:val="18"/>
              </w:rPr>
            </w:pPr>
            <w:r w:rsidRPr="003A176D">
              <w:rPr>
                <w:rFonts w:ascii="Arial" w:hAnsi="Arial" w:cs="Arial"/>
                <w:sz w:val="18"/>
                <w:szCs w:val="18"/>
              </w:rPr>
              <w:t>328,884</w:t>
            </w:r>
          </w:p>
        </w:tc>
        <w:tc>
          <w:tcPr>
            <w:tcW w:w="360" w:type="dxa"/>
            <w:vAlign w:val="bottom"/>
          </w:tcPr>
          <w:p w14:paraId="513B2E48" w14:textId="77777777" w:rsidR="00B52DAE" w:rsidRPr="003A176D" w:rsidRDefault="00B52DAE" w:rsidP="00E90BA5">
            <w:pPr>
              <w:spacing w:after="0" w:line="240" w:lineRule="auto"/>
              <w:jc w:val="right"/>
              <w:rPr>
                <w:rFonts w:ascii="Arial" w:hAnsi="Arial" w:cs="Arial"/>
                <w:sz w:val="18"/>
                <w:szCs w:val="18"/>
              </w:rPr>
            </w:pPr>
          </w:p>
        </w:tc>
        <w:tc>
          <w:tcPr>
            <w:tcW w:w="1170" w:type="dxa"/>
            <w:vAlign w:val="bottom"/>
          </w:tcPr>
          <w:p w14:paraId="666B63BC" w14:textId="19686F2C" w:rsidR="00B52DAE" w:rsidRPr="003A176D" w:rsidRDefault="00B52DAE" w:rsidP="00E90BA5">
            <w:pPr>
              <w:spacing w:after="0" w:line="240" w:lineRule="auto"/>
              <w:jc w:val="right"/>
              <w:rPr>
                <w:rFonts w:ascii="Arial" w:hAnsi="Arial" w:cs="Arial"/>
                <w:sz w:val="18"/>
                <w:szCs w:val="18"/>
              </w:rPr>
            </w:pPr>
            <w:r w:rsidRPr="003A176D">
              <w:rPr>
                <w:rFonts w:ascii="Arial" w:hAnsi="Arial" w:cs="Arial"/>
                <w:sz w:val="18"/>
                <w:szCs w:val="18"/>
              </w:rPr>
              <w:t>-</w:t>
            </w:r>
          </w:p>
        </w:tc>
      </w:tr>
      <w:tr w:rsidR="00B52DAE" w:rsidRPr="003A176D" w14:paraId="64D23006" w14:textId="77777777" w:rsidTr="00B52DAE">
        <w:tc>
          <w:tcPr>
            <w:tcW w:w="3589" w:type="dxa"/>
          </w:tcPr>
          <w:p w14:paraId="38865D2C" w14:textId="3DA98673" w:rsidR="00B52DAE" w:rsidRPr="003A176D" w:rsidRDefault="00B52DAE" w:rsidP="00E90BA5">
            <w:pPr>
              <w:spacing w:after="0" w:line="240" w:lineRule="auto"/>
              <w:rPr>
                <w:rFonts w:ascii="Arial" w:hAnsi="Arial" w:cs="Arial"/>
                <w:sz w:val="18"/>
                <w:szCs w:val="18"/>
              </w:rPr>
            </w:pPr>
            <w:r w:rsidRPr="003A176D">
              <w:rPr>
                <w:rFonts w:ascii="Arial" w:hAnsi="Arial" w:cs="Arial"/>
                <w:sz w:val="18"/>
                <w:szCs w:val="18"/>
              </w:rPr>
              <w:t>Cost of sales</w:t>
            </w:r>
          </w:p>
        </w:tc>
        <w:tc>
          <w:tcPr>
            <w:tcW w:w="239" w:type="dxa"/>
            <w:vAlign w:val="bottom"/>
          </w:tcPr>
          <w:p w14:paraId="15B13E33" w14:textId="77777777" w:rsidR="00B52DAE" w:rsidRPr="003A176D" w:rsidRDefault="00B52DAE" w:rsidP="00E90BA5">
            <w:pPr>
              <w:spacing w:after="0" w:line="240" w:lineRule="auto"/>
              <w:jc w:val="right"/>
              <w:rPr>
                <w:rFonts w:ascii="Arial" w:hAnsi="Arial" w:cs="Arial"/>
                <w:sz w:val="18"/>
                <w:szCs w:val="18"/>
              </w:rPr>
            </w:pPr>
          </w:p>
        </w:tc>
        <w:tc>
          <w:tcPr>
            <w:tcW w:w="1212" w:type="dxa"/>
            <w:vAlign w:val="center"/>
          </w:tcPr>
          <w:p w14:paraId="4BABDC81" w14:textId="41748B64" w:rsidR="00B52DAE" w:rsidRPr="003A176D" w:rsidRDefault="00B52DAE" w:rsidP="00E90BA5">
            <w:pPr>
              <w:spacing w:after="0" w:line="240" w:lineRule="auto"/>
              <w:jc w:val="right"/>
              <w:rPr>
                <w:rFonts w:ascii="Arial" w:hAnsi="Arial" w:cs="Arial"/>
                <w:sz w:val="18"/>
                <w:szCs w:val="18"/>
              </w:rPr>
            </w:pPr>
            <w:r w:rsidRPr="003A176D">
              <w:rPr>
                <w:rFonts w:ascii="Arial" w:hAnsi="Arial" w:cs="Arial"/>
                <w:color w:val="000000"/>
                <w:sz w:val="18"/>
                <w:szCs w:val="18"/>
              </w:rPr>
              <w:t>235,805</w:t>
            </w:r>
          </w:p>
        </w:tc>
        <w:tc>
          <w:tcPr>
            <w:tcW w:w="270" w:type="dxa"/>
            <w:vAlign w:val="bottom"/>
          </w:tcPr>
          <w:p w14:paraId="1B3720A0" w14:textId="77777777" w:rsidR="00B52DAE" w:rsidRPr="003A176D" w:rsidRDefault="00B52DAE" w:rsidP="00E90BA5">
            <w:pPr>
              <w:spacing w:after="0" w:line="240" w:lineRule="auto"/>
              <w:jc w:val="right"/>
              <w:rPr>
                <w:rFonts w:ascii="Arial" w:hAnsi="Arial" w:cs="Arial"/>
                <w:sz w:val="18"/>
                <w:szCs w:val="18"/>
              </w:rPr>
            </w:pPr>
          </w:p>
        </w:tc>
        <w:tc>
          <w:tcPr>
            <w:tcW w:w="1170" w:type="dxa"/>
            <w:vAlign w:val="bottom"/>
          </w:tcPr>
          <w:p w14:paraId="2CEB52D9" w14:textId="5B74DD4F" w:rsidR="00B52DAE" w:rsidRPr="003A176D" w:rsidRDefault="00B52DAE" w:rsidP="00E90BA5">
            <w:pPr>
              <w:spacing w:after="0" w:line="240" w:lineRule="auto"/>
              <w:jc w:val="right"/>
              <w:rPr>
                <w:rFonts w:ascii="Arial" w:hAnsi="Arial" w:cs="Arial"/>
                <w:sz w:val="18"/>
                <w:szCs w:val="18"/>
              </w:rPr>
            </w:pPr>
            <w:r w:rsidRPr="003A176D">
              <w:rPr>
                <w:rFonts w:ascii="Arial" w:hAnsi="Arial" w:cs="Arial"/>
                <w:sz w:val="18"/>
                <w:szCs w:val="18"/>
              </w:rPr>
              <w:t>-</w:t>
            </w:r>
          </w:p>
        </w:tc>
        <w:tc>
          <w:tcPr>
            <w:tcW w:w="270" w:type="dxa"/>
            <w:vAlign w:val="bottom"/>
          </w:tcPr>
          <w:p w14:paraId="5AD61590" w14:textId="77777777" w:rsidR="00B52DAE" w:rsidRPr="003A176D" w:rsidRDefault="00B52DAE" w:rsidP="00E90BA5">
            <w:pPr>
              <w:spacing w:after="0" w:line="240" w:lineRule="auto"/>
              <w:jc w:val="right"/>
              <w:rPr>
                <w:rFonts w:ascii="Arial" w:hAnsi="Arial" w:cs="Arial"/>
                <w:sz w:val="18"/>
                <w:szCs w:val="18"/>
              </w:rPr>
            </w:pPr>
          </w:p>
        </w:tc>
        <w:tc>
          <w:tcPr>
            <w:tcW w:w="1260" w:type="dxa"/>
            <w:vAlign w:val="bottom"/>
          </w:tcPr>
          <w:p w14:paraId="62062122" w14:textId="6B8FB8EF" w:rsidR="00B52DAE" w:rsidRPr="003A176D" w:rsidRDefault="00B52DAE" w:rsidP="00E90BA5">
            <w:pPr>
              <w:spacing w:after="0" w:line="240" w:lineRule="auto"/>
              <w:jc w:val="right"/>
              <w:rPr>
                <w:rFonts w:ascii="Arial" w:hAnsi="Arial" w:cs="Arial"/>
                <w:sz w:val="18"/>
                <w:szCs w:val="18"/>
              </w:rPr>
            </w:pPr>
            <w:r w:rsidRPr="003A176D">
              <w:rPr>
                <w:rFonts w:ascii="Arial" w:hAnsi="Arial" w:cs="Arial"/>
                <w:sz w:val="18"/>
                <w:szCs w:val="18"/>
              </w:rPr>
              <w:t>236,051</w:t>
            </w:r>
          </w:p>
        </w:tc>
        <w:tc>
          <w:tcPr>
            <w:tcW w:w="360" w:type="dxa"/>
            <w:vAlign w:val="bottom"/>
          </w:tcPr>
          <w:p w14:paraId="2031FDCE" w14:textId="77777777" w:rsidR="00B52DAE" w:rsidRPr="003A176D" w:rsidRDefault="00B52DAE" w:rsidP="00E90BA5">
            <w:pPr>
              <w:spacing w:after="0" w:line="240" w:lineRule="auto"/>
              <w:jc w:val="right"/>
              <w:rPr>
                <w:rFonts w:ascii="Arial" w:hAnsi="Arial" w:cs="Arial"/>
                <w:sz w:val="18"/>
                <w:szCs w:val="18"/>
              </w:rPr>
            </w:pPr>
          </w:p>
        </w:tc>
        <w:tc>
          <w:tcPr>
            <w:tcW w:w="1170" w:type="dxa"/>
            <w:vAlign w:val="bottom"/>
          </w:tcPr>
          <w:p w14:paraId="38E28341" w14:textId="567DBA68" w:rsidR="00B52DAE" w:rsidRPr="003A176D" w:rsidRDefault="00B52DAE" w:rsidP="00E90BA5">
            <w:pPr>
              <w:spacing w:after="0" w:line="240" w:lineRule="auto"/>
              <w:jc w:val="right"/>
              <w:rPr>
                <w:rFonts w:ascii="Arial" w:hAnsi="Arial" w:cs="Arial"/>
                <w:sz w:val="18"/>
                <w:szCs w:val="18"/>
              </w:rPr>
            </w:pPr>
            <w:r w:rsidRPr="003A176D">
              <w:rPr>
                <w:rFonts w:ascii="Arial" w:hAnsi="Arial" w:cs="Arial"/>
                <w:sz w:val="18"/>
                <w:szCs w:val="18"/>
              </w:rPr>
              <w:t>-</w:t>
            </w:r>
          </w:p>
        </w:tc>
      </w:tr>
      <w:tr w:rsidR="00B52DAE" w:rsidRPr="003A176D" w14:paraId="4F9844D4" w14:textId="77777777" w:rsidTr="00B52DAE">
        <w:tc>
          <w:tcPr>
            <w:tcW w:w="3589" w:type="dxa"/>
            <w:tcBorders>
              <w:top w:val="single" w:sz="4" w:space="0" w:color="auto"/>
            </w:tcBorders>
          </w:tcPr>
          <w:p w14:paraId="42B158C8" w14:textId="64A2CC74" w:rsidR="00B52DAE" w:rsidRPr="003A176D" w:rsidRDefault="00B52DAE" w:rsidP="00E90BA5">
            <w:pPr>
              <w:spacing w:after="0" w:line="240" w:lineRule="auto"/>
              <w:rPr>
                <w:rFonts w:ascii="Arial" w:hAnsi="Arial" w:cs="Arial"/>
                <w:b/>
                <w:bCs/>
                <w:sz w:val="18"/>
                <w:szCs w:val="18"/>
              </w:rPr>
            </w:pPr>
            <w:r w:rsidRPr="003A176D">
              <w:rPr>
                <w:rFonts w:ascii="Arial" w:hAnsi="Arial" w:cs="Arial"/>
                <w:b/>
                <w:bCs/>
                <w:sz w:val="18"/>
                <w:szCs w:val="18"/>
              </w:rPr>
              <w:t>Gross Margin</w:t>
            </w:r>
          </w:p>
        </w:tc>
        <w:tc>
          <w:tcPr>
            <w:tcW w:w="239" w:type="dxa"/>
            <w:tcBorders>
              <w:top w:val="single" w:sz="4" w:space="0" w:color="auto"/>
            </w:tcBorders>
            <w:vAlign w:val="bottom"/>
          </w:tcPr>
          <w:p w14:paraId="28A7DA9B" w14:textId="77777777" w:rsidR="00B52DAE" w:rsidRPr="003A176D" w:rsidRDefault="00B52DAE" w:rsidP="00E90BA5">
            <w:pPr>
              <w:spacing w:after="0" w:line="240" w:lineRule="auto"/>
              <w:jc w:val="right"/>
              <w:rPr>
                <w:rFonts w:ascii="Arial" w:hAnsi="Arial" w:cs="Arial"/>
                <w:b/>
                <w:bCs/>
                <w:sz w:val="18"/>
                <w:szCs w:val="18"/>
              </w:rPr>
            </w:pPr>
          </w:p>
        </w:tc>
        <w:tc>
          <w:tcPr>
            <w:tcW w:w="1212" w:type="dxa"/>
            <w:tcBorders>
              <w:top w:val="single" w:sz="4" w:space="0" w:color="auto"/>
            </w:tcBorders>
            <w:vAlign w:val="center"/>
          </w:tcPr>
          <w:p w14:paraId="4A7A4001" w14:textId="66E31D02" w:rsidR="00B52DAE" w:rsidRPr="003A176D" w:rsidRDefault="00B52DAE" w:rsidP="00E90BA5">
            <w:pPr>
              <w:spacing w:after="0" w:line="240" w:lineRule="auto"/>
              <w:jc w:val="right"/>
              <w:rPr>
                <w:rFonts w:ascii="Arial" w:hAnsi="Arial" w:cs="Arial"/>
                <w:b/>
                <w:bCs/>
                <w:sz w:val="18"/>
                <w:szCs w:val="18"/>
              </w:rPr>
            </w:pPr>
            <w:r w:rsidRPr="003A176D">
              <w:rPr>
                <w:rFonts w:ascii="Arial" w:hAnsi="Arial" w:cs="Arial"/>
                <w:b/>
                <w:bCs/>
                <w:color w:val="000000"/>
                <w:sz w:val="18"/>
                <w:szCs w:val="18"/>
              </w:rPr>
              <w:t>88,161</w:t>
            </w:r>
          </w:p>
        </w:tc>
        <w:tc>
          <w:tcPr>
            <w:tcW w:w="270" w:type="dxa"/>
            <w:tcBorders>
              <w:top w:val="single" w:sz="4" w:space="0" w:color="auto"/>
            </w:tcBorders>
            <w:vAlign w:val="bottom"/>
          </w:tcPr>
          <w:p w14:paraId="4EF63C15" w14:textId="77777777" w:rsidR="00B52DAE" w:rsidRPr="003A176D" w:rsidRDefault="00B52DAE" w:rsidP="00E90BA5">
            <w:pPr>
              <w:spacing w:after="0" w:line="240" w:lineRule="auto"/>
              <w:jc w:val="right"/>
              <w:rPr>
                <w:rFonts w:ascii="Arial" w:hAnsi="Arial" w:cs="Arial"/>
                <w:b/>
                <w:bCs/>
                <w:sz w:val="18"/>
                <w:szCs w:val="18"/>
              </w:rPr>
            </w:pPr>
          </w:p>
        </w:tc>
        <w:tc>
          <w:tcPr>
            <w:tcW w:w="1170" w:type="dxa"/>
            <w:tcBorders>
              <w:top w:val="single" w:sz="4" w:space="0" w:color="auto"/>
            </w:tcBorders>
            <w:vAlign w:val="bottom"/>
          </w:tcPr>
          <w:p w14:paraId="576BC3AD" w14:textId="2D5B0F58" w:rsidR="00B52DAE" w:rsidRPr="003A176D" w:rsidRDefault="00B52DAE" w:rsidP="00E90BA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270" w:type="dxa"/>
            <w:tcBorders>
              <w:top w:val="single" w:sz="4" w:space="0" w:color="auto"/>
            </w:tcBorders>
            <w:vAlign w:val="bottom"/>
          </w:tcPr>
          <w:p w14:paraId="5C3E99B7" w14:textId="77777777" w:rsidR="00B52DAE" w:rsidRPr="003A176D" w:rsidRDefault="00B52DAE" w:rsidP="00E90BA5">
            <w:pPr>
              <w:spacing w:after="0" w:line="240" w:lineRule="auto"/>
              <w:jc w:val="right"/>
              <w:rPr>
                <w:rFonts w:ascii="Arial" w:hAnsi="Arial" w:cs="Arial"/>
                <w:b/>
                <w:bCs/>
                <w:sz w:val="18"/>
                <w:szCs w:val="18"/>
              </w:rPr>
            </w:pPr>
          </w:p>
        </w:tc>
        <w:tc>
          <w:tcPr>
            <w:tcW w:w="1260" w:type="dxa"/>
            <w:tcBorders>
              <w:top w:val="single" w:sz="4" w:space="0" w:color="auto"/>
            </w:tcBorders>
            <w:vAlign w:val="bottom"/>
          </w:tcPr>
          <w:p w14:paraId="689BE176" w14:textId="1792148C" w:rsidR="00B52DAE" w:rsidRPr="003A176D" w:rsidRDefault="00B52DAE" w:rsidP="00E90BA5">
            <w:pPr>
              <w:spacing w:after="0" w:line="240" w:lineRule="auto"/>
              <w:jc w:val="right"/>
              <w:rPr>
                <w:rFonts w:ascii="Arial" w:hAnsi="Arial" w:cs="Arial"/>
                <w:b/>
                <w:bCs/>
                <w:sz w:val="18"/>
                <w:szCs w:val="18"/>
              </w:rPr>
            </w:pPr>
            <w:r w:rsidRPr="003A176D">
              <w:rPr>
                <w:rFonts w:ascii="Arial" w:hAnsi="Arial" w:cs="Arial"/>
                <w:b/>
                <w:bCs/>
                <w:sz w:val="18"/>
                <w:szCs w:val="18"/>
              </w:rPr>
              <w:t>92,833</w:t>
            </w:r>
          </w:p>
        </w:tc>
        <w:tc>
          <w:tcPr>
            <w:tcW w:w="360" w:type="dxa"/>
            <w:tcBorders>
              <w:top w:val="single" w:sz="4" w:space="0" w:color="auto"/>
            </w:tcBorders>
            <w:vAlign w:val="bottom"/>
          </w:tcPr>
          <w:p w14:paraId="3F255FDB" w14:textId="77777777" w:rsidR="00B52DAE" w:rsidRPr="003A176D" w:rsidRDefault="00B52DAE" w:rsidP="00E90BA5">
            <w:pPr>
              <w:spacing w:after="0" w:line="240" w:lineRule="auto"/>
              <w:jc w:val="right"/>
              <w:rPr>
                <w:rFonts w:ascii="Arial" w:hAnsi="Arial" w:cs="Arial"/>
                <w:b/>
                <w:bCs/>
                <w:sz w:val="18"/>
                <w:szCs w:val="18"/>
              </w:rPr>
            </w:pPr>
          </w:p>
        </w:tc>
        <w:tc>
          <w:tcPr>
            <w:tcW w:w="1170" w:type="dxa"/>
            <w:tcBorders>
              <w:top w:val="single" w:sz="4" w:space="0" w:color="auto"/>
            </w:tcBorders>
            <w:vAlign w:val="bottom"/>
          </w:tcPr>
          <w:p w14:paraId="17DB354B" w14:textId="3065164D" w:rsidR="00B52DAE" w:rsidRPr="003A176D" w:rsidRDefault="00B52DAE" w:rsidP="00E90BA5">
            <w:pPr>
              <w:spacing w:after="0" w:line="240" w:lineRule="auto"/>
              <w:jc w:val="right"/>
              <w:rPr>
                <w:rFonts w:ascii="Arial" w:hAnsi="Arial" w:cs="Arial"/>
                <w:b/>
                <w:bCs/>
                <w:sz w:val="18"/>
                <w:szCs w:val="18"/>
              </w:rPr>
            </w:pPr>
            <w:r w:rsidRPr="003A176D">
              <w:rPr>
                <w:rFonts w:ascii="Arial" w:hAnsi="Arial" w:cs="Arial"/>
                <w:b/>
                <w:bCs/>
                <w:sz w:val="18"/>
                <w:szCs w:val="18"/>
              </w:rPr>
              <w:t>-</w:t>
            </w:r>
          </w:p>
        </w:tc>
      </w:tr>
      <w:tr w:rsidR="00B52DAE" w:rsidRPr="003A176D" w14:paraId="02BA7AC4" w14:textId="77777777" w:rsidTr="00B52DAE">
        <w:tc>
          <w:tcPr>
            <w:tcW w:w="3589" w:type="dxa"/>
            <w:tcBorders>
              <w:top w:val="single" w:sz="4" w:space="0" w:color="auto"/>
            </w:tcBorders>
          </w:tcPr>
          <w:p w14:paraId="0ECDC1AE" w14:textId="77777777" w:rsidR="00B52DAE" w:rsidRPr="003A176D" w:rsidRDefault="00B52DAE" w:rsidP="00704BB5">
            <w:pPr>
              <w:spacing w:after="0" w:line="240" w:lineRule="auto"/>
              <w:rPr>
                <w:rFonts w:ascii="Arial" w:hAnsi="Arial" w:cs="Arial"/>
                <w:sz w:val="18"/>
                <w:szCs w:val="18"/>
              </w:rPr>
            </w:pPr>
          </w:p>
        </w:tc>
        <w:tc>
          <w:tcPr>
            <w:tcW w:w="239" w:type="dxa"/>
            <w:tcBorders>
              <w:top w:val="single" w:sz="4" w:space="0" w:color="auto"/>
            </w:tcBorders>
            <w:vAlign w:val="bottom"/>
          </w:tcPr>
          <w:p w14:paraId="068BF23A" w14:textId="77777777" w:rsidR="00B52DAE" w:rsidRPr="003A176D" w:rsidRDefault="00B52DAE" w:rsidP="00704BB5">
            <w:pPr>
              <w:spacing w:after="0" w:line="240" w:lineRule="auto"/>
              <w:jc w:val="right"/>
              <w:rPr>
                <w:rFonts w:ascii="Arial" w:hAnsi="Arial" w:cs="Arial"/>
                <w:sz w:val="18"/>
                <w:szCs w:val="18"/>
              </w:rPr>
            </w:pPr>
          </w:p>
        </w:tc>
        <w:tc>
          <w:tcPr>
            <w:tcW w:w="1212" w:type="dxa"/>
            <w:tcBorders>
              <w:top w:val="single" w:sz="4" w:space="0" w:color="auto"/>
            </w:tcBorders>
            <w:vAlign w:val="bottom"/>
          </w:tcPr>
          <w:p w14:paraId="41D84F85"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226F80DA"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2AAEF560"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150836F9" w14:textId="77777777" w:rsidR="00B52DAE" w:rsidRPr="003A176D" w:rsidRDefault="00B52DAE" w:rsidP="00704BB5">
            <w:pPr>
              <w:spacing w:after="0" w:line="240" w:lineRule="auto"/>
              <w:jc w:val="right"/>
              <w:rPr>
                <w:rFonts w:ascii="Arial" w:hAnsi="Arial" w:cs="Arial"/>
                <w:sz w:val="18"/>
                <w:szCs w:val="18"/>
              </w:rPr>
            </w:pPr>
          </w:p>
        </w:tc>
        <w:tc>
          <w:tcPr>
            <w:tcW w:w="1260" w:type="dxa"/>
            <w:tcBorders>
              <w:top w:val="single" w:sz="4" w:space="0" w:color="auto"/>
            </w:tcBorders>
            <w:vAlign w:val="bottom"/>
          </w:tcPr>
          <w:p w14:paraId="7731B2CA" w14:textId="77777777" w:rsidR="00B52DAE" w:rsidRPr="003A176D" w:rsidRDefault="00B52DAE" w:rsidP="00704BB5">
            <w:pPr>
              <w:spacing w:after="0" w:line="240" w:lineRule="auto"/>
              <w:jc w:val="right"/>
              <w:rPr>
                <w:rFonts w:ascii="Arial" w:hAnsi="Arial" w:cs="Arial"/>
                <w:sz w:val="18"/>
                <w:szCs w:val="18"/>
              </w:rPr>
            </w:pPr>
          </w:p>
        </w:tc>
        <w:tc>
          <w:tcPr>
            <w:tcW w:w="360" w:type="dxa"/>
            <w:tcBorders>
              <w:top w:val="single" w:sz="4" w:space="0" w:color="auto"/>
            </w:tcBorders>
            <w:vAlign w:val="bottom"/>
          </w:tcPr>
          <w:p w14:paraId="48A4E266"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788E35FF"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1AC3DA66" w14:textId="77777777" w:rsidTr="00B52DAE">
        <w:tc>
          <w:tcPr>
            <w:tcW w:w="3589" w:type="dxa"/>
          </w:tcPr>
          <w:p w14:paraId="1968205C" w14:textId="77777777" w:rsidR="00B52DAE" w:rsidRPr="003A176D" w:rsidRDefault="00B52DAE" w:rsidP="00704BB5">
            <w:pPr>
              <w:spacing w:after="0" w:line="240" w:lineRule="auto"/>
              <w:rPr>
                <w:rFonts w:ascii="Arial" w:hAnsi="Arial" w:cs="Arial"/>
                <w:sz w:val="18"/>
                <w:szCs w:val="18"/>
              </w:rPr>
            </w:pPr>
          </w:p>
        </w:tc>
        <w:tc>
          <w:tcPr>
            <w:tcW w:w="239" w:type="dxa"/>
            <w:vAlign w:val="bottom"/>
          </w:tcPr>
          <w:p w14:paraId="4AAE1FF8" w14:textId="77777777" w:rsidR="00B52DAE" w:rsidRPr="003A176D" w:rsidRDefault="00B52DAE" w:rsidP="00704BB5">
            <w:pPr>
              <w:spacing w:after="0" w:line="240" w:lineRule="auto"/>
              <w:jc w:val="right"/>
              <w:rPr>
                <w:rFonts w:ascii="Arial" w:hAnsi="Arial" w:cs="Arial"/>
                <w:sz w:val="18"/>
                <w:szCs w:val="18"/>
              </w:rPr>
            </w:pPr>
          </w:p>
        </w:tc>
        <w:tc>
          <w:tcPr>
            <w:tcW w:w="1212" w:type="dxa"/>
            <w:vAlign w:val="bottom"/>
          </w:tcPr>
          <w:p w14:paraId="150D4FED"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3AC000FA"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72F25467"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559CEE99" w14:textId="77777777" w:rsidR="00B52DAE" w:rsidRPr="003A176D" w:rsidRDefault="00B52DAE" w:rsidP="00704BB5">
            <w:pPr>
              <w:spacing w:after="0" w:line="240" w:lineRule="auto"/>
              <w:jc w:val="right"/>
              <w:rPr>
                <w:rFonts w:ascii="Arial" w:hAnsi="Arial" w:cs="Arial"/>
                <w:sz w:val="18"/>
                <w:szCs w:val="18"/>
              </w:rPr>
            </w:pPr>
          </w:p>
        </w:tc>
        <w:tc>
          <w:tcPr>
            <w:tcW w:w="1260" w:type="dxa"/>
            <w:vAlign w:val="bottom"/>
          </w:tcPr>
          <w:p w14:paraId="007A551A" w14:textId="77777777" w:rsidR="00B52DAE" w:rsidRPr="003A176D" w:rsidRDefault="00B52DAE" w:rsidP="00704BB5">
            <w:pPr>
              <w:spacing w:after="0" w:line="240" w:lineRule="auto"/>
              <w:jc w:val="right"/>
              <w:rPr>
                <w:rFonts w:ascii="Arial" w:hAnsi="Arial" w:cs="Arial"/>
                <w:sz w:val="18"/>
                <w:szCs w:val="18"/>
              </w:rPr>
            </w:pPr>
          </w:p>
        </w:tc>
        <w:tc>
          <w:tcPr>
            <w:tcW w:w="360" w:type="dxa"/>
            <w:vAlign w:val="bottom"/>
          </w:tcPr>
          <w:p w14:paraId="701F8109"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03A63820"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7A7FF478" w14:textId="77777777" w:rsidTr="00B52DAE">
        <w:tc>
          <w:tcPr>
            <w:tcW w:w="3589" w:type="dxa"/>
          </w:tcPr>
          <w:p w14:paraId="3A4C9DD8"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Expenses</w:t>
            </w:r>
          </w:p>
        </w:tc>
        <w:tc>
          <w:tcPr>
            <w:tcW w:w="239" w:type="dxa"/>
            <w:vAlign w:val="bottom"/>
          </w:tcPr>
          <w:p w14:paraId="28504761" w14:textId="77777777" w:rsidR="00B52DAE" w:rsidRPr="003A176D" w:rsidRDefault="00B52DAE" w:rsidP="00704BB5">
            <w:pPr>
              <w:spacing w:after="0" w:line="240" w:lineRule="auto"/>
              <w:jc w:val="right"/>
              <w:rPr>
                <w:rFonts w:ascii="Arial" w:hAnsi="Arial" w:cs="Arial"/>
                <w:sz w:val="18"/>
                <w:szCs w:val="18"/>
              </w:rPr>
            </w:pPr>
          </w:p>
        </w:tc>
        <w:tc>
          <w:tcPr>
            <w:tcW w:w="1212" w:type="dxa"/>
            <w:vAlign w:val="bottom"/>
          </w:tcPr>
          <w:p w14:paraId="2ACF1AE6"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6647A80B"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66069A91"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26648E16" w14:textId="77777777" w:rsidR="00B52DAE" w:rsidRPr="003A176D" w:rsidRDefault="00B52DAE" w:rsidP="00704BB5">
            <w:pPr>
              <w:spacing w:after="0" w:line="240" w:lineRule="auto"/>
              <w:jc w:val="right"/>
              <w:rPr>
                <w:rFonts w:ascii="Arial" w:hAnsi="Arial" w:cs="Arial"/>
                <w:sz w:val="18"/>
                <w:szCs w:val="18"/>
              </w:rPr>
            </w:pPr>
          </w:p>
        </w:tc>
        <w:tc>
          <w:tcPr>
            <w:tcW w:w="1260" w:type="dxa"/>
            <w:vAlign w:val="bottom"/>
          </w:tcPr>
          <w:p w14:paraId="7AAB9A8F" w14:textId="77777777" w:rsidR="00B52DAE" w:rsidRPr="003A176D" w:rsidRDefault="00B52DAE" w:rsidP="00704BB5">
            <w:pPr>
              <w:spacing w:after="0" w:line="240" w:lineRule="auto"/>
              <w:jc w:val="right"/>
              <w:rPr>
                <w:rFonts w:ascii="Arial" w:hAnsi="Arial" w:cs="Arial"/>
                <w:sz w:val="18"/>
                <w:szCs w:val="18"/>
              </w:rPr>
            </w:pPr>
          </w:p>
        </w:tc>
        <w:tc>
          <w:tcPr>
            <w:tcW w:w="360" w:type="dxa"/>
            <w:vAlign w:val="bottom"/>
          </w:tcPr>
          <w:p w14:paraId="24556579"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7B22A0CE"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3F5C1FBB" w14:textId="77777777" w:rsidTr="00B52DAE">
        <w:tc>
          <w:tcPr>
            <w:tcW w:w="3589" w:type="dxa"/>
          </w:tcPr>
          <w:p w14:paraId="19D2A6B1"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Amortization of intangible assets (note 7)</w:t>
            </w:r>
          </w:p>
        </w:tc>
        <w:tc>
          <w:tcPr>
            <w:tcW w:w="239" w:type="dxa"/>
            <w:vAlign w:val="bottom"/>
          </w:tcPr>
          <w:p w14:paraId="41519AF5" w14:textId="77777777"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w:t>
            </w:r>
          </w:p>
        </w:tc>
        <w:tc>
          <w:tcPr>
            <w:tcW w:w="1212" w:type="dxa"/>
            <w:vAlign w:val="center"/>
          </w:tcPr>
          <w:p w14:paraId="72B28DDB" w14:textId="4D0F255F" w:rsidR="00B52DAE" w:rsidRPr="003A176D" w:rsidRDefault="003F7380" w:rsidP="00D158C4">
            <w:pPr>
              <w:spacing w:after="0" w:line="240" w:lineRule="auto"/>
              <w:jc w:val="right"/>
              <w:rPr>
                <w:rFonts w:ascii="Arial" w:hAnsi="Arial" w:cs="Arial"/>
                <w:sz w:val="18"/>
                <w:szCs w:val="18"/>
              </w:rPr>
            </w:pPr>
            <w:r w:rsidRPr="003A176D">
              <w:rPr>
                <w:rFonts w:ascii="Arial" w:hAnsi="Arial" w:cs="Arial"/>
                <w:color w:val="000000"/>
                <w:sz w:val="18"/>
                <w:szCs w:val="18"/>
              </w:rPr>
              <w:t>220,709</w:t>
            </w:r>
          </w:p>
        </w:tc>
        <w:tc>
          <w:tcPr>
            <w:tcW w:w="270" w:type="dxa"/>
            <w:vAlign w:val="bottom"/>
          </w:tcPr>
          <w:p w14:paraId="46F8F721" w14:textId="77777777"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w:t>
            </w:r>
          </w:p>
        </w:tc>
        <w:tc>
          <w:tcPr>
            <w:tcW w:w="1170" w:type="dxa"/>
            <w:vAlign w:val="bottom"/>
          </w:tcPr>
          <w:p w14:paraId="582D8E78" w14:textId="3504FF0B"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85,105</w:t>
            </w:r>
          </w:p>
        </w:tc>
        <w:tc>
          <w:tcPr>
            <w:tcW w:w="270" w:type="dxa"/>
            <w:vAlign w:val="bottom"/>
          </w:tcPr>
          <w:p w14:paraId="66BF777F" w14:textId="77777777"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w:t>
            </w:r>
          </w:p>
        </w:tc>
        <w:tc>
          <w:tcPr>
            <w:tcW w:w="1260" w:type="dxa"/>
            <w:vAlign w:val="bottom"/>
          </w:tcPr>
          <w:p w14:paraId="5A581E2C" w14:textId="2123ECA9" w:rsidR="00B52DAE" w:rsidRPr="003A176D" w:rsidRDefault="00165765" w:rsidP="00D158C4">
            <w:pPr>
              <w:spacing w:after="0" w:line="240" w:lineRule="auto"/>
              <w:jc w:val="right"/>
              <w:rPr>
                <w:rFonts w:ascii="Arial" w:hAnsi="Arial" w:cs="Arial"/>
                <w:sz w:val="18"/>
                <w:szCs w:val="18"/>
              </w:rPr>
            </w:pPr>
            <w:r w:rsidRPr="003A176D">
              <w:rPr>
                <w:rFonts w:ascii="Arial" w:hAnsi="Arial" w:cs="Arial"/>
                <w:sz w:val="18"/>
                <w:szCs w:val="18"/>
              </w:rPr>
              <w:t>305,814</w:t>
            </w:r>
          </w:p>
        </w:tc>
        <w:tc>
          <w:tcPr>
            <w:tcW w:w="360" w:type="dxa"/>
            <w:vAlign w:val="bottom"/>
          </w:tcPr>
          <w:p w14:paraId="018A726D" w14:textId="77777777"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w:t>
            </w:r>
          </w:p>
        </w:tc>
        <w:tc>
          <w:tcPr>
            <w:tcW w:w="1170" w:type="dxa"/>
            <w:vAlign w:val="bottom"/>
          </w:tcPr>
          <w:p w14:paraId="37547D6A" w14:textId="1E1FB771"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170,210</w:t>
            </w:r>
          </w:p>
        </w:tc>
      </w:tr>
      <w:tr w:rsidR="00B52DAE" w:rsidRPr="003A176D" w14:paraId="57727B86" w14:textId="77777777" w:rsidTr="00B52DAE">
        <w:tc>
          <w:tcPr>
            <w:tcW w:w="3589" w:type="dxa"/>
          </w:tcPr>
          <w:p w14:paraId="4C3A0E2B"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Amortization of equipment (note 6)</w:t>
            </w:r>
          </w:p>
        </w:tc>
        <w:tc>
          <w:tcPr>
            <w:tcW w:w="239" w:type="dxa"/>
            <w:vAlign w:val="bottom"/>
          </w:tcPr>
          <w:p w14:paraId="6A3E5B2A" w14:textId="77777777" w:rsidR="00B52DAE" w:rsidRPr="003A176D" w:rsidRDefault="00B52DAE" w:rsidP="00D158C4">
            <w:pPr>
              <w:spacing w:after="0" w:line="240" w:lineRule="auto"/>
              <w:jc w:val="right"/>
              <w:rPr>
                <w:rFonts w:ascii="Arial" w:hAnsi="Arial" w:cs="Arial"/>
                <w:sz w:val="18"/>
                <w:szCs w:val="18"/>
              </w:rPr>
            </w:pPr>
          </w:p>
        </w:tc>
        <w:tc>
          <w:tcPr>
            <w:tcW w:w="1212" w:type="dxa"/>
            <w:vAlign w:val="center"/>
          </w:tcPr>
          <w:p w14:paraId="753C4866" w14:textId="783CD66C" w:rsidR="00B52DAE" w:rsidRPr="003A176D" w:rsidRDefault="00B52DAE" w:rsidP="00D158C4">
            <w:pPr>
              <w:spacing w:after="0" w:line="240" w:lineRule="auto"/>
              <w:jc w:val="right"/>
              <w:rPr>
                <w:rFonts w:ascii="Arial" w:hAnsi="Arial" w:cs="Arial"/>
                <w:sz w:val="18"/>
                <w:szCs w:val="18"/>
              </w:rPr>
            </w:pPr>
            <w:r w:rsidRPr="003A176D">
              <w:rPr>
                <w:rFonts w:ascii="Arial" w:hAnsi="Arial" w:cs="Arial"/>
                <w:color w:val="000000"/>
                <w:sz w:val="18"/>
                <w:szCs w:val="18"/>
              </w:rPr>
              <w:t>253</w:t>
            </w:r>
          </w:p>
        </w:tc>
        <w:tc>
          <w:tcPr>
            <w:tcW w:w="270" w:type="dxa"/>
            <w:vAlign w:val="bottom"/>
          </w:tcPr>
          <w:p w14:paraId="24B271B5"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6CC101F2" w14:textId="249D69E7"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362</w:t>
            </w:r>
          </w:p>
        </w:tc>
        <w:tc>
          <w:tcPr>
            <w:tcW w:w="270" w:type="dxa"/>
            <w:vAlign w:val="bottom"/>
          </w:tcPr>
          <w:p w14:paraId="43748EE9" w14:textId="77777777" w:rsidR="00B52DAE" w:rsidRPr="003A176D" w:rsidRDefault="00B52DAE" w:rsidP="00D158C4">
            <w:pPr>
              <w:spacing w:after="0" w:line="240" w:lineRule="auto"/>
              <w:jc w:val="right"/>
              <w:rPr>
                <w:rFonts w:ascii="Arial" w:hAnsi="Arial" w:cs="Arial"/>
                <w:sz w:val="18"/>
                <w:szCs w:val="18"/>
              </w:rPr>
            </w:pPr>
          </w:p>
        </w:tc>
        <w:tc>
          <w:tcPr>
            <w:tcW w:w="1260" w:type="dxa"/>
            <w:vAlign w:val="bottom"/>
          </w:tcPr>
          <w:p w14:paraId="699B4CFF" w14:textId="51447732"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506</w:t>
            </w:r>
          </w:p>
        </w:tc>
        <w:tc>
          <w:tcPr>
            <w:tcW w:w="360" w:type="dxa"/>
            <w:vAlign w:val="bottom"/>
          </w:tcPr>
          <w:p w14:paraId="05E5B000"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579DAFEA" w14:textId="21023BB3"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723</w:t>
            </w:r>
          </w:p>
        </w:tc>
      </w:tr>
      <w:tr w:rsidR="007D3C7D" w:rsidRPr="003A176D" w14:paraId="08DD97ED" w14:textId="77777777" w:rsidTr="007D3C7D">
        <w:tc>
          <w:tcPr>
            <w:tcW w:w="3589" w:type="dxa"/>
          </w:tcPr>
          <w:p w14:paraId="03F13CBF" w14:textId="77777777" w:rsidR="007D3C7D" w:rsidRDefault="007D3C7D" w:rsidP="00E6252D">
            <w:pPr>
              <w:spacing w:after="0" w:line="240" w:lineRule="auto"/>
              <w:rPr>
                <w:rFonts w:ascii="Arial" w:hAnsi="Arial" w:cs="Arial"/>
                <w:sz w:val="18"/>
                <w:szCs w:val="18"/>
              </w:rPr>
            </w:pPr>
            <w:r>
              <w:rPr>
                <w:rFonts w:ascii="Arial" w:hAnsi="Arial" w:cs="Arial"/>
                <w:sz w:val="18"/>
                <w:szCs w:val="18"/>
              </w:rPr>
              <w:t xml:space="preserve"> Fair value of shares issued on debt</w:t>
            </w:r>
          </w:p>
          <w:p w14:paraId="021F2CC2" w14:textId="1BCF8A16" w:rsidR="007D3C7D" w:rsidRPr="003A176D" w:rsidRDefault="007D3C7D" w:rsidP="00E6252D">
            <w:pPr>
              <w:spacing w:after="0" w:line="240" w:lineRule="auto"/>
              <w:rPr>
                <w:rFonts w:ascii="Arial" w:hAnsi="Arial" w:cs="Arial"/>
                <w:sz w:val="18"/>
                <w:szCs w:val="18"/>
              </w:rPr>
            </w:pPr>
            <w:r>
              <w:rPr>
                <w:rFonts w:ascii="Arial" w:hAnsi="Arial" w:cs="Arial"/>
                <w:sz w:val="18"/>
                <w:szCs w:val="18"/>
              </w:rPr>
              <w:t xml:space="preserve"> settlement</w:t>
            </w:r>
          </w:p>
        </w:tc>
        <w:tc>
          <w:tcPr>
            <w:tcW w:w="239" w:type="dxa"/>
            <w:vAlign w:val="bottom"/>
          </w:tcPr>
          <w:p w14:paraId="0104CB4E" w14:textId="77777777" w:rsidR="007D3C7D" w:rsidRPr="003A176D" w:rsidRDefault="007D3C7D" w:rsidP="00E6252D">
            <w:pPr>
              <w:spacing w:after="0" w:line="240" w:lineRule="auto"/>
              <w:jc w:val="right"/>
              <w:rPr>
                <w:rFonts w:ascii="Arial" w:hAnsi="Arial" w:cs="Arial"/>
                <w:sz w:val="18"/>
                <w:szCs w:val="18"/>
              </w:rPr>
            </w:pPr>
          </w:p>
        </w:tc>
        <w:tc>
          <w:tcPr>
            <w:tcW w:w="1212" w:type="dxa"/>
            <w:vAlign w:val="bottom"/>
          </w:tcPr>
          <w:p w14:paraId="2FF8172F" w14:textId="6C6EAF04" w:rsidR="007D3C7D" w:rsidRPr="003A176D" w:rsidRDefault="00C016C6" w:rsidP="007D3C7D">
            <w:pPr>
              <w:spacing w:after="0" w:line="240" w:lineRule="auto"/>
              <w:jc w:val="right"/>
              <w:rPr>
                <w:rFonts w:ascii="Arial" w:hAnsi="Arial" w:cs="Arial"/>
                <w:sz w:val="18"/>
                <w:szCs w:val="18"/>
              </w:rPr>
            </w:pPr>
            <w:r>
              <w:rPr>
                <w:rFonts w:ascii="Arial" w:hAnsi="Arial" w:cs="Arial"/>
                <w:sz w:val="18"/>
                <w:szCs w:val="18"/>
              </w:rPr>
              <w:t>-</w:t>
            </w:r>
          </w:p>
        </w:tc>
        <w:tc>
          <w:tcPr>
            <w:tcW w:w="270" w:type="dxa"/>
            <w:vAlign w:val="bottom"/>
          </w:tcPr>
          <w:p w14:paraId="5B9E2A4F" w14:textId="77777777" w:rsidR="007D3C7D" w:rsidRPr="003A176D" w:rsidRDefault="007D3C7D" w:rsidP="007D3C7D">
            <w:pPr>
              <w:spacing w:after="0" w:line="240" w:lineRule="auto"/>
              <w:jc w:val="right"/>
              <w:rPr>
                <w:rFonts w:ascii="Arial" w:hAnsi="Arial" w:cs="Arial"/>
                <w:sz w:val="18"/>
                <w:szCs w:val="18"/>
              </w:rPr>
            </w:pPr>
          </w:p>
        </w:tc>
        <w:tc>
          <w:tcPr>
            <w:tcW w:w="1170" w:type="dxa"/>
            <w:vAlign w:val="bottom"/>
          </w:tcPr>
          <w:p w14:paraId="5DC9F978" w14:textId="6D3D1B32" w:rsidR="007D3C7D" w:rsidRPr="003A176D" w:rsidRDefault="00C016C6" w:rsidP="007D3C7D">
            <w:pPr>
              <w:spacing w:after="0" w:line="240" w:lineRule="auto"/>
              <w:jc w:val="right"/>
              <w:rPr>
                <w:rFonts w:ascii="Arial" w:hAnsi="Arial" w:cs="Arial"/>
                <w:sz w:val="18"/>
                <w:szCs w:val="18"/>
              </w:rPr>
            </w:pPr>
            <w:r>
              <w:rPr>
                <w:rFonts w:ascii="Arial" w:hAnsi="Arial" w:cs="Arial"/>
                <w:sz w:val="18"/>
                <w:szCs w:val="18"/>
              </w:rPr>
              <w:t>-</w:t>
            </w:r>
          </w:p>
        </w:tc>
        <w:tc>
          <w:tcPr>
            <w:tcW w:w="270" w:type="dxa"/>
            <w:vAlign w:val="bottom"/>
          </w:tcPr>
          <w:p w14:paraId="28744DCE" w14:textId="77777777" w:rsidR="007D3C7D" w:rsidRPr="003A176D" w:rsidRDefault="007D3C7D" w:rsidP="007D3C7D">
            <w:pPr>
              <w:spacing w:after="0" w:line="240" w:lineRule="auto"/>
              <w:jc w:val="right"/>
              <w:rPr>
                <w:rFonts w:ascii="Arial" w:hAnsi="Arial" w:cs="Arial"/>
                <w:sz w:val="18"/>
                <w:szCs w:val="18"/>
              </w:rPr>
            </w:pPr>
          </w:p>
        </w:tc>
        <w:tc>
          <w:tcPr>
            <w:tcW w:w="1260" w:type="dxa"/>
            <w:vAlign w:val="bottom"/>
          </w:tcPr>
          <w:p w14:paraId="10D9B02E" w14:textId="5C4938FC" w:rsidR="007D3C7D" w:rsidRPr="003A176D" w:rsidRDefault="00C016C6" w:rsidP="007D3C7D">
            <w:pPr>
              <w:spacing w:after="0" w:line="240" w:lineRule="auto"/>
              <w:jc w:val="right"/>
              <w:rPr>
                <w:rFonts w:ascii="Arial" w:hAnsi="Arial" w:cs="Arial"/>
                <w:sz w:val="18"/>
                <w:szCs w:val="18"/>
              </w:rPr>
            </w:pPr>
            <w:r>
              <w:rPr>
                <w:rFonts w:ascii="Arial" w:hAnsi="Arial" w:cs="Arial"/>
                <w:sz w:val="18"/>
                <w:szCs w:val="18"/>
              </w:rPr>
              <w:t>-</w:t>
            </w:r>
          </w:p>
        </w:tc>
        <w:tc>
          <w:tcPr>
            <w:tcW w:w="360" w:type="dxa"/>
            <w:vAlign w:val="bottom"/>
          </w:tcPr>
          <w:p w14:paraId="0A488E1C" w14:textId="77777777" w:rsidR="007D3C7D" w:rsidRPr="003A176D" w:rsidRDefault="007D3C7D" w:rsidP="007D3C7D">
            <w:pPr>
              <w:spacing w:after="0" w:line="240" w:lineRule="auto"/>
              <w:jc w:val="right"/>
              <w:rPr>
                <w:rFonts w:ascii="Arial" w:hAnsi="Arial" w:cs="Arial"/>
                <w:sz w:val="18"/>
                <w:szCs w:val="18"/>
              </w:rPr>
            </w:pPr>
          </w:p>
        </w:tc>
        <w:tc>
          <w:tcPr>
            <w:tcW w:w="1170" w:type="dxa"/>
            <w:vAlign w:val="bottom"/>
          </w:tcPr>
          <w:p w14:paraId="1C8080E5" w14:textId="0ED79155" w:rsidR="007D3C7D" w:rsidRPr="003A176D" w:rsidRDefault="00C016C6" w:rsidP="007D3C7D">
            <w:pPr>
              <w:spacing w:after="0" w:line="240" w:lineRule="auto"/>
              <w:jc w:val="right"/>
              <w:rPr>
                <w:rFonts w:ascii="Arial" w:hAnsi="Arial" w:cs="Arial"/>
                <w:sz w:val="18"/>
                <w:szCs w:val="18"/>
              </w:rPr>
            </w:pPr>
            <w:r>
              <w:rPr>
                <w:rFonts w:ascii="Arial" w:hAnsi="Arial" w:cs="Arial"/>
                <w:sz w:val="18"/>
                <w:szCs w:val="18"/>
              </w:rPr>
              <w:t>62,501</w:t>
            </w:r>
          </w:p>
        </w:tc>
      </w:tr>
      <w:tr w:rsidR="00B52DAE" w:rsidRPr="003A176D" w14:paraId="00AE1CA7" w14:textId="77777777" w:rsidTr="00B52DAE">
        <w:tc>
          <w:tcPr>
            <w:tcW w:w="3589" w:type="dxa"/>
          </w:tcPr>
          <w:p w14:paraId="5DF9A383"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Foreign exchange (gain)/loss</w:t>
            </w:r>
          </w:p>
        </w:tc>
        <w:tc>
          <w:tcPr>
            <w:tcW w:w="239" w:type="dxa"/>
            <w:vAlign w:val="bottom"/>
          </w:tcPr>
          <w:p w14:paraId="4D02BEA4" w14:textId="77777777" w:rsidR="00B52DAE" w:rsidRPr="003A176D" w:rsidRDefault="00B52DAE" w:rsidP="00D158C4">
            <w:pPr>
              <w:spacing w:after="0" w:line="240" w:lineRule="auto"/>
              <w:jc w:val="right"/>
              <w:rPr>
                <w:rFonts w:ascii="Arial" w:hAnsi="Arial" w:cs="Arial"/>
                <w:sz w:val="18"/>
                <w:szCs w:val="18"/>
              </w:rPr>
            </w:pPr>
          </w:p>
        </w:tc>
        <w:tc>
          <w:tcPr>
            <w:tcW w:w="1212" w:type="dxa"/>
            <w:vAlign w:val="center"/>
          </w:tcPr>
          <w:p w14:paraId="7D58828D" w14:textId="50FAE711" w:rsidR="00B52DAE" w:rsidRPr="003A176D" w:rsidRDefault="00B52DAE" w:rsidP="00D158C4">
            <w:pPr>
              <w:spacing w:after="0" w:line="240" w:lineRule="auto"/>
              <w:jc w:val="right"/>
              <w:rPr>
                <w:rFonts w:ascii="Arial" w:hAnsi="Arial" w:cs="Arial"/>
                <w:sz w:val="18"/>
                <w:szCs w:val="18"/>
              </w:rPr>
            </w:pPr>
            <w:r w:rsidRPr="003A176D">
              <w:rPr>
                <w:rFonts w:ascii="Arial" w:hAnsi="Arial" w:cs="Arial"/>
                <w:color w:val="000000"/>
                <w:sz w:val="18"/>
                <w:szCs w:val="18"/>
              </w:rPr>
              <w:t>16,674</w:t>
            </w:r>
          </w:p>
        </w:tc>
        <w:tc>
          <w:tcPr>
            <w:tcW w:w="270" w:type="dxa"/>
            <w:vAlign w:val="bottom"/>
          </w:tcPr>
          <w:p w14:paraId="4795476B"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44E1B8CD" w14:textId="15CFB56A"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552</w:t>
            </w:r>
          </w:p>
        </w:tc>
        <w:tc>
          <w:tcPr>
            <w:tcW w:w="270" w:type="dxa"/>
            <w:vAlign w:val="bottom"/>
          </w:tcPr>
          <w:p w14:paraId="227B5DA7" w14:textId="77777777" w:rsidR="00B52DAE" w:rsidRPr="003A176D" w:rsidRDefault="00B52DAE" w:rsidP="00D158C4">
            <w:pPr>
              <w:spacing w:after="0" w:line="240" w:lineRule="auto"/>
              <w:jc w:val="right"/>
              <w:rPr>
                <w:rFonts w:ascii="Arial" w:hAnsi="Arial" w:cs="Arial"/>
                <w:sz w:val="18"/>
                <w:szCs w:val="18"/>
              </w:rPr>
            </w:pPr>
          </w:p>
        </w:tc>
        <w:tc>
          <w:tcPr>
            <w:tcW w:w="1260" w:type="dxa"/>
            <w:vAlign w:val="bottom"/>
          </w:tcPr>
          <w:p w14:paraId="71C48696" w14:textId="01D57DF0"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14,038</w:t>
            </w:r>
          </w:p>
        </w:tc>
        <w:tc>
          <w:tcPr>
            <w:tcW w:w="360" w:type="dxa"/>
            <w:vAlign w:val="bottom"/>
          </w:tcPr>
          <w:p w14:paraId="1B6C2E2B"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2033DCE6" w14:textId="78BF640E"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5,301</w:t>
            </w:r>
          </w:p>
        </w:tc>
      </w:tr>
      <w:tr w:rsidR="00B52DAE" w:rsidRPr="003A176D" w14:paraId="09E9040A" w14:textId="77777777" w:rsidTr="00B52DAE">
        <w:tc>
          <w:tcPr>
            <w:tcW w:w="3589" w:type="dxa"/>
          </w:tcPr>
          <w:p w14:paraId="328DF5E1"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General and administrative</w:t>
            </w:r>
          </w:p>
        </w:tc>
        <w:tc>
          <w:tcPr>
            <w:tcW w:w="239" w:type="dxa"/>
            <w:vAlign w:val="bottom"/>
          </w:tcPr>
          <w:p w14:paraId="0B1E8FF6" w14:textId="77777777" w:rsidR="00B52DAE" w:rsidRPr="003A176D" w:rsidRDefault="00B52DAE" w:rsidP="00D158C4">
            <w:pPr>
              <w:spacing w:after="0" w:line="240" w:lineRule="auto"/>
              <w:jc w:val="right"/>
              <w:rPr>
                <w:rFonts w:ascii="Arial" w:hAnsi="Arial" w:cs="Arial"/>
                <w:sz w:val="18"/>
                <w:szCs w:val="18"/>
              </w:rPr>
            </w:pPr>
          </w:p>
        </w:tc>
        <w:tc>
          <w:tcPr>
            <w:tcW w:w="1212" w:type="dxa"/>
            <w:vAlign w:val="center"/>
          </w:tcPr>
          <w:p w14:paraId="2E857977" w14:textId="447F5E80" w:rsidR="00B52DAE" w:rsidRPr="003A176D" w:rsidRDefault="00B52DAE" w:rsidP="00D158C4">
            <w:pPr>
              <w:spacing w:after="0" w:line="240" w:lineRule="auto"/>
              <w:jc w:val="right"/>
              <w:rPr>
                <w:rFonts w:ascii="Arial" w:hAnsi="Arial" w:cs="Arial"/>
                <w:sz w:val="18"/>
                <w:szCs w:val="18"/>
              </w:rPr>
            </w:pPr>
            <w:r w:rsidRPr="003A176D">
              <w:rPr>
                <w:rFonts w:ascii="Arial" w:hAnsi="Arial" w:cs="Arial"/>
                <w:color w:val="000000"/>
                <w:sz w:val="18"/>
                <w:szCs w:val="18"/>
              </w:rPr>
              <w:t>128,160</w:t>
            </w:r>
          </w:p>
        </w:tc>
        <w:tc>
          <w:tcPr>
            <w:tcW w:w="270" w:type="dxa"/>
            <w:vAlign w:val="bottom"/>
          </w:tcPr>
          <w:p w14:paraId="5191A90D"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5C0F3F9C" w14:textId="181F7FB3"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56,751</w:t>
            </w:r>
          </w:p>
        </w:tc>
        <w:tc>
          <w:tcPr>
            <w:tcW w:w="270" w:type="dxa"/>
            <w:vAlign w:val="bottom"/>
          </w:tcPr>
          <w:p w14:paraId="50082AC6" w14:textId="77777777" w:rsidR="00B52DAE" w:rsidRPr="003A176D" w:rsidRDefault="00B52DAE" w:rsidP="00D158C4">
            <w:pPr>
              <w:spacing w:after="0" w:line="240" w:lineRule="auto"/>
              <w:jc w:val="right"/>
              <w:rPr>
                <w:rFonts w:ascii="Arial" w:hAnsi="Arial" w:cs="Arial"/>
                <w:sz w:val="18"/>
                <w:szCs w:val="18"/>
              </w:rPr>
            </w:pPr>
          </w:p>
        </w:tc>
        <w:tc>
          <w:tcPr>
            <w:tcW w:w="1260" w:type="dxa"/>
            <w:vAlign w:val="bottom"/>
          </w:tcPr>
          <w:p w14:paraId="645DC55E" w14:textId="534F893F"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189,657</w:t>
            </w:r>
          </w:p>
        </w:tc>
        <w:tc>
          <w:tcPr>
            <w:tcW w:w="360" w:type="dxa"/>
            <w:vAlign w:val="bottom"/>
          </w:tcPr>
          <w:p w14:paraId="7C69A660"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7C209B0C" w14:textId="1F4DE3E4"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131,122</w:t>
            </w:r>
          </w:p>
        </w:tc>
      </w:tr>
      <w:tr w:rsidR="00B52DAE" w:rsidRPr="003A176D" w14:paraId="0DDCD927" w14:textId="77777777" w:rsidTr="00B52DAE">
        <w:tc>
          <w:tcPr>
            <w:tcW w:w="3589" w:type="dxa"/>
          </w:tcPr>
          <w:p w14:paraId="4B4C9DAB"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Professional fees</w:t>
            </w:r>
          </w:p>
        </w:tc>
        <w:tc>
          <w:tcPr>
            <w:tcW w:w="239" w:type="dxa"/>
            <w:vAlign w:val="bottom"/>
          </w:tcPr>
          <w:p w14:paraId="55497F23" w14:textId="77777777" w:rsidR="00B52DAE" w:rsidRPr="003A176D" w:rsidRDefault="00B52DAE" w:rsidP="00D158C4">
            <w:pPr>
              <w:spacing w:after="0" w:line="240" w:lineRule="auto"/>
              <w:jc w:val="right"/>
              <w:rPr>
                <w:rFonts w:ascii="Arial" w:hAnsi="Arial" w:cs="Arial"/>
                <w:sz w:val="18"/>
                <w:szCs w:val="18"/>
              </w:rPr>
            </w:pPr>
          </w:p>
        </w:tc>
        <w:tc>
          <w:tcPr>
            <w:tcW w:w="1212" w:type="dxa"/>
            <w:vAlign w:val="center"/>
          </w:tcPr>
          <w:p w14:paraId="7F9F4FA2" w14:textId="655940D8" w:rsidR="00B52DAE" w:rsidRPr="003A176D" w:rsidRDefault="00B52DAE" w:rsidP="00D158C4">
            <w:pPr>
              <w:spacing w:after="0" w:line="240" w:lineRule="auto"/>
              <w:jc w:val="right"/>
              <w:rPr>
                <w:rFonts w:ascii="Arial" w:hAnsi="Arial" w:cs="Arial"/>
                <w:sz w:val="18"/>
                <w:szCs w:val="18"/>
              </w:rPr>
            </w:pPr>
            <w:r w:rsidRPr="003A176D">
              <w:rPr>
                <w:rFonts w:ascii="Arial" w:hAnsi="Arial" w:cs="Arial"/>
                <w:color w:val="000000"/>
                <w:sz w:val="18"/>
                <w:szCs w:val="18"/>
              </w:rPr>
              <w:t>241,001</w:t>
            </w:r>
          </w:p>
        </w:tc>
        <w:tc>
          <w:tcPr>
            <w:tcW w:w="270" w:type="dxa"/>
            <w:vAlign w:val="bottom"/>
          </w:tcPr>
          <w:p w14:paraId="1DBEE59A"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3F7B0037" w14:textId="40E6224A"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51,098</w:t>
            </w:r>
          </w:p>
        </w:tc>
        <w:tc>
          <w:tcPr>
            <w:tcW w:w="270" w:type="dxa"/>
            <w:vAlign w:val="bottom"/>
          </w:tcPr>
          <w:p w14:paraId="6CC40B74" w14:textId="77777777" w:rsidR="00B52DAE" w:rsidRPr="003A176D" w:rsidRDefault="00B52DAE" w:rsidP="00D158C4">
            <w:pPr>
              <w:spacing w:after="0" w:line="240" w:lineRule="auto"/>
              <w:jc w:val="right"/>
              <w:rPr>
                <w:rFonts w:ascii="Arial" w:hAnsi="Arial" w:cs="Arial"/>
                <w:sz w:val="18"/>
                <w:szCs w:val="18"/>
              </w:rPr>
            </w:pPr>
          </w:p>
        </w:tc>
        <w:tc>
          <w:tcPr>
            <w:tcW w:w="1260" w:type="dxa"/>
            <w:vAlign w:val="bottom"/>
          </w:tcPr>
          <w:p w14:paraId="37F85A4D" w14:textId="422F4F69"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318,313</w:t>
            </w:r>
          </w:p>
        </w:tc>
        <w:tc>
          <w:tcPr>
            <w:tcW w:w="360" w:type="dxa"/>
            <w:vAlign w:val="bottom"/>
          </w:tcPr>
          <w:p w14:paraId="4DAD0ADF"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0286F11F" w14:textId="2BF604F6"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200,755</w:t>
            </w:r>
          </w:p>
        </w:tc>
      </w:tr>
      <w:tr w:rsidR="00B52DAE" w:rsidRPr="003A176D" w14:paraId="5A74258A" w14:textId="77777777" w:rsidTr="00B52DAE">
        <w:tc>
          <w:tcPr>
            <w:tcW w:w="3589" w:type="dxa"/>
          </w:tcPr>
          <w:p w14:paraId="6C836B0F"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Salaries and wages (note 11)</w:t>
            </w:r>
          </w:p>
        </w:tc>
        <w:tc>
          <w:tcPr>
            <w:tcW w:w="239" w:type="dxa"/>
            <w:vAlign w:val="bottom"/>
          </w:tcPr>
          <w:p w14:paraId="08AF10A5" w14:textId="77777777" w:rsidR="00B52DAE" w:rsidRPr="003A176D" w:rsidRDefault="00B52DAE" w:rsidP="00D158C4">
            <w:pPr>
              <w:spacing w:after="0" w:line="240" w:lineRule="auto"/>
              <w:jc w:val="right"/>
              <w:rPr>
                <w:rFonts w:ascii="Arial" w:hAnsi="Arial" w:cs="Arial"/>
                <w:sz w:val="18"/>
                <w:szCs w:val="18"/>
              </w:rPr>
            </w:pPr>
          </w:p>
        </w:tc>
        <w:tc>
          <w:tcPr>
            <w:tcW w:w="1212" w:type="dxa"/>
            <w:vAlign w:val="center"/>
          </w:tcPr>
          <w:p w14:paraId="3F1E3686" w14:textId="2C199156" w:rsidR="00B52DAE" w:rsidRPr="003A176D" w:rsidRDefault="00B52DAE" w:rsidP="00D158C4">
            <w:pPr>
              <w:spacing w:after="0" w:line="240" w:lineRule="auto"/>
              <w:jc w:val="right"/>
              <w:rPr>
                <w:rFonts w:ascii="Arial" w:hAnsi="Arial" w:cs="Arial"/>
                <w:sz w:val="18"/>
                <w:szCs w:val="18"/>
              </w:rPr>
            </w:pPr>
            <w:r w:rsidRPr="003A176D">
              <w:rPr>
                <w:rFonts w:ascii="Arial" w:hAnsi="Arial" w:cs="Arial"/>
                <w:color w:val="000000"/>
                <w:sz w:val="18"/>
                <w:szCs w:val="18"/>
              </w:rPr>
              <w:t>280,782</w:t>
            </w:r>
          </w:p>
        </w:tc>
        <w:tc>
          <w:tcPr>
            <w:tcW w:w="270" w:type="dxa"/>
            <w:vAlign w:val="bottom"/>
          </w:tcPr>
          <w:p w14:paraId="051E8F72"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0071B6F3" w14:textId="0235F321"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242,649</w:t>
            </w:r>
          </w:p>
        </w:tc>
        <w:tc>
          <w:tcPr>
            <w:tcW w:w="270" w:type="dxa"/>
            <w:vAlign w:val="bottom"/>
          </w:tcPr>
          <w:p w14:paraId="2584340A" w14:textId="77777777" w:rsidR="00B52DAE" w:rsidRPr="003A176D" w:rsidRDefault="00B52DAE" w:rsidP="00D158C4">
            <w:pPr>
              <w:spacing w:after="0" w:line="240" w:lineRule="auto"/>
              <w:jc w:val="right"/>
              <w:rPr>
                <w:rFonts w:ascii="Arial" w:hAnsi="Arial" w:cs="Arial"/>
                <w:sz w:val="18"/>
                <w:szCs w:val="18"/>
              </w:rPr>
            </w:pPr>
          </w:p>
        </w:tc>
        <w:tc>
          <w:tcPr>
            <w:tcW w:w="1260" w:type="dxa"/>
            <w:vAlign w:val="bottom"/>
          </w:tcPr>
          <w:p w14:paraId="5BCD1A1B" w14:textId="74417336"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36</w:t>
            </w:r>
            <w:r w:rsidR="000B5EA6" w:rsidRPr="003A176D">
              <w:rPr>
                <w:rFonts w:ascii="Arial" w:hAnsi="Arial" w:cs="Arial"/>
                <w:sz w:val="18"/>
                <w:szCs w:val="18"/>
              </w:rPr>
              <w:t>9</w:t>
            </w:r>
            <w:r w:rsidRPr="003A176D">
              <w:rPr>
                <w:rFonts w:ascii="Arial" w:hAnsi="Arial" w:cs="Arial"/>
                <w:sz w:val="18"/>
                <w:szCs w:val="18"/>
              </w:rPr>
              <w:t>,850</w:t>
            </w:r>
          </w:p>
        </w:tc>
        <w:tc>
          <w:tcPr>
            <w:tcW w:w="360" w:type="dxa"/>
            <w:vAlign w:val="bottom"/>
          </w:tcPr>
          <w:p w14:paraId="666F652C"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5A892598" w14:textId="19A72C5A"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510,088</w:t>
            </w:r>
          </w:p>
        </w:tc>
      </w:tr>
      <w:tr w:rsidR="00B52DAE" w:rsidRPr="003A176D" w14:paraId="68BDA5C9" w14:textId="77777777" w:rsidTr="00B52DAE">
        <w:tc>
          <w:tcPr>
            <w:tcW w:w="3589" w:type="dxa"/>
          </w:tcPr>
          <w:p w14:paraId="34D0F97F" w14:textId="77777777" w:rsidR="00B52DAE" w:rsidRPr="003A176D" w:rsidRDefault="00B52DAE" w:rsidP="00D158C4">
            <w:pPr>
              <w:spacing w:after="0" w:line="240" w:lineRule="auto"/>
              <w:rPr>
                <w:rFonts w:ascii="Arial" w:hAnsi="Arial" w:cs="Arial"/>
                <w:sz w:val="18"/>
                <w:szCs w:val="18"/>
              </w:rPr>
            </w:pPr>
            <w:r w:rsidRPr="003A176D">
              <w:rPr>
                <w:rFonts w:ascii="Arial" w:hAnsi="Arial" w:cs="Arial"/>
                <w:sz w:val="18"/>
                <w:szCs w:val="18"/>
              </w:rPr>
              <w:t xml:space="preserve"> Sales and marketing</w:t>
            </w:r>
          </w:p>
        </w:tc>
        <w:tc>
          <w:tcPr>
            <w:tcW w:w="239" w:type="dxa"/>
            <w:vAlign w:val="bottom"/>
          </w:tcPr>
          <w:p w14:paraId="50005939" w14:textId="77777777" w:rsidR="00B52DAE" w:rsidRPr="003A176D" w:rsidRDefault="00B52DAE" w:rsidP="00D158C4">
            <w:pPr>
              <w:spacing w:after="0" w:line="240" w:lineRule="auto"/>
              <w:jc w:val="right"/>
              <w:rPr>
                <w:rFonts w:ascii="Arial" w:hAnsi="Arial" w:cs="Arial"/>
                <w:sz w:val="18"/>
                <w:szCs w:val="18"/>
              </w:rPr>
            </w:pPr>
          </w:p>
        </w:tc>
        <w:tc>
          <w:tcPr>
            <w:tcW w:w="1212" w:type="dxa"/>
            <w:vAlign w:val="center"/>
          </w:tcPr>
          <w:p w14:paraId="386BC29D" w14:textId="6BE9552D" w:rsidR="00B52DAE" w:rsidRPr="003A176D" w:rsidRDefault="00B52DAE" w:rsidP="00D158C4">
            <w:pPr>
              <w:spacing w:after="0" w:line="240" w:lineRule="auto"/>
              <w:jc w:val="right"/>
              <w:rPr>
                <w:rFonts w:ascii="Arial" w:hAnsi="Arial" w:cs="Arial"/>
                <w:sz w:val="18"/>
                <w:szCs w:val="18"/>
              </w:rPr>
            </w:pPr>
            <w:r w:rsidRPr="003A176D">
              <w:rPr>
                <w:rFonts w:ascii="Arial" w:hAnsi="Arial" w:cs="Arial"/>
                <w:color w:val="000000"/>
                <w:sz w:val="18"/>
                <w:szCs w:val="18"/>
              </w:rPr>
              <w:t>299,624</w:t>
            </w:r>
          </w:p>
        </w:tc>
        <w:tc>
          <w:tcPr>
            <w:tcW w:w="270" w:type="dxa"/>
            <w:vAlign w:val="bottom"/>
          </w:tcPr>
          <w:p w14:paraId="1915D1E3"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7521A490" w14:textId="2B6E4103"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152,344</w:t>
            </w:r>
          </w:p>
        </w:tc>
        <w:tc>
          <w:tcPr>
            <w:tcW w:w="270" w:type="dxa"/>
            <w:vAlign w:val="bottom"/>
          </w:tcPr>
          <w:p w14:paraId="26B323DF" w14:textId="77777777" w:rsidR="00B52DAE" w:rsidRPr="003A176D" w:rsidRDefault="00B52DAE" w:rsidP="00D158C4">
            <w:pPr>
              <w:spacing w:after="0" w:line="240" w:lineRule="auto"/>
              <w:jc w:val="right"/>
              <w:rPr>
                <w:rFonts w:ascii="Arial" w:hAnsi="Arial" w:cs="Arial"/>
                <w:sz w:val="18"/>
                <w:szCs w:val="18"/>
              </w:rPr>
            </w:pPr>
          </w:p>
        </w:tc>
        <w:tc>
          <w:tcPr>
            <w:tcW w:w="1260" w:type="dxa"/>
            <w:vAlign w:val="bottom"/>
          </w:tcPr>
          <w:p w14:paraId="4173E9B8" w14:textId="261D2DAF"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356,845</w:t>
            </w:r>
          </w:p>
        </w:tc>
        <w:tc>
          <w:tcPr>
            <w:tcW w:w="360" w:type="dxa"/>
            <w:vAlign w:val="bottom"/>
          </w:tcPr>
          <w:p w14:paraId="16DA0B2B" w14:textId="77777777" w:rsidR="00B52DAE" w:rsidRPr="003A176D" w:rsidRDefault="00B52DAE" w:rsidP="00D158C4">
            <w:pPr>
              <w:spacing w:after="0" w:line="240" w:lineRule="auto"/>
              <w:jc w:val="right"/>
              <w:rPr>
                <w:rFonts w:ascii="Arial" w:hAnsi="Arial" w:cs="Arial"/>
                <w:sz w:val="18"/>
                <w:szCs w:val="18"/>
              </w:rPr>
            </w:pPr>
          </w:p>
        </w:tc>
        <w:tc>
          <w:tcPr>
            <w:tcW w:w="1170" w:type="dxa"/>
            <w:vAlign w:val="bottom"/>
          </w:tcPr>
          <w:p w14:paraId="45EB237F" w14:textId="5826CD53" w:rsidR="00B52DAE" w:rsidRPr="003A176D" w:rsidRDefault="00B52DAE" w:rsidP="00D158C4">
            <w:pPr>
              <w:spacing w:after="0" w:line="240" w:lineRule="auto"/>
              <w:jc w:val="right"/>
              <w:rPr>
                <w:rFonts w:ascii="Arial" w:hAnsi="Arial" w:cs="Arial"/>
                <w:sz w:val="18"/>
                <w:szCs w:val="18"/>
              </w:rPr>
            </w:pPr>
            <w:r w:rsidRPr="003A176D">
              <w:rPr>
                <w:rFonts w:ascii="Arial" w:hAnsi="Arial" w:cs="Arial"/>
                <w:sz w:val="18"/>
                <w:szCs w:val="18"/>
              </w:rPr>
              <w:t>359,042</w:t>
            </w:r>
          </w:p>
        </w:tc>
      </w:tr>
      <w:tr w:rsidR="00B52DAE" w:rsidRPr="003A176D" w14:paraId="5D80FA33" w14:textId="77777777" w:rsidTr="00B52DAE">
        <w:tc>
          <w:tcPr>
            <w:tcW w:w="3589" w:type="dxa"/>
            <w:tcBorders>
              <w:bottom w:val="single" w:sz="4" w:space="0" w:color="auto"/>
            </w:tcBorders>
          </w:tcPr>
          <w:p w14:paraId="4E8E0A60" w14:textId="77777777" w:rsidR="00B52DAE" w:rsidRPr="003A176D" w:rsidRDefault="00B52DAE" w:rsidP="00704BB5">
            <w:pPr>
              <w:spacing w:after="0" w:line="240" w:lineRule="auto"/>
              <w:rPr>
                <w:rFonts w:ascii="Arial" w:hAnsi="Arial" w:cs="Arial"/>
                <w:sz w:val="18"/>
                <w:szCs w:val="18"/>
              </w:rPr>
            </w:pPr>
            <w:r w:rsidRPr="003A176D">
              <w:rPr>
                <w:rFonts w:ascii="Arial" w:hAnsi="Arial" w:cs="Arial"/>
                <w:sz w:val="18"/>
                <w:szCs w:val="18"/>
              </w:rPr>
              <w:t xml:space="preserve"> Share-based payments (notes 10 and</w:t>
            </w:r>
          </w:p>
          <w:p w14:paraId="3A30F678" w14:textId="77777777" w:rsidR="00B52DAE" w:rsidRPr="003A176D" w:rsidRDefault="00B52DAE" w:rsidP="00704BB5">
            <w:pPr>
              <w:spacing w:after="0" w:line="240" w:lineRule="auto"/>
              <w:rPr>
                <w:rFonts w:ascii="Arial" w:hAnsi="Arial" w:cs="Arial"/>
                <w:sz w:val="18"/>
                <w:szCs w:val="18"/>
              </w:rPr>
            </w:pPr>
            <w:r w:rsidRPr="003A176D">
              <w:rPr>
                <w:rFonts w:ascii="Arial" w:hAnsi="Arial" w:cs="Arial"/>
                <w:sz w:val="18"/>
                <w:szCs w:val="18"/>
              </w:rPr>
              <w:t xml:space="preserve"> 11)</w:t>
            </w:r>
          </w:p>
        </w:tc>
        <w:tc>
          <w:tcPr>
            <w:tcW w:w="239" w:type="dxa"/>
            <w:tcBorders>
              <w:bottom w:val="single" w:sz="4" w:space="0" w:color="auto"/>
            </w:tcBorders>
            <w:vAlign w:val="bottom"/>
          </w:tcPr>
          <w:p w14:paraId="036C1B29" w14:textId="77777777" w:rsidR="00B52DAE" w:rsidRPr="003A176D" w:rsidRDefault="00B52DAE" w:rsidP="00704BB5">
            <w:pPr>
              <w:spacing w:after="0" w:line="240" w:lineRule="auto"/>
              <w:jc w:val="right"/>
              <w:rPr>
                <w:rFonts w:ascii="Arial" w:hAnsi="Arial" w:cs="Arial"/>
                <w:sz w:val="18"/>
                <w:szCs w:val="18"/>
              </w:rPr>
            </w:pPr>
          </w:p>
        </w:tc>
        <w:tc>
          <w:tcPr>
            <w:tcW w:w="1212" w:type="dxa"/>
            <w:tcBorders>
              <w:bottom w:val="single" w:sz="4" w:space="0" w:color="auto"/>
            </w:tcBorders>
            <w:vAlign w:val="bottom"/>
          </w:tcPr>
          <w:p w14:paraId="655AA4E5" w14:textId="244400DC"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182,913</w:t>
            </w:r>
          </w:p>
        </w:tc>
        <w:tc>
          <w:tcPr>
            <w:tcW w:w="270" w:type="dxa"/>
            <w:tcBorders>
              <w:bottom w:val="single" w:sz="4" w:space="0" w:color="auto"/>
            </w:tcBorders>
            <w:vAlign w:val="bottom"/>
          </w:tcPr>
          <w:p w14:paraId="6174DD73" w14:textId="77777777" w:rsidR="00B52DAE" w:rsidRPr="003A176D" w:rsidRDefault="00B52DAE" w:rsidP="00704BB5">
            <w:pPr>
              <w:spacing w:after="0" w:line="240" w:lineRule="auto"/>
              <w:jc w:val="right"/>
              <w:rPr>
                <w:rFonts w:ascii="Arial" w:hAnsi="Arial" w:cs="Arial"/>
                <w:sz w:val="18"/>
                <w:szCs w:val="18"/>
              </w:rPr>
            </w:pPr>
          </w:p>
        </w:tc>
        <w:tc>
          <w:tcPr>
            <w:tcW w:w="1170" w:type="dxa"/>
            <w:tcBorders>
              <w:bottom w:val="single" w:sz="4" w:space="0" w:color="auto"/>
            </w:tcBorders>
            <w:vAlign w:val="bottom"/>
          </w:tcPr>
          <w:p w14:paraId="5B607312" w14:textId="7A15268E"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165,762</w:t>
            </w:r>
          </w:p>
        </w:tc>
        <w:tc>
          <w:tcPr>
            <w:tcW w:w="270" w:type="dxa"/>
            <w:tcBorders>
              <w:bottom w:val="single" w:sz="4" w:space="0" w:color="auto"/>
            </w:tcBorders>
            <w:vAlign w:val="bottom"/>
          </w:tcPr>
          <w:p w14:paraId="1E2B61C4" w14:textId="77777777" w:rsidR="00B52DAE" w:rsidRPr="003A176D" w:rsidRDefault="00B52DAE" w:rsidP="00704BB5">
            <w:pPr>
              <w:spacing w:after="0" w:line="240" w:lineRule="auto"/>
              <w:jc w:val="right"/>
              <w:rPr>
                <w:rFonts w:ascii="Arial" w:hAnsi="Arial" w:cs="Arial"/>
                <w:sz w:val="18"/>
                <w:szCs w:val="18"/>
              </w:rPr>
            </w:pPr>
          </w:p>
        </w:tc>
        <w:tc>
          <w:tcPr>
            <w:tcW w:w="1260" w:type="dxa"/>
            <w:tcBorders>
              <w:bottom w:val="single" w:sz="4" w:space="0" w:color="auto"/>
            </w:tcBorders>
            <w:vAlign w:val="bottom"/>
          </w:tcPr>
          <w:p w14:paraId="01526915" w14:textId="0B5B5CBF"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7,173,508</w:t>
            </w:r>
          </w:p>
        </w:tc>
        <w:tc>
          <w:tcPr>
            <w:tcW w:w="360" w:type="dxa"/>
            <w:tcBorders>
              <w:bottom w:val="single" w:sz="4" w:space="0" w:color="auto"/>
            </w:tcBorders>
            <w:vAlign w:val="bottom"/>
          </w:tcPr>
          <w:p w14:paraId="51960C0A" w14:textId="77777777" w:rsidR="00B52DAE" w:rsidRPr="003A176D" w:rsidRDefault="00B52DAE" w:rsidP="00704BB5">
            <w:pPr>
              <w:spacing w:after="0" w:line="240" w:lineRule="auto"/>
              <w:jc w:val="right"/>
              <w:rPr>
                <w:rFonts w:ascii="Arial" w:hAnsi="Arial" w:cs="Arial"/>
                <w:sz w:val="18"/>
                <w:szCs w:val="18"/>
              </w:rPr>
            </w:pPr>
          </w:p>
        </w:tc>
        <w:tc>
          <w:tcPr>
            <w:tcW w:w="1170" w:type="dxa"/>
            <w:tcBorders>
              <w:bottom w:val="single" w:sz="4" w:space="0" w:color="auto"/>
            </w:tcBorders>
            <w:vAlign w:val="bottom"/>
          </w:tcPr>
          <w:p w14:paraId="0458CB6E" w14:textId="00226E17"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386,824</w:t>
            </w:r>
          </w:p>
        </w:tc>
      </w:tr>
      <w:tr w:rsidR="00B52DAE" w:rsidRPr="003A176D" w14:paraId="4C7AB3FA" w14:textId="77777777" w:rsidTr="00B52DAE">
        <w:tc>
          <w:tcPr>
            <w:tcW w:w="3589" w:type="dxa"/>
            <w:tcBorders>
              <w:top w:val="single" w:sz="4" w:space="0" w:color="auto"/>
              <w:bottom w:val="single" w:sz="4" w:space="0" w:color="auto"/>
            </w:tcBorders>
          </w:tcPr>
          <w:p w14:paraId="380B5C0E"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 xml:space="preserve">Total expenses </w:t>
            </w:r>
          </w:p>
        </w:tc>
        <w:tc>
          <w:tcPr>
            <w:tcW w:w="239" w:type="dxa"/>
            <w:tcBorders>
              <w:top w:val="single" w:sz="4" w:space="0" w:color="auto"/>
              <w:bottom w:val="single" w:sz="4" w:space="0" w:color="auto"/>
            </w:tcBorders>
            <w:vAlign w:val="bottom"/>
          </w:tcPr>
          <w:p w14:paraId="26D763A6" w14:textId="77777777" w:rsidR="00B52DAE" w:rsidRPr="003A176D" w:rsidRDefault="00B52DAE" w:rsidP="00704BB5">
            <w:pPr>
              <w:spacing w:after="0" w:line="240" w:lineRule="auto"/>
              <w:jc w:val="right"/>
              <w:rPr>
                <w:rFonts w:ascii="Arial" w:hAnsi="Arial" w:cs="Arial"/>
                <w:b/>
                <w:bCs/>
                <w:sz w:val="18"/>
                <w:szCs w:val="18"/>
              </w:rPr>
            </w:pPr>
          </w:p>
        </w:tc>
        <w:tc>
          <w:tcPr>
            <w:tcW w:w="1212" w:type="dxa"/>
            <w:tcBorders>
              <w:top w:val="single" w:sz="4" w:space="0" w:color="auto"/>
              <w:bottom w:val="single" w:sz="4" w:space="0" w:color="auto"/>
            </w:tcBorders>
            <w:vAlign w:val="bottom"/>
          </w:tcPr>
          <w:p w14:paraId="301693A0" w14:textId="35FCAC1A"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3F7380" w:rsidRPr="003A176D">
              <w:rPr>
                <w:rFonts w:ascii="Arial" w:hAnsi="Arial" w:cs="Arial"/>
                <w:b/>
                <w:bCs/>
                <w:sz w:val="18"/>
                <w:szCs w:val="18"/>
              </w:rPr>
              <w:t>371,116</w:t>
            </w:r>
          </w:p>
        </w:tc>
        <w:tc>
          <w:tcPr>
            <w:tcW w:w="270" w:type="dxa"/>
            <w:tcBorders>
              <w:top w:val="single" w:sz="4" w:space="0" w:color="auto"/>
              <w:bottom w:val="single" w:sz="4" w:space="0" w:color="auto"/>
            </w:tcBorders>
            <w:vAlign w:val="bottom"/>
          </w:tcPr>
          <w:p w14:paraId="6D2A1D11"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03A9FB02" w14:textId="5EB7438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754,633</w:t>
            </w:r>
          </w:p>
        </w:tc>
        <w:tc>
          <w:tcPr>
            <w:tcW w:w="270" w:type="dxa"/>
            <w:tcBorders>
              <w:top w:val="single" w:sz="4" w:space="0" w:color="auto"/>
              <w:bottom w:val="single" w:sz="4" w:space="0" w:color="auto"/>
            </w:tcBorders>
            <w:vAlign w:val="bottom"/>
          </w:tcPr>
          <w:p w14:paraId="2B0F2982" w14:textId="77777777" w:rsidR="00B52DAE" w:rsidRPr="003A176D" w:rsidRDefault="00B52DAE" w:rsidP="00704BB5">
            <w:pPr>
              <w:spacing w:after="0" w:line="240" w:lineRule="auto"/>
              <w:jc w:val="right"/>
              <w:rPr>
                <w:rFonts w:ascii="Arial" w:hAnsi="Arial" w:cs="Arial"/>
                <w:b/>
                <w:bCs/>
                <w:sz w:val="18"/>
                <w:szCs w:val="18"/>
              </w:rPr>
            </w:pPr>
          </w:p>
        </w:tc>
        <w:tc>
          <w:tcPr>
            <w:tcW w:w="1260" w:type="dxa"/>
            <w:tcBorders>
              <w:top w:val="single" w:sz="4" w:space="0" w:color="auto"/>
              <w:bottom w:val="single" w:sz="4" w:space="0" w:color="auto"/>
            </w:tcBorders>
            <w:vAlign w:val="bottom"/>
          </w:tcPr>
          <w:p w14:paraId="7FB83963" w14:textId="6E1D8572"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8,</w:t>
            </w:r>
            <w:r w:rsidR="00165765" w:rsidRPr="003A176D">
              <w:rPr>
                <w:rFonts w:ascii="Arial" w:hAnsi="Arial" w:cs="Arial"/>
                <w:b/>
                <w:bCs/>
                <w:sz w:val="18"/>
                <w:szCs w:val="18"/>
              </w:rPr>
              <w:t>728,531</w:t>
            </w:r>
          </w:p>
        </w:tc>
        <w:tc>
          <w:tcPr>
            <w:tcW w:w="360" w:type="dxa"/>
            <w:tcBorders>
              <w:top w:val="single" w:sz="4" w:space="0" w:color="auto"/>
              <w:bottom w:val="single" w:sz="4" w:space="0" w:color="auto"/>
            </w:tcBorders>
            <w:vAlign w:val="bottom"/>
          </w:tcPr>
          <w:p w14:paraId="597E9103"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678DF847" w14:textId="05D1B353"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C016C6">
              <w:rPr>
                <w:rFonts w:ascii="Arial" w:hAnsi="Arial" w:cs="Arial"/>
                <w:b/>
                <w:bCs/>
                <w:sz w:val="18"/>
                <w:szCs w:val="18"/>
              </w:rPr>
              <w:t>826,566</w:t>
            </w:r>
          </w:p>
        </w:tc>
      </w:tr>
      <w:tr w:rsidR="00B52DAE" w:rsidRPr="003A176D" w14:paraId="415F3FC5" w14:textId="77777777" w:rsidTr="00B52DAE">
        <w:tc>
          <w:tcPr>
            <w:tcW w:w="3589" w:type="dxa"/>
            <w:tcBorders>
              <w:top w:val="single" w:sz="4" w:space="0" w:color="auto"/>
              <w:bottom w:val="single" w:sz="4" w:space="0" w:color="auto"/>
            </w:tcBorders>
          </w:tcPr>
          <w:p w14:paraId="1A576526"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Loss before other items</w:t>
            </w:r>
          </w:p>
        </w:tc>
        <w:tc>
          <w:tcPr>
            <w:tcW w:w="1451" w:type="dxa"/>
            <w:gridSpan w:val="2"/>
            <w:tcBorders>
              <w:top w:val="single" w:sz="4" w:space="0" w:color="auto"/>
              <w:bottom w:val="single" w:sz="4" w:space="0" w:color="auto"/>
            </w:tcBorders>
            <w:vAlign w:val="bottom"/>
          </w:tcPr>
          <w:p w14:paraId="3DB999E3" w14:textId="2B206521"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3F7380" w:rsidRPr="003A176D">
              <w:rPr>
                <w:rFonts w:ascii="Arial" w:hAnsi="Arial" w:cs="Arial"/>
                <w:b/>
                <w:bCs/>
                <w:sz w:val="18"/>
                <w:szCs w:val="18"/>
              </w:rPr>
              <w:t>282,955</w:t>
            </w:r>
            <w:r w:rsidRPr="003A176D">
              <w:rPr>
                <w:rFonts w:ascii="Arial" w:hAnsi="Arial" w:cs="Arial"/>
                <w:b/>
                <w:bCs/>
                <w:sz w:val="18"/>
                <w:szCs w:val="18"/>
              </w:rPr>
              <w:t>)</w:t>
            </w:r>
          </w:p>
        </w:tc>
        <w:tc>
          <w:tcPr>
            <w:tcW w:w="270" w:type="dxa"/>
            <w:tcBorders>
              <w:top w:val="single" w:sz="4" w:space="0" w:color="auto"/>
              <w:bottom w:val="single" w:sz="4" w:space="0" w:color="auto"/>
            </w:tcBorders>
            <w:vAlign w:val="bottom"/>
          </w:tcPr>
          <w:p w14:paraId="14515E67"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109F4D18" w14:textId="5E91456F"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(754,633)</w:t>
            </w:r>
          </w:p>
        </w:tc>
        <w:tc>
          <w:tcPr>
            <w:tcW w:w="270" w:type="dxa"/>
            <w:tcBorders>
              <w:top w:val="single" w:sz="4" w:space="0" w:color="auto"/>
              <w:bottom w:val="single" w:sz="4" w:space="0" w:color="auto"/>
            </w:tcBorders>
            <w:vAlign w:val="bottom"/>
          </w:tcPr>
          <w:p w14:paraId="4A5D439F" w14:textId="77777777" w:rsidR="00B52DAE" w:rsidRPr="003A176D" w:rsidRDefault="00B52DAE" w:rsidP="00704BB5">
            <w:pPr>
              <w:spacing w:after="0" w:line="240" w:lineRule="auto"/>
              <w:jc w:val="right"/>
              <w:rPr>
                <w:rFonts w:ascii="Arial" w:hAnsi="Arial" w:cs="Arial"/>
                <w:b/>
                <w:bCs/>
                <w:sz w:val="18"/>
                <w:szCs w:val="18"/>
              </w:rPr>
            </w:pPr>
          </w:p>
        </w:tc>
        <w:tc>
          <w:tcPr>
            <w:tcW w:w="1260" w:type="dxa"/>
            <w:tcBorders>
              <w:top w:val="single" w:sz="4" w:space="0" w:color="auto"/>
              <w:bottom w:val="single" w:sz="4" w:space="0" w:color="auto"/>
            </w:tcBorders>
            <w:vAlign w:val="bottom"/>
          </w:tcPr>
          <w:p w14:paraId="76F8038C" w14:textId="64E44F9F"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(8,</w:t>
            </w:r>
            <w:r w:rsidR="00165765" w:rsidRPr="003A176D">
              <w:rPr>
                <w:rFonts w:ascii="Arial" w:hAnsi="Arial" w:cs="Arial"/>
                <w:b/>
                <w:bCs/>
                <w:sz w:val="18"/>
                <w:szCs w:val="18"/>
              </w:rPr>
              <w:t>635,698</w:t>
            </w:r>
            <w:r w:rsidRPr="003A176D">
              <w:rPr>
                <w:rFonts w:ascii="Arial" w:hAnsi="Arial" w:cs="Arial"/>
                <w:b/>
                <w:bCs/>
                <w:sz w:val="18"/>
                <w:szCs w:val="18"/>
              </w:rPr>
              <w:t>)</w:t>
            </w:r>
          </w:p>
        </w:tc>
        <w:tc>
          <w:tcPr>
            <w:tcW w:w="360" w:type="dxa"/>
            <w:tcBorders>
              <w:top w:val="single" w:sz="4" w:space="0" w:color="auto"/>
              <w:bottom w:val="single" w:sz="4" w:space="0" w:color="auto"/>
            </w:tcBorders>
            <w:vAlign w:val="bottom"/>
          </w:tcPr>
          <w:p w14:paraId="23AD1B6E"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43021152" w14:textId="73F057EB"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C016C6">
              <w:rPr>
                <w:rFonts w:ascii="Arial" w:hAnsi="Arial" w:cs="Arial"/>
                <w:b/>
                <w:bCs/>
                <w:sz w:val="18"/>
                <w:szCs w:val="18"/>
              </w:rPr>
              <w:t>826,566</w:t>
            </w:r>
            <w:r w:rsidRPr="003A176D">
              <w:rPr>
                <w:rFonts w:ascii="Arial" w:hAnsi="Arial" w:cs="Arial"/>
                <w:b/>
                <w:bCs/>
                <w:sz w:val="18"/>
                <w:szCs w:val="18"/>
              </w:rPr>
              <w:t>)</w:t>
            </w:r>
          </w:p>
        </w:tc>
      </w:tr>
      <w:tr w:rsidR="00B52DAE" w:rsidRPr="003A176D" w14:paraId="23FDEC3E" w14:textId="77777777" w:rsidTr="00B52DAE">
        <w:tc>
          <w:tcPr>
            <w:tcW w:w="3589" w:type="dxa"/>
            <w:tcBorders>
              <w:top w:val="single" w:sz="4" w:space="0" w:color="auto"/>
            </w:tcBorders>
          </w:tcPr>
          <w:p w14:paraId="7E1E3F41" w14:textId="77777777" w:rsidR="00B52DAE" w:rsidRPr="003A176D" w:rsidRDefault="00B52DAE" w:rsidP="00704BB5">
            <w:pPr>
              <w:spacing w:after="0" w:line="240" w:lineRule="auto"/>
              <w:rPr>
                <w:rFonts w:ascii="Arial" w:hAnsi="Arial" w:cs="Arial"/>
                <w:sz w:val="18"/>
                <w:szCs w:val="18"/>
              </w:rPr>
            </w:pPr>
          </w:p>
        </w:tc>
        <w:tc>
          <w:tcPr>
            <w:tcW w:w="239" w:type="dxa"/>
            <w:tcBorders>
              <w:top w:val="single" w:sz="4" w:space="0" w:color="auto"/>
            </w:tcBorders>
            <w:vAlign w:val="bottom"/>
          </w:tcPr>
          <w:p w14:paraId="696DA6E2" w14:textId="77777777" w:rsidR="00B52DAE" w:rsidRPr="003A176D" w:rsidRDefault="00B52DAE" w:rsidP="00704BB5">
            <w:pPr>
              <w:spacing w:after="0" w:line="240" w:lineRule="auto"/>
              <w:jc w:val="right"/>
              <w:rPr>
                <w:rFonts w:ascii="Arial" w:hAnsi="Arial" w:cs="Arial"/>
                <w:sz w:val="18"/>
                <w:szCs w:val="18"/>
              </w:rPr>
            </w:pPr>
          </w:p>
        </w:tc>
        <w:tc>
          <w:tcPr>
            <w:tcW w:w="1212" w:type="dxa"/>
            <w:tcBorders>
              <w:top w:val="single" w:sz="4" w:space="0" w:color="auto"/>
            </w:tcBorders>
            <w:vAlign w:val="bottom"/>
          </w:tcPr>
          <w:p w14:paraId="2EA81920"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01D89F1F"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6E5D081B"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020CD539" w14:textId="77777777" w:rsidR="00B52DAE" w:rsidRPr="003A176D" w:rsidRDefault="00B52DAE" w:rsidP="00704BB5">
            <w:pPr>
              <w:spacing w:after="0" w:line="240" w:lineRule="auto"/>
              <w:jc w:val="right"/>
              <w:rPr>
                <w:rFonts w:ascii="Arial" w:hAnsi="Arial" w:cs="Arial"/>
                <w:sz w:val="18"/>
                <w:szCs w:val="18"/>
              </w:rPr>
            </w:pPr>
          </w:p>
        </w:tc>
        <w:tc>
          <w:tcPr>
            <w:tcW w:w="1260" w:type="dxa"/>
            <w:tcBorders>
              <w:top w:val="single" w:sz="4" w:space="0" w:color="auto"/>
            </w:tcBorders>
            <w:vAlign w:val="bottom"/>
          </w:tcPr>
          <w:p w14:paraId="415C94FE" w14:textId="77777777" w:rsidR="00B52DAE" w:rsidRPr="003A176D" w:rsidRDefault="00B52DAE" w:rsidP="00704BB5">
            <w:pPr>
              <w:spacing w:after="0" w:line="240" w:lineRule="auto"/>
              <w:jc w:val="right"/>
              <w:rPr>
                <w:rFonts w:ascii="Arial" w:hAnsi="Arial" w:cs="Arial"/>
                <w:sz w:val="18"/>
                <w:szCs w:val="18"/>
              </w:rPr>
            </w:pPr>
          </w:p>
        </w:tc>
        <w:tc>
          <w:tcPr>
            <w:tcW w:w="360" w:type="dxa"/>
            <w:tcBorders>
              <w:top w:val="single" w:sz="4" w:space="0" w:color="auto"/>
            </w:tcBorders>
            <w:vAlign w:val="bottom"/>
          </w:tcPr>
          <w:p w14:paraId="17CCB157"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22BC11A7"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3CCADC6E" w14:textId="77777777" w:rsidTr="00B52DAE">
        <w:tc>
          <w:tcPr>
            <w:tcW w:w="3589" w:type="dxa"/>
          </w:tcPr>
          <w:p w14:paraId="5F5CBF51"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Other items</w:t>
            </w:r>
          </w:p>
        </w:tc>
        <w:tc>
          <w:tcPr>
            <w:tcW w:w="239" w:type="dxa"/>
            <w:vAlign w:val="bottom"/>
          </w:tcPr>
          <w:p w14:paraId="04247A7E" w14:textId="77777777" w:rsidR="00B52DAE" w:rsidRPr="003A176D" w:rsidRDefault="00B52DAE" w:rsidP="00704BB5">
            <w:pPr>
              <w:spacing w:after="0" w:line="240" w:lineRule="auto"/>
              <w:jc w:val="right"/>
              <w:rPr>
                <w:rFonts w:ascii="Arial" w:hAnsi="Arial" w:cs="Arial"/>
                <w:sz w:val="18"/>
                <w:szCs w:val="18"/>
              </w:rPr>
            </w:pPr>
          </w:p>
        </w:tc>
        <w:tc>
          <w:tcPr>
            <w:tcW w:w="1212" w:type="dxa"/>
            <w:vAlign w:val="bottom"/>
          </w:tcPr>
          <w:p w14:paraId="067BF51D"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5C771BFF"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6079E3E5"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3F28B55D" w14:textId="77777777" w:rsidR="00B52DAE" w:rsidRPr="003A176D" w:rsidRDefault="00B52DAE" w:rsidP="00704BB5">
            <w:pPr>
              <w:spacing w:after="0" w:line="240" w:lineRule="auto"/>
              <w:jc w:val="right"/>
              <w:rPr>
                <w:rFonts w:ascii="Arial" w:hAnsi="Arial" w:cs="Arial"/>
                <w:sz w:val="18"/>
                <w:szCs w:val="18"/>
              </w:rPr>
            </w:pPr>
          </w:p>
        </w:tc>
        <w:tc>
          <w:tcPr>
            <w:tcW w:w="1260" w:type="dxa"/>
            <w:vAlign w:val="bottom"/>
          </w:tcPr>
          <w:p w14:paraId="17C27D37" w14:textId="77777777" w:rsidR="00B52DAE" w:rsidRPr="003A176D" w:rsidRDefault="00B52DAE" w:rsidP="00704BB5">
            <w:pPr>
              <w:spacing w:after="0" w:line="240" w:lineRule="auto"/>
              <w:jc w:val="right"/>
              <w:rPr>
                <w:rFonts w:ascii="Arial" w:hAnsi="Arial" w:cs="Arial"/>
                <w:sz w:val="18"/>
                <w:szCs w:val="18"/>
              </w:rPr>
            </w:pPr>
          </w:p>
        </w:tc>
        <w:tc>
          <w:tcPr>
            <w:tcW w:w="360" w:type="dxa"/>
            <w:vAlign w:val="bottom"/>
          </w:tcPr>
          <w:p w14:paraId="1B4A64F3"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100F7A13"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387909EC" w14:textId="77777777" w:rsidTr="00B52DAE">
        <w:tc>
          <w:tcPr>
            <w:tcW w:w="3589" w:type="dxa"/>
          </w:tcPr>
          <w:p w14:paraId="4D774446" w14:textId="77777777" w:rsidR="00B52DAE" w:rsidRPr="003A176D" w:rsidRDefault="00B52DAE" w:rsidP="00704BB5">
            <w:pPr>
              <w:spacing w:after="0" w:line="240" w:lineRule="auto"/>
              <w:rPr>
                <w:rFonts w:ascii="Arial" w:hAnsi="Arial" w:cs="Arial"/>
                <w:sz w:val="18"/>
                <w:szCs w:val="18"/>
              </w:rPr>
            </w:pPr>
            <w:r w:rsidRPr="003A176D">
              <w:rPr>
                <w:rFonts w:ascii="Arial" w:hAnsi="Arial" w:cs="Arial"/>
                <w:sz w:val="18"/>
                <w:szCs w:val="18"/>
              </w:rPr>
              <w:t xml:space="preserve"> Interest expense (income)</w:t>
            </w:r>
          </w:p>
        </w:tc>
        <w:tc>
          <w:tcPr>
            <w:tcW w:w="239" w:type="dxa"/>
            <w:vAlign w:val="bottom"/>
          </w:tcPr>
          <w:p w14:paraId="738302E0" w14:textId="77777777" w:rsidR="00B52DAE" w:rsidRPr="003A176D" w:rsidRDefault="00B52DAE" w:rsidP="00704BB5">
            <w:pPr>
              <w:spacing w:after="0" w:line="240" w:lineRule="auto"/>
              <w:jc w:val="right"/>
              <w:rPr>
                <w:rFonts w:ascii="Arial" w:hAnsi="Arial" w:cs="Arial"/>
                <w:sz w:val="18"/>
                <w:szCs w:val="18"/>
              </w:rPr>
            </w:pPr>
          </w:p>
        </w:tc>
        <w:tc>
          <w:tcPr>
            <w:tcW w:w="1212" w:type="dxa"/>
            <w:vAlign w:val="bottom"/>
          </w:tcPr>
          <w:p w14:paraId="0412363A" w14:textId="1EBCE1D6"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(40,666)</w:t>
            </w:r>
          </w:p>
        </w:tc>
        <w:tc>
          <w:tcPr>
            <w:tcW w:w="270" w:type="dxa"/>
            <w:vAlign w:val="bottom"/>
          </w:tcPr>
          <w:p w14:paraId="49B70372"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0D0C04FC" w14:textId="7D38A8B8"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(10,772)</w:t>
            </w:r>
          </w:p>
        </w:tc>
        <w:tc>
          <w:tcPr>
            <w:tcW w:w="270" w:type="dxa"/>
            <w:vAlign w:val="bottom"/>
          </w:tcPr>
          <w:p w14:paraId="2127DF7C" w14:textId="77777777" w:rsidR="00B52DAE" w:rsidRPr="003A176D" w:rsidRDefault="00B52DAE" w:rsidP="00704BB5">
            <w:pPr>
              <w:spacing w:after="0" w:line="240" w:lineRule="auto"/>
              <w:jc w:val="right"/>
              <w:rPr>
                <w:rFonts w:ascii="Arial" w:hAnsi="Arial" w:cs="Arial"/>
                <w:sz w:val="18"/>
                <w:szCs w:val="18"/>
              </w:rPr>
            </w:pPr>
          </w:p>
        </w:tc>
        <w:tc>
          <w:tcPr>
            <w:tcW w:w="1260" w:type="dxa"/>
            <w:vAlign w:val="bottom"/>
          </w:tcPr>
          <w:p w14:paraId="11B56AC5" w14:textId="0B54EF35"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(40,666)</w:t>
            </w:r>
          </w:p>
        </w:tc>
        <w:tc>
          <w:tcPr>
            <w:tcW w:w="360" w:type="dxa"/>
            <w:vAlign w:val="bottom"/>
          </w:tcPr>
          <w:p w14:paraId="77CDCF6B"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2D9B437E" w14:textId="7A90B689"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(7,709)</w:t>
            </w:r>
          </w:p>
        </w:tc>
      </w:tr>
      <w:tr w:rsidR="00B52DAE" w:rsidRPr="003A176D" w14:paraId="77EA9F84" w14:textId="77777777" w:rsidTr="00B52DAE">
        <w:tc>
          <w:tcPr>
            <w:tcW w:w="3589" w:type="dxa"/>
          </w:tcPr>
          <w:p w14:paraId="167E71B6" w14:textId="77777777" w:rsidR="00B52DAE" w:rsidRPr="003A176D" w:rsidRDefault="00B52DAE" w:rsidP="00704BB5">
            <w:pPr>
              <w:spacing w:after="0" w:line="240" w:lineRule="auto"/>
              <w:rPr>
                <w:rFonts w:ascii="Arial" w:hAnsi="Arial" w:cs="Arial"/>
                <w:sz w:val="18"/>
                <w:szCs w:val="18"/>
              </w:rPr>
            </w:pPr>
            <w:r w:rsidRPr="003A176D">
              <w:rPr>
                <w:rFonts w:ascii="Arial" w:hAnsi="Arial" w:cs="Arial"/>
                <w:sz w:val="18"/>
                <w:szCs w:val="18"/>
              </w:rPr>
              <w:t xml:space="preserve"> Fair value loss (gain) on digital currencies (note 5)</w:t>
            </w:r>
          </w:p>
        </w:tc>
        <w:tc>
          <w:tcPr>
            <w:tcW w:w="239" w:type="dxa"/>
            <w:vAlign w:val="bottom"/>
          </w:tcPr>
          <w:p w14:paraId="0BDD17D4" w14:textId="77777777" w:rsidR="00B52DAE" w:rsidRPr="003A176D" w:rsidRDefault="00B52DAE" w:rsidP="00704BB5">
            <w:pPr>
              <w:spacing w:after="0" w:line="240" w:lineRule="auto"/>
              <w:jc w:val="right"/>
              <w:rPr>
                <w:rFonts w:ascii="Arial" w:hAnsi="Arial" w:cs="Arial"/>
                <w:sz w:val="18"/>
                <w:szCs w:val="18"/>
              </w:rPr>
            </w:pPr>
          </w:p>
        </w:tc>
        <w:tc>
          <w:tcPr>
            <w:tcW w:w="1212" w:type="dxa"/>
            <w:vAlign w:val="bottom"/>
          </w:tcPr>
          <w:p w14:paraId="3BE7E925" w14:textId="74E1E692"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(2,680)</w:t>
            </w:r>
          </w:p>
        </w:tc>
        <w:tc>
          <w:tcPr>
            <w:tcW w:w="270" w:type="dxa"/>
            <w:vAlign w:val="bottom"/>
          </w:tcPr>
          <w:p w14:paraId="4AE81512"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447D2B35" w14:textId="11A3D173"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(87,769)</w:t>
            </w:r>
          </w:p>
        </w:tc>
        <w:tc>
          <w:tcPr>
            <w:tcW w:w="270" w:type="dxa"/>
            <w:vAlign w:val="bottom"/>
          </w:tcPr>
          <w:p w14:paraId="10EF57AA" w14:textId="77777777" w:rsidR="00B52DAE" w:rsidRPr="003A176D" w:rsidRDefault="00B52DAE" w:rsidP="00704BB5">
            <w:pPr>
              <w:spacing w:after="0" w:line="240" w:lineRule="auto"/>
              <w:jc w:val="right"/>
              <w:rPr>
                <w:rFonts w:ascii="Arial" w:hAnsi="Arial" w:cs="Arial"/>
                <w:sz w:val="18"/>
                <w:szCs w:val="18"/>
              </w:rPr>
            </w:pPr>
          </w:p>
        </w:tc>
        <w:tc>
          <w:tcPr>
            <w:tcW w:w="1260" w:type="dxa"/>
            <w:vAlign w:val="bottom"/>
          </w:tcPr>
          <w:p w14:paraId="4902CC34" w14:textId="6CBE2940"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(19,566)</w:t>
            </w:r>
          </w:p>
        </w:tc>
        <w:tc>
          <w:tcPr>
            <w:tcW w:w="360" w:type="dxa"/>
            <w:vAlign w:val="bottom"/>
          </w:tcPr>
          <w:p w14:paraId="0B60D09E"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1C2FFC31" w14:textId="76A5A3D3"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(80,375)</w:t>
            </w:r>
          </w:p>
        </w:tc>
      </w:tr>
      <w:tr w:rsidR="00B52DAE" w:rsidRPr="003A176D" w14:paraId="2C6764D3" w14:textId="77777777" w:rsidTr="00B52DAE">
        <w:tc>
          <w:tcPr>
            <w:tcW w:w="3589" w:type="dxa"/>
            <w:tcBorders>
              <w:bottom w:val="single" w:sz="4" w:space="0" w:color="auto"/>
            </w:tcBorders>
          </w:tcPr>
          <w:p w14:paraId="2F00C5E5" w14:textId="1797143E" w:rsidR="00B52DAE" w:rsidRPr="003A176D" w:rsidRDefault="00676050" w:rsidP="00704BB5">
            <w:pPr>
              <w:spacing w:after="0" w:line="240" w:lineRule="auto"/>
              <w:rPr>
                <w:rFonts w:ascii="Arial" w:hAnsi="Arial" w:cs="Arial"/>
                <w:sz w:val="18"/>
                <w:szCs w:val="18"/>
              </w:rPr>
            </w:pPr>
            <w:r w:rsidRPr="003A176D">
              <w:rPr>
                <w:rFonts w:ascii="Arial" w:hAnsi="Arial" w:cs="Arial"/>
                <w:sz w:val="18"/>
                <w:szCs w:val="18"/>
              </w:rPr>
              <w:t xml:space="preserve">Total </w:t>
            </w:r>
            <w:r w:rsidR="00B52DAE" w:rsidRPr="003A176D">
              <w:rPr>
                <w:rFonts w:ascii="Arial" w:hAnsi="Arial" w:cs="Arial"/>
                <w:sz w:val="18"/>
                <w:szCs w:val="18"/>
              </w:rPr>
              <w:t xml:space="preserve">paid over </w:t>
            </w:r>
            <w:r w:rsidRPr="003A176D">
              <w:rPr>
                <w:rFonts w:ascii="Arial" w:hAnsi="Arial" w:cs="Arial"/>
                <w:sz w:val="18"/>
                <w:szCs w:val="18"/>
              </w:rPr>
              <w:t xml:space="preserve">present value of </w:t>
            </w:r>
            <w:r w:rsidR="00B52DAE" w:rsidRPr="003A176D">
              <w:rPr>
                <w:rFonts w:ascii="Arial" w:hAnsi="Arial" w:cs="Arial"/>
                <w:sz w:val="18"/>
                <w:szCs w:val="18"/>
              </w:rPr>
              <w:t xml:space="preserve">identifiable assets (note </w:t>
            </w:r>
            <w:r w:rsidR="003C6430" w:rsidRPr="003A176D">
              <w:rPr>
                <w:rFonts w:ascii="Arial" w:hAnsi="Arial" w:cs="Arial"/>
                <w:sz w:val="18"/>
                <w:szCs w:val="18"/>
              </w:rPr>
              <w:t>10</w:t>
            </w:r>
            <w:r w:rsidR="00B52DAE" w:rsidRPr="003A176D">
              <w:rPr>
                <w:rFonts w:ascii="Arial" w:hAnsi="Arial" w:cs="Arial"/>
                <w:sz w:val="18"/>
                <w:szCs w:val="18"/>
              </w:rPr>
              <w:t>)</w:t>
            </w:r>
          </w:p>
        </w:tc>
        <w:tc>
          <w:tcPr>
            <w:tcW w:w="239" w:type="dxa"/>
            <w:tcBorders>
              <w:bottom w:val="single" w:sz="4" w:space="0" w:color="auto"/>
            </w:tcBorders>
            <w:vAlign w:val="bottom"/>
          </w:tcPr>
          <w:p w14:paraId="4BB4A8EC" w14:textId="77777777" w:rsidR="00B52DAE" w:rsidRPr="003A176D" w:rsidRDefault="00B52DAE" w:rsidP="00704BB5">
            <w:pPr>
              <w:spacing w:after="0" w:line="240" w:lineRule="auto"/>
              <w:jc w:val="right"/>
              <w:rPr>
                <w:rFonts w:ascii="Arial" w:hAnsi="Arial" w:cs="Arial"/>
                <w:sz w:val="18"/>
                <w:szCs w:val="18"/>
              </w:rPr>
            </w:pPr>
          </w:p>
        </w:tc>
        <w:tc>
          <w:tcPr>
            <w:tcW w:w="1212" w:type="dxa"/>
            <w:tcBorders>
              <w:bottom w:val="single" w:sz="4" w:space="0" w:color="auto"/>
            </w:tcBorders>
            <w:vAlign w:val="bottom"/>
          </w:tcPr>
          <w:p w14:paraId="6CC1518E" w14:textId="3BCEFAD7"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171,239</w:t>
            </w:r>
          </w:p>
        </w:tc>
        <w:tc>
          <w:tcPr>
            <w:tcW w:w="270" w:type="dxa"/>
            <w:tcBorders>
              <w:bottom w:val="single" w:sz="4" w:space="0" w:color="auto"/>
            </w:tcBorders>
            <w:vAlign w:val="bottom"/>
          </w:tcPr>
          <w:p w14:paraId="4F629D09" w14:textId="77777777" w:rsidR="00B52DAE" w:rsidRPr="003A176D" w:rsidRDefault="00B52DAE" w:rsidP="00704BB5">
            <w:pPr>
              <w:spacing w:after="0" w:line="240" w:lineRule="auto"/>
              <w:jc w:val="right"/>
              <w:rPr>
                <w:rFonts w:ascii="Arial" w:hAnsi="Arial" w:cs="Arial"/>
                <w:sz w:val="18"/>
                <w:szCs w:val="18"/>
              </w:rPr>
            </w:pPr>
          </w:p>
        </w:tc>
        <w:tc>
          <w:tcPr>
            <w:tcW w:w="1170" w:type="dxa"/>
            <w:tcBorders>
              <w:bottom w:val="single" w:sz="4" w:space="0" w:color="auto"/>
            </w:tcBorders>
            <w:vAlign w:val="bottom"/>
          </w:tcPr>
          <w:p w14:paraId="152F4434" w14:textId="294A4868"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w:t>
            </w:r>
          </w:p>
        </w:tc>
        <w:tc>
          <w:tcPr>
            <w:tcW w:w="270" w:type="dxa"/>
            <w:tcBorders>
              <w:bottom w:val="single" w:sz="4" w:space="0" w:color="auto"/>
            </w:tcBorders>
            <w:vAlign w:val="bottom"/>
          </w:tcPr>
          <w:p w14:paraId="515841E0" w14:textId="77777777" w:rsidR="00B52DAE" w:rsidRPr="003A176D" w:rsidRDefault="00B52DAE" w:rsidP="00704BB5">
            <w:pPr>
              <w:spacing w:after="0" w:line="240" w:lineRule="auto"/>
              <w:jc w:val="right"/>
              <w:rPr>
                <w:rFonts w:ascii="Arial" w:hAnsi="Arial" w:cs="Arial"/>
                <w:sz w:val="18"/>
                <w:szCs w:val="18"/>
              </w:rPr>
            </w:pPr>
          </w:p>
        </w:tc>
        <w:tc>
          <w:tcPr>
            <w:tcW w:w="1260" w:type="dxa"/>
            <w:tcBorders>
              <w:bottom w:val="single" w:sz="4" w:space="0" w:color="auto"/>
            </w:tcBorders>
            <w:vAlign w:val="bottom"/>
          </w:tcPr>
          <w:p w14:paraId="41E4170D" w14:textId="2DE23B38"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171,239</w:t>
            </w:r>
          </w:p>
        </w:tc>
        <w:tc>
          <w:tcPr>
            <w:tcW w:w="360" w:type="dxa"/>
            <w:tcBorders>
              <w:bottom w:val="single" w:sz="4" w:space="0" w:color="auto"/>
            </w:tcBorders>
            <w:vAlign w:val="bottom"/>
          </w:tcPr>
          <w:p w14:paraId="66551E0B" w14:textId="77777777" w:rsidR="00B52DAE" w:rsidRPr="003A176D" w:rsidRDefault="00B52DAE" w:rsidP="00704BB5">
            <w:pPr>
              <w:spacing w:after="0" w:line="240" w:lineRule="auto"/>
              <w:jc w:val="right"/>
              <w:rPr>
                <w:rFonts w:ascii="Arial" w:hAnsi="Arial" w:cs="Arial"/>
                <w:sz w:val="18"/>
                <w:szCs w:val="18"/>
              </w:rPr>
            </w:pPr>
          </w:p>
        </w:tc>
        <w:tc>
          <w:tcPr>
            <w:tcW w:w="1170" w:type="dxa"/>
            <w:tcBorders>
              <w:bottom w:val="single" w:sz="4" w:space="0" w:color="auto"/>
            </w:tcBorders>
            <w:vAlign w:val="bottom"/>
          </w:tcPr>
          <w:p w14:paraId="6A6E8168" w14:textId="5007DBF0"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w:t>
            </w:r>
          </w:p>
        </w:tc>
      </w:tr>
      <w:tr w:rsidR="00B52DAE" w:rsidRPr="003A176D" w14:paraId="765C7EEC" w14:textId="77777777" w:rsidTr="00B52DAE">
        <w:tc>
          <w:tcPr>
            <w:tcW w:w="3589" w:type="dxa"/>
            <w:tcBorders>
              <w:top w:val="single" w:sz="4" w:space="0" w:color="auto"/>
              <w:bottom w:val="single" w:sz="4" w:space="0" w:color="auto"/>
            </w:tcBorders>
          </w:tcPr>
          <w:p w14:paraId="7EF6823C"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 xml:space="preserve"> Total other items</w:t>
            </w:r>
          </w:p>
        </w:tc>
        <w:tc>
          <w:tcPr>
            <w:tcW w:w="239" w:type="dxa"/>
            <w:tcBorders>
              <w:top w:val="single" w:sz="4" w:space="0" w:color="auto"/>
              <w:bottom w:val="single" w:sz="4" w:space="0" w:color="auto"/>
            </w:tcBorders>
            <w:vAlign w:val="bottom"/>
          </w:tcPr>
          <w:p w14:paraId="51EF3E98" w14:textId="77777777" w:rsidR="00B52DAE" w:rsidRPr="003A176D" w:rsidRDefault="00B52DAE" w:rsidP="00704BB5">
            <w:pPr>
              <w:spacing w:after="0" w:line="240" w:lineRule="auto"/>
              <w:jc w:val="right"/>
              <w:rPr>
                <w:rFonts w:ascii="Arial" w:hAnsi="Arial" w:cs="Arial"/>
                <w:b/>
                <w:bCs/>
                <w:sz w:val="18"/>
                <w:szCs w:val="18"/>
              </w:rPr>
            </w:pPr>
          </w:p>
        </w:tc>
        <w:tc>
          <w:tcPr>
            <w:tcW w:w="1212" w:type="dxa"/>
            <w:tcBorders>
              <w:top w:val="single" w:sz="4" w:space="0" w:color="auto"/>
              <w:bottom w:val="single" w:sz="4" w:space="0" w:color="auto"/>
            </w:tcBorders>
            <w:vAlign w:val="bottom"/>
          </w:tcPr>
          <w:p w14:paraId="62411E5D" w14:textId="36970DFF"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127,893</w:t>
            </w:r>
          </w:p>
        </w:tc>
        <w:tc>
          <w:tcPr>
            <w:tcW w:w="270" w:type="dxa"/>
            <w:tcBorders>
              <w:top w:val="single" w:sz="4" w:space="0" w:color="auto"/>
              <w:bottom w:val="single" w:sz="4" w:space="0" w:color="auto"/>
            </w:tcBorders>
            <w:vAlign w:val="bottom"/>
          </w:tcPr>
          <w:p w14:paraId="7736CB1F"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0C1B4F56" w14:textId="3181AA8A"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98,541</w:t>
            </w:r>
          </w:p>
        </w:tc>
        <w:tc>
          <w:tcPr>
            <w:tcW w:w="270" w:type="dxa"/>
            <w:tcBorders>
              <w:top w:val="single" w:sz="4" w:space="0" w:color="auto"/>
              <w:bottom w:val="single" w:sz="4" w:space="0" w:color="auto"/>
            </w:tcBorders>
            <w:vAlign w:val="bottom"/>
          </w:tcPr>
          <w:p w14:paraId="0EBF5F73" w14:textId="77777777" w:rsidR="00B52DAE" w:rsidRPr="003A176D" w:rsidRDefault="00B52DAE" w:rsidP="00704BB5">
            <w:pPr>
              <w:spacing w:after="0" w:line="240" w:lineRule="auto"/>
              <w:jc w:val="right"/>
              <w:rPr>
                <w:rFonts w:ascii="Arial" w:hAnsi="Arial" w:cs="Arial"/>
                <w:b/>
                <w:bCs/>
                <w:sz w:val="18"/>
                <w:szCs w:val="18"/>
              </w:rPr>
            </w:pPr>
          </w:p>
        </w:tc>
        <w:tc>
          <w:tcPr>
            <w:tcW w:w="1260" w:type="dxa"/>
            <w:tcBorders>
              <w:top w:val="single" w:sz="4" w:space="0" w:color="auto"/>
              <w:bottom w:val="single" w:sz="4" w:space="0" w:color="auto"/>
            </w:tcBorders>
            <w:vAlign w:val="bottom"/>
          </w:tcPr>
          <w:p w14:paraId="5EBD8402" w14:textId="4B8073E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111,007</w:t>
            </w:r>
          </w:p>
        </w:tc>
        <w:tc>
          <w:tcPr>
            <w:tcW w:w="360" w:type="dxa"/>
            <w:tcBorders>
              <w:top w:val="single" w:sz="4" w:space="0" w:color="auto"/>
              <w:bottom w:val="single" w:sz="4" w:space="0" w:color="auto"/>
            </w:tcBorders>
            <w:vAlign w:val="bottom"/>
          </w:tcPr>
          <w:p w14:paraId="277E3AA3"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309C46FF" w14:textId="693746D4"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(88,084)</w:t>
            </w:r>
          </w:p>
        </w:tc>
      </w:tr>
      <w:tr w:rsidR="00B52DAE" w:rsidRPr="003A176D" w14:paraId="55E3D012" w14:textId="77777777" w:rsidTr="00B52DAE">
        <w:tc>
          <w:tcPr>
            <w:tcW w:w="3589" w:type="dxa"/>
            <w:tcBorders>
              <w:top w:val="single" w:sz="4" w:space="0" w:color="auto"/>
            </w:tcBorders>
          </w:tcPr>
          <w:p w14:paraId="557E1F37" w14:textId="77777777" w:rsidR="00B52DAE" w:rsidRPr="003A176D" w:rsidRDefault="00B52DAE" w:rsidP="00704BB5">
            <w:pPr>
              <w:spacing w:after="0" w:line="240" w:lineRule="auto"/>
              <w:rPr>
                <w:rFonts w:ascii="Arial" w:hAnsi="Arial" w:cs="Arial"/>
                <w:sz w:val="18"/>
                <w:szCs w:val="18"/>
              </w:rPr>
            </w:pPr>
          </w:p>
        </w:tc>
        <w:tc>
          <w:tcPr>
            <w:tcW w:w="239" w:type="dxa"/>
            <w:tcBorders>
              <w:top w:val="single" w:sz="4" w:space="0" w:color="auto"/>
            </w:tcBorders>
            <w:vAlign w:val="bottom"/>
          </w:tcPr>
          <w:p w14:paraId="62806801" w14:textId="77777777" w:rsidR="00B52DAE" w:rsidRPr="003A176D" w:rsidRDefault="00B52DAE" w:rsidP="00704BB5">
            <w:pPr>
              <w:spacing w:after="0" w:line="240" w:lineRule="auto"/>
              <w:jc w:val="right"/>
              <w:rPr>
                <w:rFonts w:ascii="Arial" w:hAnsi="Arial" w:cs="Arial"/>
                <w:sz w:val="18"/>
                <w:szCs w:val="18"/>
              </w:rPr>
            </w:pPr>
          </w:p>
        </w:tc>
        <w:tc>
          <w:tcPr>
            <w:tcW w:w="1212" w:type="dxa"/>
            <w:tcBorders>
              <w:top w:val="single" w:sz="4" w:space="0" w:color="auto"/>
            </w:tcBorders>
            <w:vAlign w:val="bottom"/>
          </w:tcPr>
          <w:p w14:paraId="7322E532"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1CBFB284"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01303578" w14:textId="77777777" w:rsidR="00B52DAE" w:rsidRPr="003A176D" w:rsidRDefault="00B52DAE" w:rsidP="00704BB5">
            <w:pPr>
              <w:spacing w:after="0" w:line="240" w:lineRule="auto"/>
              <w:jc w:val="right"/>
              <w:rPr>
                <w:rFonts w:ascii="Arial" w:hAnsi="Arial" w:cs="Arial"/>
                <w:sz w:val="18"/>
                <w:szCs w:val="18"/>
              </w:rPr>
            </w:pPr>
          </w:p>
        </w:tc>
        <w:tc>
          <w:tcPr>
            <w:tcW w:w="270" w:type="dxa"/>
            <w:tcBorders>
              <w:top w:val="single" w:sz="4" w:space="0" w:color="auto"/>
            </w:tcBorders>
            <w:vAlign w:val="bottom"/>
          </w:tcPr>
          <w:p w14:paraId="317FE2F5" w14:textId="77777777" w:rsidR="00B52DAE" w:rsidRPr="003A176D" w:rsidRDefault="00B52DAE" w:rsidP="00704BB5">
            <w:pPr>
              <w:spacing w:after="0" w:line="240" w:lineRule="auto"/>
              <w:jc w:val="right"/>
              <w:rPr>
                <w:rFonts w:ascii="Arial" w:hAnsi="Arial" w:cs="Arial"/>
                <w:sz w:val="18"/>
                <w:szCs w:val="18"/>
              </w:rPr>
            </w:pPr>
          </w:p>
        </w:tc>
        <w:tc>
          <w:tcPr>
            <w:tcW w:w="1260" w:type="dxa"/>
            <w:tcBorders>
              <w:top w:val="single" w:sz="4" w:space="0" w:color="auto"/>
            </w:tcBorders>
            <w:vAlign w:val="bottom"/>
          </w:tcPr>
          <w:p w14:paraId="1232AAD9" w14:textId="77777777" w:rsidR="00B52DAE" w:rsidRPr="003A176D" w:rsidRDefault="00B52DAE" w:rsidP="00704BB5">
            <w:pPr>
              <w:spacing w:after="0" w:line="240" w:lineRule="auto"/>
              <w:jc w:val="right"/>
              <w:rPr>
                <w:rFonts w:ascii="Arial" w:hAnsi="Arial" w:cs="Arial"/>
                <w:sz w:val="18"/>
                <w:szCs w:val="18"/>
              </w:rPr>
            </w:pPr>
          </w:p>
        </w:tc>
        <w:tc>
          <w:tcPr>
            <w:tcW w:w="360" w:type="dxa"/>
            <w:tcBorders>
              <w:top w:val="single" w:sz="4" w:space="0" w:color="auto"/>
            </w:tcBorders>
            <w:vAlign w:val="bottom"/>
          </w:tcPr>
          <w:p w14:paraId="3CD0FDA5" w14:textId="77777777" w:rsidR="00B52DAE" w:rsidRPr="003A176D" w:rsidRDefault="00B52DAE" w:rsidP="00704BB5">
            <w:pPr>
              <w:spacing w:after="0" w:line="240" w:lineRule="auto"/>
              <w:jc w:val="right"/>
              <w:rPr>
                <w:rFonts w:ascii="Arial" w:hAnsi="Arial" w:cs="Arial"/>
                <w:sz w:val="18"/>
                <w:szCs w:val="18"/>
              </w:rPr>
            </w:pPr>
          </w:p>
        </w:tc>
        <w:tc>
          <w:tcPr>
            <w:tcW w:w="1170" w:type="dxa"/>
            <w:tcBorders>
              <w:top w:val="single" w:sz="4" w:space="0" w:color="auto"/>
            </w:tcBorders>
            <w:vAlign w:val="bottom"/>
          </w:tcPr>
          <w:p w14:paraId="389F649E"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56884FF1" w14:textId="77777777" w:rsidTr="00B52DAE">
        <w:tc>
          <w:tcPr>
            <w:tcW w:w="3589" w:type="dxa"/>
          </w:tcPr>
          <w:p w14:paraId="1FB2381B" w14:textId="1E745F8B"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Net loss for the period</w:t>
            </w:r>
          </w:p>
        </w:tc>
        <w:tc>
          <w:tcPr>
            <w:tcW w:w="1451" w:type="dxa"/>
            <w:gridSpan w:val="2"/>
            <w:vAlign w:val="bottom"/>
          </w:tcPr>
          <w:p w14:paraId="2AC47D95" w14:textId="3CE8576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3F7380" w:rsidRPr="003A176D">
              <w:rPr>
                <w:rFonts w:ascii="Arial" w:hAnsi="Arial" w:cs="Arial"/>
                <w:b/>
                <w:bCs/>
                <w:sz w:val="18"/>
                <w:szCs w:val="18"/>
              </w:rPr>
              <w:t>410,648</w:t>
            </w:r>
            <w:r w:rsidRPr="003A176D">
              <w:rPr>
                <w:rFonts w:ascii="Arial" w:hAnsi="Arial" w:cs="Arial"/>
                <w:b/>
                <w:bCs/>
                <w:sz w:val="18"/>
                <w:szCs w:val="18"/>
              </w:rPr>
              <w:t>)</w:t>
            </w:r>
          </w:p>
        </w:tc>
        <w:tc>
          <w:tcPr>
            <w:tcW w:w="270" w:type="dxa"/>
            <w:vAlign w:val="bottom"/>
          </w:tcPr>
          <w:p w14:paraId="4F127C85" w14:textId="77777777" w:rsidR="00B52DAE" w:rsidRPr="003A176D" w:rsidRDefault="00B52DAE" w:rsidP="00704BB5">
            <w:pPr>
              <w:spacing w:after="0" w:line="240" w:lineRule="auto"/>
              <w:jc w:val="right"/>
              <w:rPr>
                <w:rFonts w:ascii="Arial" w:hAnsi="Arial" w:cs="Arial"/>
                <w:b/>
                <w:bCs/>
                <w:sz w:val="18"/>
                <w:szCs w:val="18"/>
              </w:rPr>
            </w:pPr>
          </w:p>
        </w:tc>
        <w:tc>
          <w:tcPr>
            <w:tcW w:w="1170" w:type="dxa"/>
            <w:vAlign w:val="bottom"/>
          </w:tcPr>
          <w:p w14:paraId="133FC76C" w14:textId="0B65E18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(656,092)</w:t>
            </w:r>
          </w:p>
        </w:tc>
        <w:tc>
          <w:tcPr>
            <w:tcW w:w="270" w:type="dxa"/>
            <w:vAlign w:val="bottom"/>
          </w:tcPr>
          <w:p w14:paraId="10D22A31" w14:textId="77777777" w:rsidR="00B52DAE" w:rsidRPr="003A176D" w:rsidRDefault="00B52DAE" w:rsidP="00704BB5">
            <w:pPr>
              <w:spacing w:after="0" w:line="240" w:lineRule="auto"/>
              <w:jc w:val="right"/>
              <w:rPr>
                <w:rFonts w:ascii="Arial" w:hAnsi="Arial" w:cs="Arial"/>
                <w:b/>
                <w:bCs/>
                <w:sz w:val="18"/>
                <w:szCs w:val="18"/>
              </w:rPr>
            </w:pPr>
          </w:p>
        </w:tc>
        <w:tc>
          <w:tcPr>
            <w:tcW w:w="1260" w:type="dxa"/>
            <w:vAlign w:val="bottom"/>
          </w:tcPr>
          <w:p w14:paraId="69A956DD" w14:textId="76553145"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(8,</w:t>
            </w:r>
            <w:r w:rsidR="00165765" w:rsidRPr="003A176D">
              <w:rPr>
                <w:rFonts w:ascii="Arial" w:hAnsi="Arial" w:cs="Arial"/>
                <w:b/>
                <w:bCs/>
                <w:sz w:val="18"/>
                <w:szCs w:val="18"/>
              </w:rPr>
              <w:t>746,705</w:t>
            </w:r>
            <w:r w:rsidRPr="003A176D">
              <w:rPr>
                <w:rFonts w:ascii="Arial" w:hAnsi="Arial" w:cs="Arial"/>
                <w:b/>
                <w:bCs/>
                <w:sz w:val="18"/>
                <w:szCs w:val="18"/>
              </w:rPr>
              <w:t>)</w:t>
            </w:r>
          </w:p>
        </w:tc>
        <w:tc>
          <w:tcPr>
            <w:tcW w:w="360" w:type="dxa"/>
            <w:vAlign w:val="bottom"/>
          </w:tcPr>
          <w:p w14:paraId="20765DEA" w14:textId="77777777" w:rsidR="00B52DAE" w:rsidRPr="003A176D" w:rsidRDefault="00B52DAE" w:rsidP="00704BB5">
            <w:pPr>
              <w:spacing w:after="0" w:line="240" w:lineRule="auto"/>
              <w:jc w:val="right"/>
              <w:rPr>
                <w:rFonts w:ascii="Arial" w:hAnsi="Arial" w:cs="Arial"/>
                <w:b/>
                <w:bCs/>
                <w:sz w:val="18"/>
                <w:szCs w:val="18"/>
              </w:rPr>
            </w:pPr>
          </w:p>
        </w:tc>
        <w:tc>
          <w:tcPr>
            <w:tcW w:w="1170" w:type="dxa"/>
            <w:vAlign w:val="bottom"/>
          </w:tcPr>
          <w:p w14:paraId="77FD969F" w14:textId="1FC0C819"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C016C6">
              <w:rPr>
                <w:rFonts w:ascii="Arial" w:hAnsi="Arial" w:cs="Arial"/>
                <w:b/>
                <w:bCs/>
                <w:sz w:val="18"/>
                <w:szCs w:val="18"/>
              </w:rPr>
              <w:t>738,842</w:t>
            </w:r>
            <w:r w:rsidRPr="003A176D">
              <w:rPr>
                <w:rFonts w:ascii="Arial" w:hAnsi="Arial" w:cs="Arial"/>
                <w:b/>
                <w:bCs/>
                <w:sz w:val="18"/>
                <w:szCs w:val="18"/>
              </w:rPr>
              <w:t>)</w:t>
            </w:r>
          </w:p>
        </w:tc>
      </w:tr>
      <w:tr w:rsidR="00B52DAE" w:rsidRPr="003A176D" w14:paraId="5997FAFA" w14:textId="77777777" w:rsidTr="00B52DAE">
        <w:tc>
          <w:tcPr>
            <w:tcW w:w="3589" w:type="dxa"/>
          </w:tcPr>
          <w:p w14:paraId="466FA5E5" w14:textId="77777777" w:rsidR="00B52DAE" w:rsidRPr="003A176D" w:rsidRDefault="00B52DAE" w:rsidP="00704BB5">
            <w:pPr>
              <w:spacing w:after="0" w:line="240" w:lineRule="auto"/>
              <w:rPr>
                <w:rFonts w:ascii="Arial" w:hAnsi="Arial" w:cs="Arial"/>
                <w:sz w:val="18"/>
                <w:szCs w:val="18"/>
              </w:rPr>
            </w:pPr>
          </w:p>
        </w:tc>
        <w:tc>
          <w:tcPr>
            <w:tcW w:w="239" w:type="dxa"/>
            <w:vAlign w:val="bottom"/>
          </w:tcPr>
          <w:p w14:paraId="443C17C2" w14:textId="77777777" w:rsidR="00B52DAE" w:rsidRPr="003A176D" w:rsidRDefault="00B52DAE" w:rsidP="00704BB5">
            <w:pPr>
              <w:spacing w:after="0" w:line="240" w:lineRule="auto"/>
              <w:jc w:val="right"/>
              <w:rPr>
                <w:rFonts w:ascii="Arial" w:hAnsi="Arial" w:cs="Arial"/>
                <w:sz w:val="18"/>
                <w:szCs w:val="18"/>
              </w:rPr>
            </w:pPr>
          </w:p>
        </w:tc>
        <w:tc>
          <w:tcPr>
            <w:tcW w:w="1212" w:type="dxa"/>
            <w:vAlign w:val="bottom"/>
          </w:tcPr>
          <w:p w14:paraId="506857F3"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4E02E363"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5FDA2C32" w14:textId="77777777" w:rsidR="00B52DAE" w:rsidRPr="003A176D" w:rsidRDefault="00B52DAE" w:rsidP="00704BB5">
            <w:pPr>
              <w:spacing w:after="0" w:line="240" w:lineRule="auto"/>
              <w:jc w:val="right"/>
              <w:rPr>
                <w:rFonts w:ascii="Arial" w:hAnsi="Arial" w:cs="Arial"/>
                <w:sz w:val="18"/>
                <w:szCs w:val="18"/>
              </w:rPr>
            </w:pPr>
          </w:p>
        </w:tc>
        <w:tc>
          <w:tcPr>
            <w:tcW w:w="270" w:type="dxa"/>
            <w:vAlign w:val="bottom"/>
          </w:tcPr>
          <w:p w14:paraId="4FDE7532" w14:textId="77777777" w:rsidR="00B52DAE" w:rsidRPr="003A176D" w:rsidRDefault="00B52DAE" w:rsidP="00704BB5">
            <w:pPr>
              <w:spacing w:after="0" w:line="240" w:lineRule="auto"/>
              <w:jc w:val="right"/>
              <w:rPr>
                <w:rFonts w:ascii="Arial" w:hAnsi="Arial" w:cs="Arial"/>
                <w:sz w:val="18"/>
                <w:szCs w:val="18"/>
              </w:rPr>
            </w:pPr>
          </w:p>
        </w:tc>
        <w:tc>
          <w:tcPr>
            <w:tcW w:w="1260" w:type="dxa"/>
            <w:vAlign w:val="bottom"/>
          </w:tcPr>
          <w:p w14:paraId="2442E2BF" w14:textId="77777777" w:rsidR="00B52DAE" w:rsidRPr="003A176D" w:rsidRDefault="00B52DAE" w:rsidP="00704BB5">
            <w:pPr>
              <w:spacing w:after="0" w:line="240" w:lineRule="auto"/>
              <w:jc w:val="right"/>
              <w:rPr>
                <w:rFonts w:ascii="Arial" w:hAnsi="Arial" w:cs="Arial"/>
                <w:sz w:val="18"/>
                <w:szCs w:val="18"/>
              </w:rPr>
            </w:pPr>
          </w:p>
        </w:tc>
        <w:tc>
          <w:tcPr>
            <w:tcW w:w="360" w:type="dxa"/>
            <w:vAlign w:val="bottom"/>
          </w:tcPr>
          <w:p w14:paraId="35017C39" w14:textId="77777777" w:rsidR="00B52DAE" w:rsidRPr="003A176D" w:rsidRDefault="00B52DAE" w:rsidP="00704BB5">
            <w:pPr>
              <w:spacing w:after="0" w:line="240" w:lineRule="auto"/>
              <w:jc w:val="right"/>
              <w:rPr>
                <w:rFonts w:ascii="Arial" w:hAnsi="Arial" w:cs="Arial"/>
                <w:sz w:val="18"/>
                <w:szCs w:val="18"/>
              </w:rPr>
            </w:pPr>
          </w:p>
        </w:tc>
        <w:tc>
          <w:tcPr>
            <w:tcW w:w="1170" w:type="dxa"/>
            <w:vAlign w:val="bottom"/>
          </w:tcPr>
          <w:p w14:paraId="15077173" w14:textId="77777777" w:rsidR="00B52DAE" w:rsidRPr="003A176D" w:rsidRDefault="00B52DAE" w:rsidP="00704BB5">
            <w:pPr>
              <w:spacing w:after="0" w:line="240" w:lineRule="auto"/>
              <w:jc w:val="right"/>
              <w:rPr>
                <w:rFonts w:ascii="Arial" w:hAnsi="Arial" w:cs="Arial"/>
                <w:sz w:val="18"/>
                <w:szCs w:val="18"/>
              </w:rPr>
            </w:pPr>
          </w:p>
        </w:tc>
      </w:tr>
      <w:tr w:rsidR="00B52DAE" w:rsidRPr="003A176D" w14:paraId="039A8B79" w14:textId="77777777" w:rsidTr="00B52DAE">
        <w:tc>
          <w:tcPr>
            <w:tcW w:w="3589" w:type="dxa"/>
          </w:tcPr>
          <w:p w14:paraId="36843D7C"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Other comprehensive loss (income)</w:t>
            </w:r>
          </w:p>
        </w:tc>
        <w:tc>
          <w:tcPr>
            <w:tcW w:w="239" w:type="dxa"/>
            <w:vAlign w:val="bottom"/>
          </w:tcPr>
          <w:p w14:paraId="0A3790C5" w14:textId="77777777" w:rsidR="00B52DAE" w:rsidRPr="003A176D" w:rsidRDefault="00B52DAE" w:rsidP="00704BB5">
            <w:pPr>
              <w:spacing w:after="0" w:line="240" w:lineRule="auto"/>
              <w:jc w:val="right"/>
              <w:rPr>
                <w:rFonts w:ascii="Arial" w:hAnsi="Arial" w:cs="Arial"/>
                <w:b/>
                <w:bCs/>
                <w:sz w:val="18"/>
                <w:szCs w:val="18"/>
              </w:rPr>
            </w:pPr>
          </w:p>
        </w:tc>
        <w:tc>
          <w:tcPr>
            <w:tcW w:w="1212" w:type="dxa"/>
            <w:vAlign w:val="bottom"/>
          </w:tcPr>
          <w:p w14:paraId="10B99D6D" w14:textId="77777777" w:rsidR="00B52DAE" w:rsidRPr="003A176D" w:rsidRDefault="00B52DAE" w:rsidP="00704BB5">
            <w:pPr>
              <w:spacing w:after="0" w:line="240" w:lineRule="auto"/>
              <w:jc w:val="right"/>
              <w:rPr>
                <w:rFonts w:ascii="Arial" w:hAnsi="Arial" w:cs="Arial"/>
                <w:b/>
                <w:bCs/>
                <w:sz w:val="18"/>
                <w:szCs w:val="18"/>
              </w:rPr>
            </w:pPr>
          </w:p>
        </w:tc>
        <w:tc>
          <w:tcPr>
            <w:tcW w:w="270" w:type="dxa"/>
            <w:vAlign w:val="bottom"/>
          </w:tcPr>
          <w:p w14:paraId="3BD9197E" w14:textId="77777777" w:rsidR="00B52DAE" w:rsidRPr="003A176D" w:rsidRDefault="00B52DAE" w:rsidP="00704BB5">
            <w:pPr>
              <w:spacing w:after="0" w:line="240" w:lineRule="auto"/>
              <w:jc w:val="right"/>
              <w:rPr>
                <w:rFonts w:ascii="Arial" w:hAnsi="Arial" w:cs="Arial"/>
                <w:b/>
                <w:bCs/>
                <w:sz w:val="18"/>
                <w:szCs w:val="18"/>
              </w:rPr>
            </w:pPr>
          </w:p>
        </w:tc>
        <w:tc>
          <w:tcPr>
            <w:tcW w:w="1170" w:type="dxa"/>
            <w:vAlign w:val="bottom"/>
          </w:tcPr>
          <w:p w14:paraId="12B3C7C6" w14:textId="77777777" w:rsidR="00B52DAE" w:rsidRPr="003A176D" w:rsidRDefault="00B52DAE" w:rsidP="00704BB5">
            <w:pPr>
              <w:spacing w:after="0" w:line="240" w:lineRule="auto"/>
              <w:jc w:val="right"/>
              <w:rPr>
                <w:rFonts w:ascii="Arial" w:hAnsi="Arial" w:cs="Arial"/>
                <w:b/>
                <w:bCs/>
                <w:sz w:val="18"/>
                <w:szCs w:val="18"/>
              </w:rPr>
            </w:pPr>
          </w:p>
        </w:tc>
        <w:tc>
          <w:tcPr>
            <w:tcW w:w="270" w:type="dxa"/>
            <w:vAlign w:val="bottom"/>
          </w:tcPr>
          <w:p w14:paraId="1603B7F8" w14:textId="77777777" w:rsidR="00B52DAE" w:rsidRPr="003A176D" w:rsidRDefault="00B52DAE" w:rsidP="00704BB5">
            <w:pPr>
              <w:spacing w:after="0" w:line="240" w:lineRule="auto"/>
              <w:jc w:val="right"/>
              <w:rPr>
                <w:rFonts w:ascii="Arial" w:hAnsi="Arial" w:cs="Arial"/>
                <w:b/>
                <w:bCs/>
                <w:sz w:val="18"/>
                <w:szCs w:val="18"/>
              </w:rPr>
            </w:pPr>
          </w:p>
        </w:tc>
        <w:tc>
          <w:tcPr>
            <w:tcW w:w="1260" w:type="dxa"/>
            <w:vAlign w:val="bottom"/>
          </w:tcPr>
          <w:p w14:paraId="27B5720C" w14:textId="77777777" w:rsidR="00B52DAE" w:rsidRPr="003A176D" w:rsidRDefault="00B52DAE" w:rsidP="00704BB5">
            <w:pPr>
              <w:spacing w:after="0" w:line="240" w:lineRule="auto"/>
              <w:jc w:val="right"/>
              <w:rPr>
                <w:rFonts w:ascii="Arial" w:hAnsi="Arial" w:cs="Arial"/>
                <w:b/>
                <w:bCs/>
                <w:sz w:val="18"/>
                <w:szCs w:val="18"/>
              </w:rPr>
            </w:pPr>
          </w:p>
        </w:tc>
        <w:tc>
          <w:tcPr>
            <w:tcW w:w="360" w:type="dxa"/>
            <w:vAlign w:val="bottom"/>
          </w:tcPr>
          <w:p w14:paraId="76E4FEBD" w14:textId="77777777" w:rsidR="00B52DAE" w:rsidRPr="003A176D" w:rsidRDefault="00B52DAE" w:rsidP="00704BB5">
            <w:pPr>
              <w:spacing w:after="0" w:line="240" w:lineRule="auto"/>
              <w:jc w:val="right"/>
              <w:rPr>
                <w:rFonts w:ascii="Arial" w:hAnsi="Arial" w:cs="Arial"/>
                <w:b/>
                <w:bCs/>
                <w:sz w:val="18"/>
                <w:szCs w:val="18"/>
              </w:rPr>
            </w:pPr>
          </w:p>
        </w:tc>
        <w:tc>
          <w:tcPr>
            <w:tcW w:w="1170" w:type="dxa"/>
            <w:vAlign w:val="bottom"/>
          </w:tcPr>
          <w:p w14:paraId="4A0D8455" w14:textId="77777777" w:rsidR="00B52DAE" w:rsidRPr="003A176D" w:rsidRDefault="00B52DAE" w:rsidP="00704BB5">
            <w:pPr>
              <w:spacing w:after="0" w:line="240" w:lineRule="auto"/>
              <w:jc w:val="right"/>
              <w:rPr>
                <w:rFonts w:ascii="Arial" w:hAnsi="Arial" w:cs="Arial"/>
                <w:b/>
                <w:bCs/>
                <w:sz w:val="18"/>
                <w:szCs w:val="18"/>
              </w:rPr>
            </w:pPr>
          </w:p>
        </w:tc>
      </w:tr>
      <w:tr w:rsidR="00B52DAE" w:rsidRPr="003A176D" w14:paraId="75F4525D" w14:textId="77777777" w:rsidTr="00B52DAE">
        <w:tc>
          <w:tcPr>
            <w:tcW w:w="3589" w:type="dxa"/>
            <w:tcBorders>
              <w:bottom w:val="single" w:sz="4" w:space="0" w:color="auto"/>
            </w:tcBorders>
          </w:tcPr>
          <w:p w14:paraId="5AE54539" w14:textId="77777777" w:rsidR="00B52DAE" w:rsidRPr="003A176D" w:rsidRDefault="00B52DAE" w:rsidP="00704BB5">
            <w:pPr>
              <w:spacing w:after="0" w:line="240" w:lineRule="auto"/>
              <w:rPr>
                <w:rFonts w:ascii="Arial" w:hAnsi="Arial" w:cs="Arial"/>
                <w:sz w:val="18"/>
                <w:szCs w:val="18"/>
              </w:rPr>
            </w:pPr>
            <w:r w:rsidRPr="003A176D">
              <w:rPr>
                <w:rFonts w:ascii="Arial" w:hAnsi="Arial" w:cs="Arial"/>
                <w:sz w:val="18"/>
                <w:szCs w:val="18"/>
              </w:rPr>
              <w:t xml:space="preserve"> Currency translation adjustment</w:t>
            </w:r>
          </w:p>
        </w:tc>
        <w:tc>
          <w:tcPr>
            <w:tcW w:w="239" w:type="dxa"/>
            <w:tcBorders>
              <w:bottom w:val="single" w:sz="4" w:space="0" w:color="auto"/>
            </w:tcBorders>
            <w:vAlign w:val="bottom"/>
          </w:tcPr>
          <w:p w14:paraId="289D7240" w14:textId="77777777" w:rsidR="00B52DAE" w:rsidRPr="003A176D" w:rsidRDefault="00B52DAE" w:rsidP="00704BB5">
            <w:pPr>
              <w:spacing w:after="0" w:line="240" w:lineRule="auto"/>
              <w:jc w:val="right"/>
              <w:rPr>
                <w:rFonts w:ascii="Arial" w:hAnsi="Arial" w:cs="Arial"/>
                <w:sz w:val="18"/>
                <w:szCs w:val="18"/>
              </w:rPr>
            </w:pPr>
          </w:p>
        </w:tc>
        <w:tc>
          <w:tcPr>
            <w:tcW w:w="1212" w:type="dxa"/>
            <w:tcBorders>
              <w:bottom w:val="single" w:sz="4" w:space="0" w:color="auto"/>
            </w:tcBorders>
            <w:vAlign w:val="bottom"/>
          </w:tcPr>
          <w:p w14:paraId="3B34D339" w14:textId="2E579A4B"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2,776</w:t>
            </w:r>
          </w:p>
        </w:tc>
        <w:tc>
          <w:tcPr>
            <w:tcW w:w="270" w:type="dxa"/>
            <w:tcBorders>
              <w:bottom w:val="single" w:sz="4" w:space="0" w:color="auto"/>
            </w:tcBorders>
            <w:vAlign w:val="bottom"/>
          </w:tcPr>
          <w:p w14:paraId="7498009B" w14:textId="77777777" w:rsidR="00B52DAE" w:rsidRPr="003A176D" w:rsidRDefault="00B52DAE" w:rsidP="00704BB5">
            <w:pPr>
              <w:spacing w:after="0" w:line="240" w:lineRule="auto"/>
              <w:jc w:val="right"/>
              <w:rPr>
                <w:rFonts w:ascii="Arial" w:hAnsi="Arial" w:cs="Arial"/>
                <w:sz w:val="18"/>
                <w:szCs w:val="18"/>
              </w:rPr>
            </w:pPr>
          </w:p>
        </w:tc>
        <w:tc>
          <w:tcPr>
            <w:tcW w:w="1170" w:type="dxa"/>
            <w:tcBorders>
              <w:bottom w:val="single" w:sz="4" w:space="0" w:color="auto"/>
            </w:tcBorders>
            <w:vAlign w:val="bottom"/>
          </w:tcPr>
          <w:p w14:paraId="065C1E6B" w14:textId="52EDBDD3"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513</w:t>
            </w:r>
          </w:p>
        </w:tc>
        <w:tc>
          <w:tcPr>
            <w:tcW w:w="270" w:type="dxa"/>
            <w:tcBorders>
              <w:bottom w:val="single" w:sz="4" w:space="0" w:color="auto"/>
            </w:tcBorders>
            <w:vAlign w:val="bottom"/>
          </w:tcPr>
          <w:p w14:paraId="170795C3" w14:textId="77777777" w:rsidR="00B52DAE" w:rsidRPr="003A176D" w:rsidRDefault="00B52DAE" w:rsidP="00704BB5">
            <w:pPr>
              <w:spacing w:after="0" w:line="240" w:lineRule="auto"/>
              <w:jc w:val="right"/>
              <w:rPr>
                <w:rFonts w:ascii="Arial" w:hAnsi="Arial" w:cs="Arial"/>
                <w:sz w:val="18"/>
                <w:szCs w:val="18"/>
              </w:rPr>
            </w:pPr>
          </w:p>
        </w:tc>
        <w:tc>
          <w:tcPr>
            <w:tcW w:w="1260" w:type="dxa"/>
            <w:tcBorders>
              <w:bottom w:val="single" w:sz="4" w:space="0" w:color="auto"/>
            </w:tcBorders>
            <w:vAlign w:val="bottom"/>
          </w:tcPr>
          <w:p w14:paraId="190917BC" w14:textId="3EC8FB2B"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(1,87</w:t>
            </w:r>
            <w:r w:rsidR="000B5EA6" w:rsidRPr="003A176D">
              <w:rPr>
                <w:rFonts w:ascii="Arial" w:hAnsi="Arial" w:cs="Arial"/>
                <w:sz w:val="18"/>
                <w:szCs w:val="18"/>
              </w:rPr>
              <w:t>1</w:t>
            </w:r>
            <w:r w:rsidRPr="003A176D">
              <w:rPr>
                <w:rFonts w:ascii="Arial" w:hAnsi="Arial" w:cs="Arial"/>
                <w:sz w:val="18"/>
                <w:szCs w:val="18"/>
              </w:rPr>
              <w:t>)</w:t>
            </w:r>
          </w:p>
        </w:tc>
        <w:tc>
          <w:tcPr>
            <w:tcW w:w="360" w:type="dxa"/>
            <w:tcBorders>
              <w:bottom w:val="single" w:sz="4" w:space="0" w:color="auto"/>
            </w:tcBorders>
            <w:vAlign w:val="bottom"/>
          </w:tcPr>
          <w:p w14:paraId="0CE03C20" w14:textId="77777777" w:rsidR="00B52DAE" w:rsidRPr="003A176D" w:rsidRDefault="00B52DAE" w:rsidP="00704BB5">
            <w:pPr>
              <w:spacing w:after="0" w:line="240" w:lineRule="auto"/>
              <w:jc w:val="right"/>
              <w:rPr>
                <w:rFonts w:ascii="Arial" w:hAnsi="Arial" w:cs="Arial"/>
                <w:sz w:val="18"/>
                <w:szCs w:val="18"/>
              </w:rPr>
            </w:pPr>
          </w:p>
        </w:tc>
        <w:tc>
          <w:tcPr>
            <w:tcW w:w="1170" w:type="dxa"/>
            <w:tcBorders>
              <w:bottom w:val="single" w:sz="4" w:space="0" w:color="auto"/>
            </w:tcBorders>
            <w:vAlign w:val="bottom"/>
          </w:tcPr>
          <w:p w14:paraId="116F4D47" w14:textId="743F8A2E" w:rsidR="00B52DAE" w:rsidRPr="003A176D" w:rsidRDefault="00B52DAE" w:rsidP="00704BB5">
            <w:pPr>
              <w:spacing w:after="0" w:line="240" w:lineRule="auto"/>
              <w:jc w:val="right"/>
              <w:rPr>
                <w:rFonts w:ascii="Arial" w:hAnsi="Arial" w:cs="Arial"/>
                <w:sz w:val="18"/>
                <w:szCs w:val="18"/>
              </w:rPr>
            </w:pPr>
            <w:r w:rsidRPr="003A176D">
              <w:rPr>
                <w:rFonts w:ascii="Arial" w:hAnsi="Arial" w:cs="Arial"/>
                <w:sz w:val="18"/>
                <w:szCs w:val="18"/>
              </w:rPr>
              <w:t>513</w:t>
            </w:r>
          </w:p>
        </w:tc>
      </w:tr>
      <w:tr w:rsidR="00B52DAE" w:rsidRPr="003A176D" w14:paraId="046E872E" w14:textId="77777777" w:rsidTr="00B52DAE">
        <w:tc>
          <w:tcPr>
            <w:tcW w:w="3589" w:type="dxa"/>
            <w:tcBorders>
              <w:top w:val="single" w:sz="4" w:space="0" w:color="auto"/>
              <w:bottom w:val="double" w:sz="4" w:space="0" w:color="auto"/>
            </w:tcBorders>
          </w:tcPr>
          <w:p w14:paraId="3908B51E"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Total comprehensive loss</w:t>
            </w:r>
          </w:p>
        </w:tc>
        <w:tc>
          <w:tcPr>
            <w:tcW w:w="239" w:type="dxa"/>
            <w:tcBorders>
              <w:top w:val="single" w:sz="4" w:space="0" w:color="auto"/>
              <w:bottom w:val="double" w:sz="4" w:space="0" w:color="auto"/>
            </w:tcBorders>
            <w:vAlign w:val="bottom"/>
          </w:tcPr>
          <w:p w14:paraId="1E191924"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212" w:type="dxa"/>
            <w:tcBorders>
              <w:top w:val="single" w:sz="4" w:space="0" w:color="auto"/>
              <w:bottom w:val="double" w:sz="4" w:space="0" w:color="auto"/>
            </w:tcBorders>
            <w:vAlign w:val="bottom"/>
          </w:tcPr>
          <w:p w14:paraId="43E63A5E" w14:textId="6FB5A07A"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3F7380" w:rsidRPr="003A176D">
              <w:rPr>
                <w:rFonts w:ascii="Arial" w:hAnsi="Arial" w:cs="Arial"/>
                <w:b/>
                <w:bCs/>
                <w:sz w:val="18"/>
                <w:szCs w:val="18"/>
              </w:rPr>
              <w:t>413,425</w:t>
            </w:r>
            <w:r w:rsidRPr="003A176D">
              <w:rPr>
                <w:rFonts w:ascii="Arial" w:hAnsi="Arial" w:cs="Arial"/>
                <w:b/>
                <w:bCs/>
                <w:sz w:val="18"/>
                <w:szCs w:val="18"/>
              </w:rPr>
              <w:t>)</w:t>
            </w:r>
          </w:p>
        </w:tc>
        <w:tc>
          <w:tcPr>
            <w:tcW w:w="270" w:type="dxa"/>
            <w:tcBorders>
              <w:top w:val="single" w:sz="4" w:space="0" w:color="auto"/>
              <w:bottom w:val="double" w:sz="4" w:space="0" w:color="auto"/>
            </w:tcBorders>
            <w:vAlign w:val="bottom"/>
          </w:tcPr>
          <w:p w14:paraId="7259FC24"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170" w:type="dxa"/>
            <w:tcBorders>
              <w:top w:val="single" w:sz="4" w:space="0" w:color="auto"/>
              <w:bottom w:val="double" w:sz="4" w:space="0" w:color="auto"/>
            </w:tcBorders>
            <w:vAlign w:val="bottom"/>
          </w:tcPr>
          <w:p w14:paraId="012AE2AC" w14:textId="7B5DA934"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(656,605)</w:t>
            </w:r>
          </w:p>
        </w:tc>
        <w:tc>
          <w:tcPr>
            <w:tcW w:w="270" w:type="dxa"/>
            <w:tcBorders>
              <w:top w:val="single" w:sz="4" w:space="0" w:color="auto"/>
              <w:bottom w:val="double" w:sz="4" w:space="0" w:color="auto"/>
            </w:tcBorders>
            <w:vAlign w:val="bottom"/>
          </w:tcPr>
          <w:p w14:paraId="6546A20B"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260" w:type="dxa"/>
            <w:tcBorders>
              <w:top w:val="single" w:sz="4" w:space="0" w:color="auto"/>
              <w:bottom w:val="double" w:sz="4" w:space="0" w:color="auto"/>
            </w:tcBorders>
            <w:vAlign w:val="bottom"/>
          </w:tcPr>
          <w:p w14:paraId="61C37DBA" w14:textId="609A5979"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(8,</w:t>
            </w:r>
            <w:r w:rsidR="00165765" w:rsidRPr="003A176D">
              <w:rPr>
                <w:rFonts w:ascii="Arial" w:hAnsi="Arial" w:cs="Arial"/>
                <w:b/>
                <w:bCs/>
                <w:sz w:val="18"/>
                <w:szCs w:val="18"/>
              </w:rPr>
              <w:t>744,834</w:t>
            </w:r>
            <w:r w:rsidRPr="003A176D">
              <w:rPr>
                <w:rFonts w:ascii="Arial" w:hAnsi="Arial" w:cs="Arial"/>
                <w:b/>
                <w:bCs/>
                <w:sz w:val="18"/>
                <w:szCs w:val="18"/>
              </w:rPr>
              <w:t>)</w:t>
            </w:r>
          </w:p>
        </w:tc>
        <w:tc>
          <w:tcPr>
            <w:tcW w:w="360" w:type="dxa"/>
            <w:tcBorders>
              <w:top w:val="single" w:sz="4" w:space="0" w:color="auto"/>
              <w:bottom w:val="double" w:sz="4" w:space="0" w:color="auto"/>
            </w:tcBorders>
            <w:vAlign w:val="bottom"/>
          </w:tcPr>
          <w:p w14:paraId="23BB25EF"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170" w:type="dxa"/>
            <w:tcBorders>
              <w:top w:val="single" w:sz="4" w:space="0" w:color="auto"/>
              <w:bottom w:val="double" w:sz="4" w:space="0" w:color="auto"/>
            </w:tcBorders>
            <w:vAlign w:val="bottom"/>
          </w:tcPr>
          <w:p w14:paraId="5DAB01BD" w14:textId="778A37D4"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(1,</w:t>
            </w:r>
            <w:r w:rsidR="00C016C6">
              <w:rPr>
                <w:rFonts w:ascii="Arial" w:hAnsi="Arial" w:cs="Arial"/>
                <w:b/>
                <w:bCs/>
                <w:sz w:val="18"/>
                <w:szCs w:val="18"/>
              </w:rPr>
              <w:t>738,995</w:t>
            </w:r>
            <w:r w:rsidRPr="003A176D">
              <w:rPr>
                <w:rFonts w:ascii="Arial" w:hAnsi="Arial" w:cs="Arial"/>
                <w:b/>
                <w:bCs/>
                <w:sz w:val="18"/>
                <w:szCs w:val="18"/>
              </w:rPr>
              <w:t>)</w:t>
            </w:r>
          </w:p>
        </w:tc>
      </w:tr>
      <w:tr w:rsidR="00B52DAE" w:rsidRPr="003A176D" w14:paraId="6D8FB2E8" w14:textId="77777777" w:rsidTr="00B52DAE">
        <w:tc>
          <w:tcPr>
            <w:tcW w:w="3589" w:type="dxa"/>
            <w:tcBorders>
              <w:top w:val="double" w:sz="4" w:space="0" w:color="auto"/>
            </w:tcBorders>
          </w:tcPr>
          <w:p w14:paraId="1F44A92F" w14:textId="77777777" w:rsidR="00B52DAE" w:rsidRPr="003A176D" w:rsidRDefault="00B52DAE" w:rsidP="00704BB5">
            <w:pPr>
              <w:spacing w:after="0" w:line="240" w:lineRule="auto"/>
              <w:rPr>
                <w:rFonts w:ascii="Arial" w:hAnsi="Arial" w:cs="Arial"/>
                <w:b/>
                <w:bCs/>
                <w:sz w:val="18"/>
                <w:szCs w:val="18"/>
              </w:rPr>
            </w:pPr>
          </w:p>
        </w:tc>
        <w:tc>
          <w:tcPr>
            <w:tcW w:w="239" w:type="dxa"/>
            <w:tcBorders>
              <w:top w:val="double" w:sz="4" w:space="0" w:color="auto"/>
            </w:tcBorders>
            <w:vAlign w:val="bottom"/>
          </w:tcPr>
          <w:p w14:paraId="281B2FC4" w14:textId="77777777" w:rsidR="00B52DAE" w:rsidRPr="003A176D" w:rsidRDefault="00B52DAE" w:rsidP="00704BB5">
            <w:pPr>
              <w:spacing w:after="0" w:line="240" w:lineRule="auto"/>
              <w:jc w:val="right"/>
              <w:rPr>
                <w:rFonts w:ascii="Arial" w:hAnsi="Arial" w:cs="Arial"/>
                <w:b/>
                <w:bCs/>
                <w:sz w:val="18"/>
                <w:szCs w:val="18"/>
              </w:rPr>
            </w:pPr>
          </w:p>
        </w:tc>
        <w:tc>
          <w:tcPr>
            <w:tcW w:w="1212" w:type="dxa"/>
            <w:tcBorders>
              <w:top w:val="double" w:sz="4" w:space="0" w:color="auto"/>
            </w:tcBorders>
            <w:vAlign w:val="bottom"/>
          </w:tcPr>
          <w:p w14:paraId="360434D1" w14:textId="77777777" w:rsidR="00B52DAE" w:rsidRPr="003A176D" w:rsidRDefault="00B52DAE" w:rsidP="00704BB5">
            <w:pPr>
              <w:spacing w:after="0" w:line="240" w:lineRule="auto"/>
              <w:jc w:val="right"/>
              <w:rPr>
                <w:rFonts w:ascii="Arial" w:hAnsi="Arial" w:cs="Arial"/>
                <w:b/>
                <w:bCs/>
                <w:sz w:val="18"/>
                <w:szCs w:val="18"/>
              </w:rPr>
            </w:pPr>
          </w:p>
        </w:tc>
        <w:tc>
          <w:tcPr>
            <w:tcW w:w="270" w:type="dxa"/>
            <w:tcBorders>
              <w:top w:val="double" w:sz="4" w:space="0" w:color="auto"/>
            </w:tcBorders>
            <w:vAlign w:val="bottom"/>
          </w:tcPr>
          <w:p w14:paraId="5A6AFBC2"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double" w:sz="4" w:space="0" w:color="auto"/>
            </w:tcBorders>
            <w:vAlign w:val="bottom"/>
          </w:tcPr>
          <w:p w14:paraId="55492667" w14:textId="77777777" w:rsidR="00B52DAE" w:rsidRPr="003A176D" w:rsidRDefault="00B52DAE" w:rsidP="00704BB5">
            <w:pPr>
              <w:spacing w:after="0" w:line="240" w:lineRule="auto"/>
              <w:jc w:val="right"/>
              <w:rPr>
                <w:rFonts w:ascii="Arial" w:hAnsi="Arial" w:cs="Arial"/>
                <w:b/>
                <w:bCs/>
                <w:sz w:val="18"/>
                <w:szCs w:val="18"/>
              </w:rPr>
            </w:pPr>
          </w:p>
        </w:tc>
        <w:tc>
          <w:tcPr>
            <w:tcW w:w="270" w:type="dxa"/>
            <w:tcBorders>
              <w:top w:val="double" w:sz="4" w:space="0" w:color="auto"/>
            </w:tcBorders>
            <w:vAlign w:val="bottom"/>
          </w:tcPr>
          <w:p w14:paraId="725330F4" w14:textId="77777777" w:rsidR="00B52DAE" w:rsidRPr="003A176D" w:rsidRDefault="00B52DAE" w:rsidP="00704BB5">
            <w:pPr>
              <w:spacing w:after="0" w:line="240" w:lineRule="auto"/>
              <w:jc w:val="right"/>
              <w:rPr>
                <w:rFonts w:ascii="Arial" w:hAnsi="Arial" w:cs="Arial"/>
                <w:b/>
                <w:bCs/>
                <w:sz w:val="18"/>
                <w:szCs w:val="18"/>
              </w:rPr>
            </w:pPr>
          </w:p>
        </w:tc>
        <w:tc>
          <w:tcPr>
            <w:tcW w:w="1260" w:type="dxa"/>
            <w:tcBorders>
              <w:top w:val="double" w:sz="4" w:space="0" w:color="auto"/>
            </w:tcBorders>
            <w:vAlign w:val="bottom"/>
          </w:tcPr>
          <w:p w14:paraId="7C8A0449" w14:textId="77777777" w:rsidR="00B52DAE" w:rsidRPr="003A176D" w:rsidRDefault="00B52DAE" w:rsidP="00704BB5">
            <w:pPr>
              <w:spacing w:after="0" w:line="240" w:lineRule="auto"/>
              <w:jc w:val="right"/>
              <w:rPr>
                <w:rFonts w:ascii="Arial" w:hAnsi="Arial" w:cs="Arial"/>
                <w:b/>
                <w:bCs/>
                <w:sz w:val="18"/>
                <w:szCs w:val="18"/>
              </w:rPr>
            </w:pPr>
          </w:p>
        </w:tc>
        <w:tc>
          <w:tcPr>
            <w:tcW w:w="360" w:type="dxa"/>
            <w:tcBorders>
              <w:top w:val="double" w:sz="4" w:space="0" w:color="auto"/>
            </w:tcBorders>
            <w:vAlign w:val="bottom"/>
          </w:tcPr>
          <w:p w14:paraId="55D36A44"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double" w:sz="4" w:space="0" w:color="auto"/>
            </w:tcBorders>
            <w:vAlign w:val="bottom"/>
          </w:tcPr>
          <w:p w14:paraId="2AA09563" w14:textId="77777777" w:rsidR="00B52DAE" w:rsidRPr="003A176D" w:rsidRDefault="00B52DAE" w:rsidP="00704BB5">
            <w:pPr>
              <w:spacing w:after="0" w:line="240" w:lineRule="auto"/>
              <w:jc w:val="right"/>
              <w:rPr>
                <w:rFonts w:ascii="Arial" w:hAnsi="Arial" w:cs="Arial"/>
                <w:b/>
                <w:bCs/>
                <w:sz w:val="18"/>
                <w:szCs w:val="18"/>
              </w:rPr>
            </w:pPr>
          </w:p>
        </w:tc>
      </w:tr>
      <w:tr w:rsidR="00B52DAE" w:rsidRPr="003A176D" w14:paraId="4A0868E4" w14:textId="77777777" w:rsidTr="00B52DAE">
        <w:tc>
          <w:tcPr>
            <w:tcW w:w="3589" w:type="dxa"/>
            <w:tcBorders>
              <w:bottom w:val="double" w:sz="4" w:space="0" w:color="auto"/>
            </w:tcBorders>
          </w:tcPr>
          <w:p w14:paraId="3CCF541C"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Loss per share – basic and diluted</w:t>
            </w:r>
          </w:p>
        </w:tc>
        <w:tc>
          <w:tcPr>
            <w:tcW w:w="239" w:type="dxa"/>
            <w:tcBorders>
              <w:bottom w:val="double" w:sz="4" w:space="0" w:color="auto"/>
            </w:tcBorders>
            <w:vAlign w:val="bottom"/>
          </w:tcPr>
          <w:p w14:paraId="78DA8A50"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212" w:type="dxa"/>
            <w:tcBorders>
              <w:bottom w:val="double" w:sz="4" w:space="0" w:color="auto"/>
            </w:tcBorders>
            <w:vAlign w:val="bottom"/>
          </w:tcPr>
          <w:p w14:paraId="72F91E96" w14:textId="744A8601"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(0.</w:t>
            </w:r>
            <w:r w:rsidR="00575970" w:rsidRPr="003A176D">
              <w:rPr>
                <w:rFonts w:ascii="Arial" w:hAnsi="Arial" w:cs="Arial"/>
                <w:b/>
                <w:bCs/>
                <w:sz w:val="18"/>
                <w:szCs w:val="18"/>
              </w:rPr>
              <w:t>02</w:t>
            </w:r>
            <w:r w:rsidRPr="003A176D">
              <w:rPr>
                <w:rFonts w:ascii="Arial" w:hAnsi="Arial" w:cs="Arial"/>
                <w:b/>
                <w:bCs/>
                <w:sz w:val="18"/>
                <w:szCs w:val="18"/>
              </w:rPr>
              <w:t>)</w:t>
            </w:r>
          </w:p>
        </w:tc>
        <w:tc>
          <w:tcPr>
            <w:tcW w:w="270" w:type="dxa"/>
            <w:tcBorders>
              <w:bottom w:val="double" w:sz="4" w:space="0" w:color="auto"/>
            </w:tcBorders>
            <w:vAlign w:val="bottom"/>
          </w:tcPr>
          <w:p w14:paraId="5A1766B0"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170" w:type="dxa"/>
            <w:tcBorders>
              <w:bottom w:val="double" w:sz="4" w:space="0" w:color="auto"/>
            </w:tcBorders>
            <w:vAlign w:val="bottom"/>
          </w:tcPr>
          <w:p w14:paraId="4ECB5410"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(0.01)</w:t>
            </w:r>
          </w:p>
        </w:tc>
        <w:tc>
          <w:tcPr>
            <w:tcW w:w="270" w:type="dxa"/>
            <w:tcBorders>
              <w:bottom w:val="double" w:sz="4" w:space="0" w:color="auto"/>
            </w:tcBorders>
            <w:vAlign w:val="bottom"/>
          </w:tcPr>
          <w:p w14:paraId="6964D9C1"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260" w:type="dxa"/>
            <w:tcBorders>
              <w:bottom w:val="double" w:sz="4" w:space="0" w:color="auto"/>
            </w:tcBorders>
            <w:vAlign w:val="bottom"/>
          </w:tcPr>
          <w:p w14:paraId="5D02A930" w14:textId="23B9E364"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(0.16)</w:t>
            </w:r>
          </w:p>
        </w:tc>
        <w:tc>
          <w:tcPr>
            <w:tcW w:w="360" w:type="dxa"/>
            <w:tcBorders>
              <w:bottom w:val="double" w:sz="4" w:space="0" w:color="auto"/>
            </w:tcBorders>
            <w:vAlign w:val="bottom"/>
          </w:tcPr>
          <w:p w14:paraId="4A217BBE" w14:textId="7777777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170" w:type="dxa"/>
            <w:tcBorders>
              <w:bottom w:val="double" w:sz="4" w:space="0" w:color="auto"/>
            </w:tcBorders>
            <w:vAlign w:val="bottom"/>
          </w:tcPr>
          <w:p w14:paraId="0194F1AF" w14:textId="2E056640"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(0.02)</w:t>
            </w:r>
          </w:p>
        </w:tc>
      </w:tr>
      <w:tr w:rsidR="00B52DAE" w:rsidRPr="003A176D" w14:paraId="7114EC59" w14:textId="77777777" w:rsidTr="00B52DAE">
        <w:tc>
          <w:tcPr>
            <w:tcW w:w="3589" w:type="dxa"/>
            <w:tcBorders>
              <w:top w:val="double" w:sz="4" w:space="0" w:color="auto"/>
              <w:bottom w:val="double" w:sz="4" w:space="0" w:color="auto"/>
            </w:tcBorders>
          </w:tcPr>
          <w:p w14:paraId="3FACD403" w14:textId="77777777" w:rsidR="00B52DAE" w:rsidRPr="003A176D" w:rsidRDefault="00B52DAE" w:rsidP="00704BB5">
            <w:pPr>
              <w:spacing w:after="0" w:line="240" w:lineRule="auto"/>
              <w:rPr>
                <w:rFonts w:ascii="Arial" w:hAnsi="Arial" w:cs="Arial"/>
                <w:b/>
                <w:bCs/>
                <w:sz w:val="18"/>
                <w:szCs w:val="18"/>
              </w:rPr>
            </w:pPr>
            <w:r w:rsidRPr="003A176D">
              <w:rPr>
                <w:rFonts w:ascii="Arial" w:hAnsi="Arial" w:cs="Arial"/>
                <w:b/>
                <w:bCs/>
                <w:sz w:val="18"/>
                <w:szCs w:val="18"/>
              </w:rPr>
              <w:t>Weighted average number of common shares outstanding – basic and diluted</w:t>
            </w:r>
          </w:p>
        </w:tc>
        <w:tc>
          <w:tcPr>
            <w:tcW w:w="239" w:type="dxa"/>
            <w:tcBorders>
              <w:top w:val="double" w:sz="4" w:space="0" w:color="auto"/>
              <w:bottom w:val="double" w:sz="4" w:space="0" w:color="auto"/>
            </w:tcBorders>
            <w:vAlign w:val="bottom"/>
          </w:tcPr>
          <w:p w14:paraId="644E4C95" w14:textId="77777777" w:rsidR="00B52DAE" w:rsidRPr="003A176D" w:rsidRDefault="00B52DAE" w:rsidP="00704BB5">
            <w:pPr>
              <w:spacing w:after="0" w:line="240" w:lineRule="auto"/>
              <w:jc w:val="right"/>
              <w:rPr>
                <w:rFonts w:ascii="Arial" w:hAnsi="Arial" w:cs="Arial"/>
                <w:b/>
                <w:bCs/>
                <w:sz w:val="18"/>
                <w:szCs w:val="18"/>
              </w:rPr>
            </w:pPr>
          </w:p>
        </w:tc>
        <w:tc>
          <w:tcPr>
            <w:tcW w:w="1212" w:type="dxa"/>
            <w:tcBorders>
              <w:top w:val="double" w:sz="4" w:space="0" w:color="auto"/>
              <w:bottom w:val="double" w:sz="4" w:space="0" w:color="auto"/>
            </w:tcBorders>
            <w:vAlign w:val="bottom"/>
          </w:tcPr>
          <w:p w14:paraId="2ADCD3A3" w14:textId="07D3B9CE" w:rsidR="00B52DAE" w:rsidRPr="003A176D" w:rsidRDefault="00575970" w:rsidP="00704BB5">
            <w:pPr>
              <w:spacing w:after="0" w:line="240" w:lineRule="auto"/>
              <w:jc w:val="right"/>
              <w:rPr>
                <w:rFonts w:ascii="Arial" w:hAnsi="Arial" w:cs="Arial"/>
                <w:b/>
                <w:bCs/>
                <w:sz w:val="18"/>
                <w:szCs w:val="18"/>
              </w:rPr>
            </w:pPr>
            <w:r w:rsidRPr="003A176D">
              <w:rPr>
                <w:rFonts w:ascii="Arial" w:hAnsi="Arial" w:cs="Arial"/>
                <w:b/>
                <w:bCs/>
                <w:sz w:val="18"/>
                <w:szCs w:val="18"/>
              </w:rPr>
              <w:t>69,079,166</w:t>
            </w:r>
          </w:p>
        </w:tc>
        <w:tc>
          <w:tcPr>
            <w:tcW w:w="270" w:type="dxa"/>
            <w:tcBorders>
              <w:top w:val="double" w:sz="4" w:space="0" w:color="auto"/>
              <w:bottom w:val="double" w:sz="4" w:space="0" w:color="auto"/>
            </w:tcBorders>
            <w:vAlign w:val="bottom"/>
          </w:tcPr>
          <w:p w14:paraId="74AFD014"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double" w:sz="4" w:space="0" w:color="auto"/>
              <w:bottom w:val="double" w:sz="4" w:space="0" w:color="auto"/>
            </w:tcBorders>
            <w:vAlign w:val="bottom"/>
          </w:tcPr>
          <w:p w14:paraId="17CE947E" w14:textId="6083E407" w:rsidR="00B52DAE" w:rsidRPr="003A176D" w:rsidRDefault="00575970" w:rsidP="00704BB5">
            <w:pPr>
              <w:spacing w:after="0" w:line="240" w:lineRule="auto"/>
              <w:jc w:val="right"/>
              <w:rPr>
                <w:rFonts w:ascii="Arial" w:hAnsi="Arial" w:cs="Arial"/>
                <w:b/>
                <w:bCs/>
                <w:sz w:val="18"/>
                <w:szCs w:val="18"/>
              </w:rPr>
            </w:pPr>
            <w:r w:rsidRPr="003A176D">
              <w:rPr>
                <w:rFonts w:ascii="Arial" w:hAnsi="Arial" w:cs="Arial"/>
                <w:b/>
                <w:bCs/>
                <w:sz w:val="18"/>
                <w:szCs w:val="18"/>
              </w:rPr>
              <w:t>34,915,500</w:t>
            </w:r>
          </w:p>
        </w:tc>
        <w:tc>
          <w:tcPr>
            <w:tcW w:w="270" w:type="dxa"/>
            <w:tcBorders>
              <w:top w:val="double" w:sz="4" w:space="0" w:color="auto"/>
              <w:bottom w:val="double" w:sz="4" w:space="0" w:color="auto"/>
            </w:tcBorders>
            <w:vAlign w:val="bottom"/>
          </w:tcPr>
          <w:p w14:paraId="6B2357C0" w14:textId="77777777" w:rsidR="00B52DAE" w:rsidRPr="003A176D" w:rsidRDefault="00B52DAE" w:rsidP="00704BB5">
            <w:pPr>
              <w:spacing w:after="0" w:line="240" w:lineRule="auto"/>
              <w:jc w:val="right"/>
              <w:rPr>
                <w:rFonts w:ascii="Arial" w:hAnsi="Arial" w:cs="Arial"/>
                <w:b/>
                <w:bCs/>
                <w:sz w:val="18"/>
                <w:szCs w:val="18"/>
              </w:rPr>
            </w:pPr>
          </w:p>
        </w:tc>
        <w:tc>
          <w:tcPr>
            <w:tcW w:w="1260" w:type="dxa"/>
            <w:tcBorders>
              <w:top w:val="double" w:sz="4" w:space="0" w:color="auto"/>
              <w:bottom w:val="double" w:sz="4" w:space="0" w:color="auto"/>
            </w:tcBorders>
            <w:vAlign w:val="bottom"/>
          </w:tcPr>
          <w:p w14:paraId="45EA4082" w14:textId="1FE0B6C7" w:rsidR="00B52DAE" w:rsidRPr="003A176D" w:rsidRDefault="00B52DAE" w:rsidP="00704BB5">
            <w:pPr>
              <w:spacing w:after="0" w:line="240" w:lineRule="auto"/>
              <w:jc w:val="right"/>
              <w:rPr>
                <w:rFonts w:ascii="Arial" w:hAnsi="Arial" w:cs="Arial"/>
                <w:b/>
                <w:bCs/>
                <w:sz w:val="18"/>
                <w:szCs w:val="18"/>
              </w:rPr>
            </w:pPr>
            <w:r w:rsidRPr="003A176D">
              <w:rPr>
                <w:rFonts w:ascii="Arial" w:hAnsi="Arial" w:cs="Arial"/>
                <w:b/>
                <w:bCs/>
                <w:sz w:val="18"/>
                <w:szCs w:val="18"/>
              </w:rPr>
              <w:t>53,036,490</w:t>
            </w:r>
          </w:p>
        </w:tc>
        <w:tc>
          <w:tcPr>
            <w:tcW w:w="360" w:type="dxa"/>
            <w:tcBorders>
              <w:top w:val="double" w:sz="4" w:space="0" w:color="auto"/>
              <w:bottom w:val="double" w:sz="4" w:space="0" w:color="auto"/>
            </w:tcBorders>
            <w:vAlign w:val="bottom"/>
          </w:tcPr>
          <w:p w14:paraId="46B99A76" w14:textId="77777777" w:rsidR="00B52DAE" w:rsidRPr="003A176D" w:rsidRDefault="00B52DAE" w:rsidP="00704BB5">
            <w:pPr>
              <w:spacing w:after="0" w:line="240" w:lineRule="auto"/>
              <w:jc w:val="right"/>
              <w:rPr>
                <w:rFonts w:ascii="Arial" w:hAnsi="Arial" w:cs="Arial"/>
                <w:b/>
                <w:bCs/>
                <w:sz w:val="18"/>
                <w:szCs w:val="18"/>
              </w:rPr>
            </w:pPr>
          </w:p>
        </w:tc>
        <w:tc>
          <w:tcPr>
            <w:tcW w:w="1170" w:type="dxa"/>
            <w:tcBorders>
              <w:top w:val="double" w:sz="4" w:space="0" w:color="auto"/>
              <w:bottom w:val="double" w:sz="4" w:space="0" w:color="auto"/>
            </w:tcBorders>
            <w:vAlign w:val="bottom"/>
          </w:tcPr>
          <w:p w14:paraId="59677589" w14:textId="4DFF0D96" w:rsidR="00B52DAE" w:rsidRPr="003A176D" w:rsidRDefault="00575970" w:rsidP="00704BB5">
            <w:pPr>
              <w:spacing w:after="0" w:line="240" w:lineRule="auto"/>
              <w:jc w:val="right"/>
              <w:rPr>
                <w:rFonts w:ascii="Arial" w:hAnsi="Arial" w:cs="Arial"/>
                <w:b/>
                <w:bCs/>
                <w:sz w:val="18"/>
                <w:szCs w:val="18"/>
              </w:rPr>
            </w:pPr>
            <w:r w:rsidRPr="003A176D">
              <w:rPr>
                <w:rFonts w:ascii="Arial" w:hAnsi="Arial" w:cs="Arial"/>
                <w:b/>
                <w:bCs/>
                <w:sz w:val="18"/>
                <w:szCs w:val="18"/>
              </w:rPr>
              <w:t>34,915,500</w:t>
            </w:r>
          </w:p>
        </w:tc>
      </w:tr>
    </w:tbl>
    <w:p w14:paraId="1979E3A5" w14:textId="7E570FB0" w:rsidR="00B418D1" w:rsidRPr="003A176D" w:rsidRDefault="00B418D1" w:rsidP="005F354B">
      <w:pPr>
        <w:spacing w:after="0" w:line="240" w:lineRule="auto"/>
        <w:rPr>
          <w:rFonts w:ascii="Arial" w:hAnsi="Arial" w:cs="Arial"/>
          <w:sz w:val="18"/>
          <w:szCs w:val="18"/>
        </w:rPr>
        <w:sectPr w:rsidR="00B418D1" w:rsidRPr="003A176D" w:rsidSect="002026FB">
          <w:headerReference w:type="default" r:id="rId14"/>
          <w:footerReference w:type="default" r:id="rId15"/>
          <w:pgSz w:w="12240" w:h="15840"/>
          <w:pgMar w:top="994" w:right="1440" w:bottom="1440" w:left="1440" w:header="720" w:footer="720" w:gutter="0"/>
          <w:cols w:space="720"/>
          <w:docGrid w:linePitch="360"/>
        </w:sectPr>
      </w:pPr>
    </w:p>
    <w:p w14:paraId="466D6017" w14:textId="77777777" w:rsidR="00D76193" w:rsidRPr="003A176D" w:rsidRDefault="00D76193" w:rsidP="005F354B">
      <w:pPr>
        <w:spacing w:after="0" w:line="240" w:lineRule="auto"/>
        <w:rPr>
          <w:rFonts w:ascii="Arial" w:hAnsi="Arial" w:cs="Arial"/>
          <w:sz w:val="18"/>
          <w:szCs w:val="18"/>
        </w:rPr>
      </w:pPr>
    </w:p>
    <w:tbl>
      <w:tblPr>
        <w:tblStyle w:val="TableGrid"/>
        <w:tblW w:w="13480" w:type="dxa"/>
        <w:tblLayout w:type="fixed"/>
        <w:tblLook w:val="04A0" w:firstRow="1" w:lastRow="0" w:firstColumn="1" w:lastColumn="0" w:noHBand="0" w:noVBand="1"/>
      </w:tblPr>
      <w:tblGrid>
        <w:gridCol w:w="1090"/>
        <w:gridCol w:w="2492"/>
        <w:gridCol w:w="1352"/>
        <w:gridCol w:w="1352"/>
        <w:gridCol w:w="1197"/>
        <w:gridCol w:w="1026"/>
        <w:gridCol w:w="1737"/>
        <w:gridCol w:w="1563"/>
        <w:gridCol w:w="1671"/>
      </w:tblGrid>
      <w:tr w:rsidR="00873A5E" w:rsidRPr="003A176D" w14:paraId="1C365870" w14:textId="77777777" w:rsidTr="00695AC6">
        <w:trPr>
          <w:trHeight w:val="202"/>
        </w:trPr>
        <w:tc>
          <w:tcPr>
            <w:tcW w:w="3582" w:type="dxa"/>
            <w:gridSpan w:val="2"/>
            <w:tcBorders>
              <w:top w:val="nil"/>
              <w:left w:val="nil"/>
              <w:bottom w:val="nil"/>
              <w:right w:val="nil"/>
            </w:tcBorders>
          </w:tcPr>
          <w:p w14:paraId="534317B9" w14:textId="77777777" w:rsidR="00873A5E" w:rsidRPr="003A176D" w:rsidRDefault="00873A5E" w:rsidP="007E68A5">
            <w:pPr>
              <w:spacing w:after="0" w:line="240" w:lineRule="auto"/>
              <w:rPr>
                <w:rFonts w:ascii="Arial" w:hAnsi="Arial" w:cs="Arial"/>
                <w:sz w:val="18"/>
                <w:szCs w:val="18"/>
              </w:rPr>
            </w:pPr>
          </w:p>
        </w:tc>
        <w:tc>
          <w:tcPr>
            <w:tcW w:w="1352" w:type="dxa"/>
            <w:tcBorders>
              <w:top w:val="nil"/>
              <w:left w:val="nil"/>
              <w:bottom w:val="nil"/>
              <w:right w:val="nil"/>
            </w:tcBorders>
          </w:tcPr>
          <w:p w14:paraId="4FF1EA00" w14:textId="77777777" w:rsidR="00873A5E" w:rsidRPr="003A176D" w:rsidRDefault="00873A5E" w:rsidP="007E68A5">
            <w:pPr>
              <w:spacing w:after="0" w:line="240" w:lineRule="auto"/>
              <w:rPr>
                <w:rFonts w:ascii="Arial" w:hAnsi="Arial" w:cs="Arial"/>
                <w:sz w:val="18"/>
                <w:szCs w:val="18"/>
              </w:rPr>
            </w:pPr>
          </w:p>
        </w:tc>
        <w:tc>
          <w:tcPr>
            <w:tcW w:w="1352" w:type="dxa"/>
            <w:tcBorders>
              <w:top w:val="nil"/>
              <w:left w:val="nil"/>
              <w:bottom w:val="nil"/>
              <w:right w:val="nil"/>
            </w:tcBorders>
          </w:tcPr>
          <w:p w14:paraId="0EAADB05" w14:textId="77777777" w:rsidR="00873A5E" w:rsidRPr="003A176D" w:rsidRDefault="00873A5E" w:rsidP="007E68A5">
            <w:pPr>
              <w:spacing w:after="0" w:line="240" w:lineRule="auto"/>
              <w:rPr>
                <w:rFonts w:ascii="Arial" w:hAnsi="Arial" w:cs="Arial"/>
                <w:sz w:val="18"/>
                <w:szCs w:val="18"/>
              </w:rPr>
            </w:pPr>
          </w:p>
        </w:tc>
        <w:tc>
          <w:tcPr>
            <w:tcW w:w="1197" w:type="dxa"/>
            <w:tcBorders>
              <w:top w:val="nil"/>
              <w:left w:val="nil"/>
              <w:bottom w:val="nil"/>
              <w:right w:val="nil"/>
            </w:tcBorders>
          </w:tcPr>
          <w:p w14:paraId="4BA0FA33" w14:textId="77777777" w:rsidR="00873A5E" w:rsidRPr="003A176D" w:rsidRDefault="00873A5E" w:rsidP="007E68A5">
            <w:pPr>
              <w:spacing w:after="0" w:line="240" w:lineRule="auto"/>
              <w:rPr>
                <w:rFonts w:ascii="Arial" w:hAnsi="Arial" w:cs="Arial"/>
                <w:sz w:val="18"/>
                <w:szCs w:val="18"/>
              </w:rPr>
            </w:pPr>
          </w:p>
        </w:tc>
        <w:tc>
          <w:tcPr>
            <w:tcW w:w="1026" w:type="dxa"/>
            <w:tcBorders>
              <w:top w:val="nil"/>
              <w:left w:val="nil"/>
              <w:bottom w:val="nil"/>
              <w:right w:val="nil"/>
            </w:tcBorders>
          </w:tcPr>
          <w:p w14:paraId="79AB56E2" w14:textId="77777777" w:rsidR="00873A5E" w:rsidRPr="003A176D" w:rsidRDefault="00873A5E" w:rsidP="007E68A5">
            <w:pPr>
              <w:spacing w:after="0" w:line="240" w:lineRule="auto"/>
              <w:rPr>
                <w:rFonts w:ascii="Arial" w:hAnsi="Arial" w:cs="Arial"/>
                <w:sz w:val="18"/>
                <w:szCs w:val="18"/>
              </w:rPr>
            </w:pPr>
          </w:p>
        </w:tc>
        <w:tc>
          <w:tcPr>
            <w:tcW w:w="1737" w:type="dxa"/>
            <w:tcBorders>
              <w:top w:val="nil"/>
              <w:left w:val="nil"/>
              <w:bottom w:val="nil"/>
              <w:right w:val="nil"/>
            </w:tcBorders>
          </w:tcPr>
          <w:p w14:paraId="3D310C92" w14:textId="77777777" w:rsidR="00873A5E" w:rsidRPr="003A176D" w:rsidRDefault="00873A5E" w:rsidP="007E68A5">
            <w:pPr>
              <w:spacing w:after="0" w:line="240" w:lineRule="auto"/>
              <w:rPr>
                <w:rFonts w:ascii="Arial" w:hAnsi="Arial" w:cs="Arial"/>
                <w:sz w:val="18"/>
                <w:szCs w:val="18"/>
              </w:rPr>
            </w:pPr>
          </w:p>
        </w:tc>
        <w:tc>
          <w:tcPr>
            <w:tcW w:w="1563" w:type="dxa"/>
            <w:tcBorders>
              <w:top w:val="nil"/>
              <w:left w:val="nil"/>
              <w:bottom w:val="nil"/>
              <w:right w:val="nil"/>
            </w:tcBorders>
          </w:tcPr>
          <w:p w14:paraId="1DBC093E" w14:textId="77777777" w:rsidR="00873A5E" w:rsidRPr="003A176D" w:rsidRDefault="00873A5E" w:rsidP="007E68A5">
            <w:pPr>
              <w:spacing w:after="0" w:line="240" w:lineRule="auto"/>
              <w:rPr>
                <w:rFonts w:ascii="Arial" w:hAnsi="Arial" w:cs="Arial"/>
                <w:sz w:val="18"/>
                <w:szCs w:val="18"/>
              </w:rPr>
            </w:pPr>
          </w:p>
        </w:tc>
        <w:tc>
          <w:tcPr>
            <w:tcW w:w="1671" w:type="dxa"/>
            <w:tcBorders>
              <w:top w:val="nil"/>
              <w:left w:val="nil"/>
              <w:bottom w:val="nil"/>
              <w:right w:val="nil"/>
            </w:tcBorders>
          </w:tcPr>
          <w:p w14:paraId="51BB5EF2" w14:textId="77777777" w:rsidR="00873A5E" w:rsidRPr="003A176D" w:rsidRDefault="00873A5E" w:rsidP="007E68A5">
            <w:pPr>
              <w:spacing w:after="0" w:line="240" w:lineRule="auto"/>
              <w:rPr>
                <w:rFonts w:ascii="Arial" w:hAnsi="Arial" w:cs="Arial"/>
                <w:sz w:val="18"/>
                <w:szCs w:val="18"/>
              </w:rPr>
            </w:pPr>
          </w:p>
        </w:tc>
      </w:tr>
      <w:tr w:rsidR="00873A5E" w:rsidRPr="003A176D" w14:paraId="0EB90BC8" w14:textId="77777777" w:rsidTr="00695AC6">
        <w:trPr>
          <w:trHeight w:val="419"/>
        </w:trPr>
        <w:tc>
          <w:tcPr>
            <w:tcW w:w="1090" w:type="dxa"/>
            <w:tcBorders>
              <w:top w:val="nil"/>
              <w:left w:val="nil"/>
              <w:bottom w:val="nil"/>
              <w:right w:val="nil"/>
            </w:tcBorders>
          </w:tcPr>
          <w:p w14:paraId="6BEB7117" w14:textId="77777777" w:rsidR="00873A5E" w:rsidRPr="003A176D" w:rsidRDefault="00873A5E" w:rsidP="007E68A5">
            <w:pPr>
              <w:spacing w:after="0" w:line="240" w:lineRule="auto"/>
              <w:rPr>
                <w:rFonts w:ascii="Arial" w:hAnsi="Arial" w:cs="Arial"/>
                <w:sz w:val="18"/>
                <w:szCs w:val="18"/>
              </w:rPr>
            </w:pPr>
          </w:p>
        </w:tc>
        <w:tc>
          <w:tcPr>
            <w:tcW w:w="2491" w:type="dxa"/>
            <w:tcBorders>
              <w:top w:val="nil"/>
              <w:left w:val="nil"/>
              <w:bottom w:val="single" w:sz="4" w:space="0" w:color="auto"/>
              <w:right w:val="nil"/>
            </w:tcBorders>
          </w:tcPr>
          <w:p w14:paraId="425E663B" w14:textId="77777777" w:rsidR="00873A5E" w:rsidRPr="003A176D" w:rsidRDefault="00873A5E" w:rsidP="007E68A5">
            <w:pPr>
              <w:spacing w:after="0" w:line="240" w:lineRule="auto"/>
              <w:rPr>
                <w:rFonts w:ascii="Arial" w:hAnsi="Arial" w:cs="Arial"/>
                <w:sz w:val="18"/>
                <w:szCs w:val="18"/>
              </w:rPr>
            </w:pPr>
          </w:p>
        </w:tc>
        <w:tc>
          <w:tcPr>
            <w:tcW w:w="1352" w:type="dxa"/>
            <w:tcBorders>
              <w:top w:val="nil"/>
              <w:left w:val="nil"/>
              <w:bottom w:val="single" w:sz="4" w:space="0" w:color="auto"/>
              <w:right w:val="nil"/>
            </w:tcBorders>
          </w:tcPr>
          <w:p w14:paraId="3A84CE69"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 Capital</w:t>
            </w:r>
            <w:r w:rsidRPr="003A176D" w:rsidDel="002B12B5">
              <w:rPr>
                <w:rFonts w:ascii="Arial" w:hAnsi="Arial" w:cs="Arial"/>
                <w:sz w:val="18"/>
                <w:szCs w:val="18"/>
              </w:rPr>
              <w:t xml:space="preserve"> </w:t>
            </w:r>
            <w:r w:rsidRPr="003A176D">
              <w:rPr>
                <w:rFonts w:ascii="Arial" w:hAnsi="Arial" w:cs="Arial"/>
                <w:sz w:val="18"/>
                <w:szCs w:val="18"/>
              </w:rPr>
              <w:t xml:space="preserve"> </w:t>
            </w:r>
          </w:p>
          <w:p w14:paraId="13EF57FB"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 xml:space="preserve">Number of </w:t>
            </w:r>
          </w:p>
          <w:p w14:paraId="600EF6BF"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Shares</w:t>
            </w:r>
          </w:p>
        </w:tc>
        <w:tc>
          <w:tcPr>
            <w:tcW w:w="1352" w:type="dxa"/>
            <w:tcBorders>
              <w:top w:val="nil"/>
              <w:left w:val="nil"/>
              <w:bottom w:val="single" w:sz="4" w:space="0" w:color="auto"/>
              <w:right w:val="nil"/>
            </w:tcBorders>
          </w:tcPr>
          <w:p w14:paraId="391CF0ED"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Amount</w:t>
            </w:r>
          </w:p>
        </w:tc>
        <w:tc>
          <w:tcPr>
            <w:tcW w:w="1197" w:type="dxa"/>
            <w:tcBorders>
              <w:top w:val="nil"/>
              <w:left w:val="nil"/>
              <w:bottom w:val="single" w:sz="4" w:space="0" w:color="auto"/>
              <w:right w:val="nil"/>
            </w:tcBorders>
          </w:tcPr>
          <w:p w14:paraId="26539163"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Share-based payment reserve</w:t>
            </w:r>
          </w:p>
        </w:tc>
        <w:tc>
          <w:tcPr>
            <w:tcW w:w="1026" w:type="dxa"/>
            <w:tcBorders>
              <w:top w:val="nil"/>
              <w:left w:val="nil"/>
              <w:bottom w:val="single" w:sz="4" w:space="0" w:color="auto"/>
              <w:right w:val="nil"/>
            </w:tcBorders>
          </w:tcPr>
          <w:p w14:paraId="6EFD3BE8"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Warrant Reserve</w:t>
            </w:r>
          </w:p>
        </w:tc>
        <w:tc>
          <w:tcPr>
            <w:tcW w:w="1737" w:type="dxa"/>
            <w:tcBorders>
              <w:top w:val="nil"/>
              <w:left w:val="nil"/>
              <w:bottom w:val="single" w:sz="4" w:space="0" w:color="auto"/>
              <w:right w:val="nil"/>
            </w:tcBorders>
          </w:tcPr>
          <w:p w14:paraId="03F03549"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Accumulated other comprehensive income (loss)</w:t>
            </w:r>
          </w:p>
        </w:tc>
        <w:tc>
          <w:tcPr>
            <w:tcW w:w="1563" w:type="dxa"/>
            <w:tcBorders>
              <w:top w:val="nil"/>
              <w:left w:val="nil"/>
              <w:bottom w:val="single" w:sz="4" w:space="0" w:color="auto"/>
              <w:right w:val="nil"/>
            </w:tcBorders>
          </w:tcPr>
          <w:p w14:paraId="3138EAB1"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Deficit</w:t>
            </w:r>
          </w:p>
        </w:tc>
        <w:tc>
          <w:tcPr>
            <w:tcW w:w="1671" w:type="dxa"/>
            <w:tcBorders>
              <w:top w:val="nil"/>
              <w:left w:val="nil"/>
              <w:bottom w:val="single" w:sz="4" w:space="0" w:color="auto"/>
              <w:right w:val="nil"/>
            </w:tcBorders>
          </w:tcPr>
          <w:p w14:paraId="6F90527A"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Total</w:t>
            </w:r>
          </w:p>
        </w:tc>
      </w:tr>
      <w:tr w:rsidR="00873A5E" w:rsidRPr="003A176D" w14:paraId="48214365" w14:textId="77777777" w:rsidTr="00695AC6">
        <w:trPr>
          <w:trHeight w:val="202"/>
        </w:trPr>
        <w:tc>
          <w:tcPr>
            <w:tcW w:w="3582" w:type="dxa"/>
            <w:gridSpan w:val="2"/>
            <w:tcBorders>
              <w:top w:val="single" w:sz="4" w:space="0" w:color="auto"/>
              <w:left w:val="nil"/>
              <w:bottom w:val="single" w:sz="4" w:space="0" w:color="auto"/>
              <w:right w:val="nil"/>
            </w:tcBorders>
          </w:tcPr>
          <w:p w14:paraId="6C05BC10" w14:textId="77777777" w:rsidR="00873A5E" w:rsidRPr="003A176D" w:rsidRDefault="00873A5E" w:rsidP="007E68A5">
            <w:pPr>
              <w:spacing w:after="0" w:line="240" w:lineRule="auto"/>
              <w:rPr>
                <w:rFonts w:ascii="Arial" w:hAnsi="Arial" w:cs="Arial"/>
                <w:b/>
                <w:bCs/>
                <w:sz w:val="18"/>
                <w:szCs w:val="18"/>
              </w:rPr>
            </w:pPr>
            <w:r w:rsidRPr="003A176D">
              <w:rPr>
                <w:rFonts w:ascii="Arial" w:hAnsi="Arial" w:cs="Arial"/>
                <w:b/>
                <w:bCs/>
                <w:sz w:val="18"/>
                <w:szCs w:val="18"/>
              </w:rPr>
              <w:t>Balance as at December 31, 2018</w:t>
            </w:r>
          </w:p>
        </w:tc>
        <w:tc>
          <w:tcPr>
            <w:tcW w:w="1352" w:type="dxa"/>
            <w:tcBorders>
              <w:top w:val="single" w:sz="4" w:space="0" w:color="auto"/>
              <w:left w:val="nil"/>
              <w:bottom w:val="single" w:sz="4" w:space="0" w:color="auto"/>
              <w:right w:val="nil"/>
            </w:tcBorders>
          </w:tcPr>
          <w:p w14:paraId="330CABCC"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34,915,500</w:t>
            </w:r>
          </w:p>
        </w:tc>
        <w:tc>
          <w:tcPr>
            <w:tcW w:w="1352" w:type="dxa"/>
            <w:tcBorders>
              <w:top w:val="single" w:sz="4" w:space="0" w:color="auto"/>
              <w:left w:val="nil"/>
              <w:bottom w:val="single" w:sz="4" w:space="0" w:color="auto"/>
              <w:right w:val="nil"/>
            </w:tcBorders>
          </w:tcPr>
          <w:p w14:paraId="08277FDD"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6,110,014</w:t>
            </w:r>
          </w:p>
        </w:tc>
        <w:tc>
          <w:tcPr>
            <w:tcW w:w="1197" w:type="dxa"/>
            <w:tcBorders>
              <w:top w:val="single" w:sz="4" w:space="0" w:color="auto"/>
              <w:left w:val="nil"/>
              <w:bottom w:val="single" w:sz="4" w:space="0" w:color="auto"/>
              <w:right w:val="nil"/>
            </w:tcBorders>
          </w:tcPr>
          <w:p w14:paraId="6E60F116"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493,115</w:t>
            </w:r>
          </w:p>
        </w:tc>
        <w:tc>
          <w:tcPr>
            <w:tcW w:w="1026" w:type="dxa"/>
            <w:tcBorders>
              <w:top w:val="single" w:sz="4" w:space="0" w:color="auto"/>
              <w:left w:val="nil"/>
              <w:bottom w:val="single" w:sz="4" w:space="0" w:color="auto"/>
              <w:right w:val="nil"/>
            </w:tcBorders>
          </w:tcPr>
          <w:p w14:paraId="180DD4DA"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737" w:type="dxa"/>
            <w:tcBorders>
              <w:top w:val="single" w:sz="4" w:space="0" w:color="auto"/>
              <w:left w:val="nil"/>
              <w:bottom w:val="single" w:sz="4" w:space="0" w:color="auto"/>
              <w:right w:val="nil"/>
            </w:tcBorders>
          </w:tcPr>
          <w:p w14:paraId="65AB6C69"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(864)</w:t>
            </w:r>
          </w:p>
        </w:tc>
        <w:tc>
          <w:tcPr>
            <w:tcW w:w="1563" w:type="dxa"/>
            <w:tcBorders>
              <w:top w:val="single" w:sz="4" w:space="0" w:color="auto"/>
              <w:left w:val="nil"/>
              <w:bottom w:val="single" w:sz="4" w:space="0" w:color="auto"/>
              <w:right w:val="nil"/>
            </w:tcBorders>
          </w:tcPr>
          <w:p w14:paraId="7C6AE157"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(3,850,327)</w:t>
            </w:r>
          </w:p>
        </w:tc>
        <w:tc>
          <w:tcPr>
            <w:tcW w:w="1671" w:type="dxa"/>
            <w:tcBorders>
              <w:top w:val="single" w:sz="4" w:space="0" w:color="auto"/>
              <w:left w:val="nil"/>
              <w:bottom w:val="single" w:sz="4" w:space="0" w:color="auto"/>
              <w:right w:val="nil"/>
            </w:tcBorders>
          </w:tcPr>
          <w:p w14:paraId="2B53C7B5" w14:textId="77777777" w:rsidR="00873A5E" w:rsidRPr="003A176D" w:rsidRDefault="00873A5E" w:rsidP="007E68A5">
            <w:pPr>
              <w:spacing w:after="0" w:line="240" w:lineRule="auto"/>
              <w:jc w:val="right"/>
              <w:rPr>
                <w:rFonts w:ascii="Arial" w:hAnsi="Arial" w:cs="Arial"/>
                <w:b/>
                <w:bCs/>
                <w:sz w:val="18"/>
                <w:szCs w:val="18"/>
              </w:rPr>
            </w:pPr>
            <w:r w:rsidRPr="003A176D">
              <w:rPr>
                <w:rFonts w:ascii="Arial" w:hAnsi="Arial" w:cs="Arial"/>
                <w:b/>
                <w:bCs/>
                <w:sz w:val="18"/>
                <w:szCs w:val="18"/>
              </w:rPr>
              <w:t>2,751,938</w:t>
            </w:r>
          </w:p>
        </w:tc>
      </w:tr>
      <w:tr w:rsidR="00873A5E" w:rsidRPr="003A176D" w14:paraId="25E24B5D" w14:textId="77777777" w:rsidTr="00695AC6">
        <w:trPr>
          <w:trHeight w:val="230"/>
        </w:trPr>
        <w:tc>
          <w:tcPr>
            <w:tcW w:w="3582" w:type="dxa"/>
            <w:gridSpan w:val="2"/>
            <w:tcBorders>
              <w:top w:val="nil"/>
              <w:left w:val="nil"/>
              <w:bottom w:val="nil"/>
              <w:right w:val="nil"/>
            </w:tcBorders>
          </w:tcPr>
          <w:p w14:paraId="3F234EF6" w14:textId="723CD10D"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 xml:space="preserve">Shares transferred for debt settlement (note </w:t>
            </w:r>
            <w:r w:rsidR="0094224A" w:rsidRPr="003A176D">
              <w:rPr>
                <w:rFonts w:ascii="Arial" w:hAnsi="Arial" w:cs="Arial"/>
                <w:sz w:val="18"/>
                <w:szCs w:val="18"/>
              </w:rPr>
              <w:t>7</w:t>
            </w:r>
            <w:r w:rsidRPr="003A176D">
              <w:rPr>
                <w:rFonts w:ascii="Arial" w:hAnsi="Arial" w:cs="Arial"/>
                <w:sz w:val="18"/>
                <w:szCs w:val="18"/>
              </w:rPr>
              <w:t>)</w:t>
            </w:r>
          </w:p>
        </w:tc>
        <w:tc>
          <w:tcPr>
            <w:tcW w:w="1352" w:type="dxa"/>
            <w:tcBorders>
              <w:top w:val="nil"/>
              <w:left w:val="nil"/>
              <w:bottom w:val="nil"/>
              <w:right w:val="nil"/>
            </w:tcBorders>
          </w:tcPr>
          <w:p w14:paraId="489901F7"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352" w:type="dxa"/>
            <w:tcBorders>
              <w:top w:val="nil"/>
              <w:left w:val="nil"/>
              <w:bottom w:val="nil"/>
              <w:right w:val="nil"/>
            </w:tcBorders>
          </w:tcPr>
          <w:p w14:paraId="30ED4F53"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62,501</w:t>
            </w:r>
          </w:p>
        </w:tc>
        <w:tc>
          <w:tcPr>
            <w:tcW w:w="1197" w:type="dxa"/>
            <w:tcBorders>
              <w:top w:val="nil"/>
              <w:left w:val="nil"/>
              <w:bottom w:val="nil"/>
              <w:right w:val="nil"/>
            </w:tcBorders>
          </w:tcPr>
          <w:p w14:paraId="1B0900E4"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4373E738"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507A389E"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7BDAE71A"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17E0CB41"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62,501</w:t>
            </w:r>
          </w:p>
        </w:tc>
      </w:tr>
      <w:tr w:rsidR="00873A5E" w:rsidRPr="003A176D" w14:paraId="0F85A8C4" w14:textId="77777777" w:rsidTr="00695AC6">
        <w:trPr>
          <w:trHeight w:val="230"/>
        </w:trPr>
        <w:tc>
          <w:tcPr>
            <w:tcW w:w="3582" w:type="dxa"/>
            <w:gridSpan w:val="2"/>
            <w:tcBorders>
              <w:top w:val="nil"/>
              <w:left w:val="nil"/>
              <w:bottom w:val="nil"/>
              <w:right w:val="nil"/>
            </w:tcBorders>
          </w:tcPr>
          <w:p w14:paraId="757204F3" w14:textId="540D3D1E"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 xml:space="preserve">Share-based payments (note </w:t>
            </w:r>
            <w:r w:rsidR="0094224A" w:rsidRPr="003A176D">
              <w:rPr>
                <w:rFonts w:ascii="Arial" w:hAnsi="Arial" w:cs="Arial"/>
                <w:sz w:val="18"/>
                <w:szCs w:val="18"/>
              </w:rPr>
              <w:t>8</w:t>
            </w:r>
            <w:r w:rsidRPr="003A176D">
              <w:rPr>
                <w:rFonts w:ascii="Arial" w:hAnsi="Arial" w:cs="Arial"/>
                <w:sz w:val="18"/>
                <w:szCs w:val="18"/>
              </w:rPr>
              <w:t>)</w:t>
            </w:r>
          </w:p>
        </w:tc>
        <w:tc>
          <w:tcPr>
            <w:tcW w:w="1352" w:type="dxa"/>
            <w:tcBorders>
              <w:top w:val="nil"/>
              <w:left w:val="nil"/>
              <w:bottom w:val="nil"/>
              <w:right w:val="nil"/>
            </w:tcBorders>
          </w:tcPr>
          <w:p w14:paraId="3234DA23"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352" w:type="dxa"/>
            <w:tcBorders>
              <w:top w:val="nil"/>
              <w:left w:val="nil"/>
              <w:bottom w:val="nil"/>
              <w:right w:val="nil"/>
            </w:tcBorders>
          </w:tcPr>
          <w:p w14:paraId="30A12DEF"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197" w:type="dxa"/>
            <w:tcBorders>
              <w:top w:val="nil"/>
              <w:left w:val="nil"/>
              <w:bottom w:val="nil"/>
              <w:right w:val="nil"/>
            </w:tcBorders>
          </w:tcPr>
          <w:p w14:paraId="326BECA9" w14:textId="5A48A8A7" w:rsidR="00873A5E" w:rsidRPr="003A176D" w:rsidRDefault="004C378C" w:rsidP="007E68A5">
            <w:pPr>
              <w:spacing w:after="0" w:line="240" w:lineRule="auto"/>
              <w:jc w:val="right"/>
              <w:rPr>
                <w:rFonts w:ascii="Arial" w:hAnsi="Arial" w:cs="Arial"/>
                <w:sz w:val="18"/>
                <w:szCs w:val="18"/>
              </w:rPr>
            </w:pPr>
            <w:r w:rsidRPr="003A176D">
              <w:rPr>
                <w:rFonts w:ascii="Arial" w:hAnsi="Arial" w:cs="Arial"/>
                <w:sz w:val="18"/>
                <w:szCs w:val="18"/>
              </w:rPr>
              <w:t>386,824</w:t>
            </w:r>
          </w:p>
        </w:tc>
        <w:tc>
          <w:tcPr>
            <w:tcW w:w="1026" w:type="dxa"/>
            <w:tcBorders>
              <w:top w:val="nil"/>
              <w:left w:val="nil"/>
              <w:bottom w:val="nil"/>
              <w:right w:val="nil"/>
            </w:tcBorders>
          </w:tcPr>
          <w:p w14:paraId="7162EA21"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7ABCF2EA"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3DBFEFD2"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07602C06" w14:textId="58C722BC" w:rsidR="00873A5E" w:rsidRPr="003A176D" w:rsidRDefault="004C378C" w:rsidP="007E68A5">
            <w:pPr>
              <w:spacing w:after="0" w:line="240" w:lineRule="auto"/>
              <w:jc w:val="right"/>
              <w:rPr>
                <w:rFonts w:ascii="Arial" w:hAnsi="Arial" w:cs="Arial"/>
                <w:sz w:val="18"/>
                <w:szCs w:val="18"/>
              </w:rPr>
            </w:pPr>
            <w:r w:rsidRPr="003A176D">
              <w:rPr>
                <w:rFonts w:ascii="Arial" w:hAnsi="Arial" w:cs="Arial"/>
                <w:sz w:val="18"/>
                <w:szCs w:val="18"/>
              </w:rPr>
              <w:t>386,824</w:t>
            </w:r>
          </w:p>
        </w:tc>
      </w:tr>
      <w:tr w:rsidR="00873A5E" w:rsidRPr="003A176D" w14:paraId="1F93964C" w14:textId="77777777" w:rsidTr="00695AC6">
        <w:trPr>
          <w:trHeight w:val="230"/>
        </w:trPr>
        <w:tc>
          <w:tcPr>
            <w:tcW w:w="3582" w:type="dxa"/>
            <w:gridSpan w:val="2"/>
            <w:tcBorders>
              <w:top w:val="nil"/>
              <w:left w:val="nil"/>
              <w:bottom w:val="single" w:sz="4" w:space="0" w:color="auto"/>
              <w:right w:val="nil"/>
            </w:tcBorders>
          </w:tcPr>
          <w:p w14:paraId="15A81EBA"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 xml:space="preserve">Net and comprehensive loss </w:t>
            </w:r>
          </w:p>
        </w:tc>
        <w:tc>
          <w:tcPr>
            <w:tcW w:w="1352" w:type="dxa"/>
            <w:tcBorders>
              <w:top w:val="nil"/>
              <w:left w:val="nil"/>
              <w:bottom w:val="single" w:sz="4" w:space="0" w:color="auto"/>
              <w:right w:val="nil"/>
            </w:tcBorders>
          </w:tcPr>
          <w:p w14:paraId="6DAF8FE6"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352" w:type="dxa"/>
            <w:tcBorders>
              <w:top w:val="nil"/>
              <w:left w:val="nil"/>
              <w:bottom w:val="single" w:sz="4" w:space="0" w:color="auto"/>
              <w:right w:val="nil"/>
            </w:tcBorders>
          </w:tcPr>
          <w:p w14:paraId="03304B97"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197" w:type="dxa"/>
            <w:tcBorders>
              <w:top w:val="nil"/>
              <w:left w:val="nil"/>
              <w:bottom w:val="single" w:sz="4" w:space="0" w:color="auto"/>
              <w:right w:val="nil"/>
            </w:tcBorders>
          </w:tcPr>
          <w:p w14:paraId="6ED09C05"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single" w:sz="4" w:space="0" w:color="auto"/>
              <w:right w:val="nil"/>
            </w:tcBorders>
          </w:tcPr>
          <w:p w14:paraId="53FE668D"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single" w:sz="4" w:space="0" w:color="auto"/>
              <w:right w:val="nil"/>
            </w:tcBorders>
          </w:tcPr>
          <w:p w14:paraId="61B10E01" w14:textId="3F39909C" w:rsidR="00873A5E" w:rsidRPr="003A176D" w:rsidRDefault="004C378C" w:rsidP="007E68A5">
            <w:pPr>
              <w:spacing w:after="0" w:line="240" w:lineRule="auto"/>
              <w:jc w:val="right"/>
              <w:rPr>
                <w:rFonts w:ascii="Arial" w:hAnsi="Arial" w:cs="Arial"/>
                <w:sz w:val="18"/>
                <w:szCs w:val="18"/>
              </w:rPr>
            </w:pPr>
            <w:r w:rsidRPr="003A176D">
              <w:rPr>
                <w:rFonts w:ascii="Arial" w:hAnsi="Arial" w:cs="Arial"/>
                <w:sz w:val="18"/>
                <w:szCs w:val="18"/>
              </w:rPr>
              <w:t>513</w:t>
            </w:r>
          </w:p>
        </w:tc>
        <w:tc>
          <w:tcPr>
            <w:tcW w:w="1563" w:type="dxa"/>
            <w:tcBorders>
              <w:top w:val="nil"/>
              <w:left w:val="nil"/>
              <w:bottom w:val="single" w:sz="4" w:space="0" w:color="auto"/>
              <w:right w:val="nil"/>
            </w:tcBorders>
          </w:tcPr>
          <w:p w14:paraId="607333F2" w14:textId="140BB6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r w:rsidR="0094224A" w:rsidRPr="003A176D">
              <w:rPr>
                <w:rFonts w:ascii="Arial" w:hAnsi="Arial" w:cs="Arial"/>
                <w:sz w:val="18"/>
                <w:szCs w:val="18"/>
              </w:rPr>
              <w:t>1,</w:t>
            </w:r>
            <w:r w:rsidR="00C016C6">
              <w:rPr>
                <w:rFonts w:ascii="Arial" w:hAnsi="Arial" w:cs="Arial"/>
                <w:sz w:val="18"/>
                <w:szCs w:val="18"/>
              </w:rPr>
              <w:t>738,482</w:t>
            </w:r>
            <w:r w:rsidRPr="003A176D">
              <w:rPr>
                <w:rFonts w:ascii="Arial" w:hAnsi="Arial" w:cs="Arial"/>
                <w:sz w:val="18"/>
                <w:szCs w:val="18"/>
              </w:rPr>
              <w:t>)</w:t>
            </w:r>
          </w:p>
        </w:tc>
        <w:tc>
          <w:tcPr>
            <w:tcW w:w="1671" w:type="dxa"/>
            <w:tcBorders>
              <w:top w:val="nil"/>
              <w:left w:val="nil"/>
              <w:bottom w:val="single" w:sz="4" w:space="0" w:color="auto"/>
              <w:right w:val="nil"/>
            </w:tcBorders>
          </w:tcPr>
          <w:p w14:paraId="3E9CC738" w14:textId="54B31663"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r w:rsidR="0094224A" w:rsidRPr="003A176D">
              <w:rPr>
                <w:rFonts w:ascii="Arial" w:hAnsi="Arial" w:cs="Arial"/>
                <w:sz w:val="18"/>
                <w:szCs w:val="18"/>
              </w:rPr>
              <w:t>1,</w:t>
            </w:r>
            <w:r w:rsidR="00C016C6">
              <w:rPr>
                <w:rFonts w:ascii="Arial" w:hAnsi="Arial" w:cs="Arial"/>
                <w:sz w:val="18"/>
                <w:szCs w:val="18"/>
              </w:rPr>
              <w:t>737,969</w:t>
            </w:r>
            <w:r w:rsidR="004C378C" w:rsidRPr="003A176D">
              <w:rPr>
                <w:rFonts w:ascii="Arial" w:hAnsi="Arial" w:cs="Arial"/>
                <w:sz w:val="18"/>
                <w:szCs w:val="18"/>
              </w:rPr>
              <w:t>)</w:t>
            </w:r>
          </w:p>
        </w:tc>
      </w:tr>
      <w:tr w:rsidR="00873A5E" w:rsidRPr="003A176D" w14:paraId="786E5006" w14:textId="77777777" w:rsidTr="00695AC6">
        <w:trPr>
          <w:trHeight w:val="202"/>
        </w:trPr>
        <w:tc>
          <w:tcPr>
            <w:tcW w:w="3582" w:type="dxa"/>
            <w:gridSpan w:val="2"/>
            <w:tcBorders>
              <w:top w:val="single" w:sz="4" w:space="0" w:color="auto"/>
              <w:left w:val="nil"/>
              <w:bottom w:val="single" w:sz="4" w:space="0" w:color="auto"/>
              <w:right w:val="nil"/>
            </w:tcBorders>
          </w:tcPr>
          <w:p w14:paraId="7BF9AB1C" w14:textId="68EC5854" w:rsidR="00873A5E" w:rsidRPr="00760451" w:rsidRDefault="00873A5E" w:rsidP="007E68A5">
            <w:pPr>
              <w:spacing w:after="0" w:line="240" w:lineRule="auto"/>
              <w:rPr>
                <w:rFonts w:ascii="Arial" w:hAnsi="Arial" w:cs="Arial"/>
                <w:b/>
                <w:bCs/>
                <w:sz w:val="18"/>
                <w:szCs w:val="18"/>
              </w:rPr>
            </w:pPr>
            <w:r w:rsidRPr="00760451">
              <w:rPr>
                <w:rFonts w:ascii="Arial" w:hAnsi="Arial" w:cs="Arial"/>
                <w:b/>
                <w:bCs/>
                <w:sz w:val="18"/>
                <w:szCs w:val="18"/>
              </w:rPr>
              <w:t xml:space="preserve">Balance as at </w:t>
            </w:r>
            <w:r w:rsidR="00760451">
              <w:rPr>
                <w:rFonts w:ascii="Arial" w:hAnsi="Arial" w:cs="Arial"/>
                <w:b/>
                <w:bCs/>
                <w:sz w:val="18"/>
                <w:szCs w:val="18"/>
              </w:rPr>
              <w:t>June 30</w:t>
            </w:r>
            <w:r w:rsidRPr="00760451">
              <w:rPr>
                <w:rFonts w:ascii="Arial" w:hAnsi="Arial" w:cs="Arial"/>
                <w:b/>
                <w:bCs/>
                <w:sz w:val="18"/>
                <w:szCs w:val="18"/>
              </w:rPr>
              <w:t>, 2019</w:t>
            </w:r>
          </w:p>
        </w:tc>
        <w:tc>
          <w:tcPr>
            <w:tcW w:w="1352" w:type="dxa"/>
            <w:tcBorders>
              <w:top w:val="single" w:sz="4" w:space="0" w:color="auto"/>
              <w:left w:val="nil"/>
              <w:bottom w:val="single" w:sz="4" w:space="0" w:color="auto"/>
              <w:right w:val="nil"/>
            </w:tcBorders>
          </w:tcPr>
          <w:p w14:paraId="342658A5" w14:textId="77777777" w:rsidR="00873A5E" w:rsidRPr="00760451" w:rsidRDefault="00873A5E" w:rsidP="007E68A5">
            <w:pPr>
              <w:spacing w:after="0" w:line="240" w:lineRule="auto"/>
              <w:jc w:val="right"/>
              <w:rPr>
                <w:rFonts w:ascii="Arial" w:hAnsi="Arial" w:cs="Arial"/>
                <w:b/>
                <w:bCs/>
                <w:sz w:val="18"/>
                <w:szCs w:val="18"/>
              </w:rPr>
            </w:pPr>
            <w:r w:rsidRPr="00760451">
              <w:rPr>
                <w:rFonts w:ascii="Arial" w:hAnsi="Arial" w:cs="Arial"/>
                <w:b/>
                <w:bCs/>
                <w:sz w:val="18"/>
                <w:szCs w:val="18"/>
              </w:rPr>
              <w:t>34,915,500</w:t>
            </w:r>
          </w:p>
        </w:tc>
        <w:tc>
          <w:tcPr>
            <w:tcW w:w="1352" w:type="dxa"/>
            <w:tcBorders>
              <w:top w:val="single" w:sz="4" w:space="0" w:color="auto"/>
              <w:left w:val="nil"/>
              <w:bottom w:val="single" w:sz="4" w:space="0" w:color="auto"/>
              <w:right w:val="nil"/>
            </w:tcBorders>
          </w:tcPr>
          <w:p w14:paraId="3E237501" w14:textId="77777777" w:rsidR="00873A5E" w:rsidRPr="00760451" w:rsidRDefault="00873A5E" w:rsidP="007E68A5">
            <w:pPr>
              <w:tabs>
                <w:tab w:val="right" w:pos="1114"/>
              </w:tabs>
              <w:spacing w:after="0" w:line="240" w:lineRule="auto"/>
              <w:jc w:val="right"/>
              <w:rPr>
                <w:rFonts w:ascii="Arial" w:hAnsi="Arial" w:cs="Arial"/>
                <w:b/>
                <w:bCs/>
                <w:sz w:val="18"/>
                <w:szCs w:val="18"/>
              </w:rPr>
            </w:pPr>
            <w:r w:rsidRPr="00760451">
              <w:rPr>
                <w:rFonts w:ascii="Arial" w:hAnsi="Arial" w:cs="Arial"/>
                <w:b/>
                <w:bCs/>
                <w:sz w:val="18"/>
                <w:szCs w:val="18"/>
              </w:rPr>
              <w:t>$</w:t>
            </w:r>
            <w:r w:rsidRPr="00760451">
              <w:rPr>
                <w:rFonts w:ascii="Arial" w:hAnsi="Arial" w:cs="Arial"/>
                <w:b/>
                <w:bCs/>
                <w:sz w:val="18"/>
                <w:szCs w:val="18"/>
              </w:rPr>
              <w:tab/>
              <w:t>6,172,515</w:t>
            </w:r>
          </w:p>
        </w:tc>
        <w:tc>
          <w:tcPr>
            <w:tcW w:w="1197" w:type="dxa"/>
            <w:tcBorders>
              <w:top w:val="single" w:sz="4" w:space="0" w:color="auto"/>
              <w:left w:val="nil"/>
              <w:bottom w:val="single" w:sz="4" w:space="0" w:color="auto"/>
              <w:right w:val="nil"/>
            </w:tcBorders>
          </w:tcPr>
          <w:p w14:paraId="714C70A4" w14:textId="073E040D" w:rsidR="00873A5E" w:rsidRPr="00760451" w:rsidRDefault="00873A5E" w:rsidP="007E68A5">
            <w:pPr>
              <w:tabs>
                <w:tab w:val="right" w:pos="1149"/>
              </w:tabs>
              <w:spacing w:after="0" w:line="240" w:lineRule="auto"/>
              <w:rPr>
                <w:rFonts w:ascii="Arial" w:hAnsi="Arial" w:cs="Arial"/>
                <w:b/>
                <w:bCs/>
                <w:sz w:val="18"/>
                <w:szCs w:val="18"/>
              </w:rPr>
            </w:pPr>
            <w:r w:rsidRPr="00760451">
              <w:rPr>
                <w:rFonts w:ascii="Arial" w:hAnsi="Arial" w:cs="Arial"/>
                <w:b/>
                <w:bCs/>
                <w:sz w:val="18"/>
                <w:szCs w:val="18"/>
              </w:rPr>
              <w:t>$</w:t>
            </w:r>
            <w:r w:rsidRPr="00760451">
              <w:rPr>
                <w:rFonts w:ascii="Arial" w:hAnsi="Arial" w:cs="Arial"/>
                <w:b/>
                <w:bCs/>
                <w:sz w:val="18"/>
                <w:szCs w:val="18"/>
              </w:rPr>
              <w:tab/>
              <w:t xml:space="preserve"> </w:t>
            </w:r>
            <w:r w:rsidR="004C378C" w:rsidRPr="00760451">
              <w:rPr>
                <w:rFonts w:ascii="Arial" w:hAnsi="Arial" w:cs="Arial"/>
                <w:b/>
                <w:bCs/>
                <w:sz w:val="18"/>
                <w:szCs w:val="18"/>
              </w:rPr>
              <w:t>879,939</w:t>
            </w:r>
          </w:p>
        </w:tc>
        <w:tc>
          <w:tcPr>
            <w:tcW w:w="1026" w:type="dxa"/>
            <w:tcBorders>
              <w:top w:val="single" w:sz="4" w:space="0" w:color="auto"/>
              <w:left w:val="nil"/>
              <w:bottom w:val="single" w:sz="4" w:space="0" w:color="auto"/>
              <w:right w:val="nil"/>
            </w:tcBorders>
          </w:tcPr>
          <w:p w14:paraId="1C8A3625" w14:textId="77777777" w:rsidR="00873A5E" w:rsidRPr="00760451" w:rsidRDefault="00873A5E" w:rsidP="007E68A5">
            <w:pPr>
              <w:tabs>
                <w:tab w:val="center" w:pos="812"/>
                <w:tab w:val="right" w:pos="1624"/>
              </w:tabs>
              <w:spacing w:after="0" w:line="240" w:lineRule="auto"/>
              <w:jc w:val="right"/>
              <w:rPr>
                <w:rFonts w:ascii="Arial" w:hAnsi="Arial" w:cs="Arial"/>
                <w:b/>
                <w:bCs/>
                <w:sz w:val="18"/>
                <w:szCs w:val="18"/>
              </w:rPr>
            </w:pPr>
            <w:r w:rsidRPr="00760451">
              <w:rPr>
                <w:rFonts w:ascii="Arial" w:hAnsi="Arial" w:cs="Arial"/>
                <w:b/>
                <w:bCs/>
                <w:sz w:val="18"/>
                <w:szCs w:val="18"/>
              </w:rPr>
              <w:t>-</w:t>
            </w:r>
          </w:p>
        </w:tc>
        <w:tc>
          <w:tcPr>
            <w:tcW w:w="1737" w:type="dxa"/>
            <w:tcBorders>
              <w:top w:val="single" w:sz="4" w:space="0" w:color="auto"/>
              <w:left w:val="nil"/>
              <w:bottom w:val="single" w:sz="4" w:space="0" w:color="auto"/>
              <w:right w:val="nil"/>
            </w:tcBorders>
          </w:tcPr>
          <w:p w14:paraId="7D4BF8F0" w14:textId="04B3AB32" w:rsidR="00873A5E" w:rsidRPr="00760451" w:rsidRDefault="00873A5E" w:rsidP="007E68A5">
            <w:pPr>
              <w:tabs>
                <w:tab w:val="center" w:pos="812"/>
                <w:tab w:val="right" w:pos="1624"/>
              </w:tabs>
              <w:spacing w:after="0" w:line="240" w:lineRule="auto"/>
              <w:rPr>
                <w:rFonts w:ascii="Arial" w:hAnsi="Arial" w:cs="Arial"/>
                <w:b/>
                <w:bCs/>
                <w:sz w:val="18"/>
                <w:szCs w:val="18"/>
              </w:rPr>
            </w:pPr>
            <w:r w:rsidRPr="00760451">
              <w:rPr>
                <w:rFonts w:ascii="Arial" w:hAnsi="Arial" w:cs="Arial"/>
                <w:b/>
                <w:bCs/>
                <w:sz w:val="18"/>
                <w:szCs w:val="18"/>
              </w:rPr>
              <w:t xml:space="preserve">    $</w:t>
            </w:r>
            <w:r w:rsidRPr="00760451">
              <w:rPr>
                <w:rFonts w:ascii="Arial" w:hAnsi="Arial" w:cs="Arial"/>
                <w:b/>
                <w:bCs/>
                <w:sz w:val="18"/>
                <w:szCs w:val="18"/>
              </w:rPr>
              <w:tab/>
            </w:r>
            <w:r w:rsidRPr="00760451">
              <w:rPr>
                <w:rFonts w:ascii="Arial" w:hAnsi="Arial" w:cs="Arial"/>
                <w:b/>
                <w:bCs/>
                <w:sz w:val="18"/>
                <w:szCs w:val="18"/>
              </w:rPr>
              <w:tab/>
            </w:r>
            <w:r w:rsidR="004C378C" w:rsidRPr="00760451">
              <w:rPr>
                <w:rFonts w:ascii="Arial" w:hAnsi="Arial" w:cs="Arial"/>
                <w:b/>
                <w:bCs/>
                <w:sz w:val="18"/>
                <w:szCs w:val="18"/>
              </w:rPr>
              <w:t>(351)</w:t>
            </w:r>
          </w:p>
        </w:tc>
        <w:tc>
          <w:tcPr>
            <w:tcW w:w="1563" w:type="dxa"/>
            <w:tcBorders>
              <w:top w:val="single" w:sz="4" w:space="0" w:color="auto"/>
              <w:left w:val="nil"/>
              <w:bottom w:val="single" w:sz="4" w:space="0" w:color="auto"/>
              <w:right w:val="nil"/>
            </w:tcBorders>
          </w:tcPr>
          <w:p w14:paraId="669A04AC" w14:textId="4EFF0854" w:rsidR="00873A5E" w:rsidRPr="00760451" w:rsidRDefault="00873A5E" w:rsidP="007E68A5">
            <w:pPr>
              <w:tabs>
                <w:tab w:val="right" w:pos="1404"/>
              </w:tabs>
              <w:spacing w:after="0" w:line="240" w:lineRule="auto"/>
              <w:rPr>
                <w:rFonts w:ascii="Arial" w:hAnsi="Arial" w:cs="Arial"/>
                <w:b/>
                <w:bCs/>
                <w:sz w:val="18"/>
                <w:szCs w:val="18"/>
              </w:rPr>
            </w:pPr>
            <w:r w:rsidRPr="00760451">
              <w:rPr>
                <w:rFonts w:ascii="Arial" w:hAnsi="Arial" w:cs="Arial"/>
                <w:b/>
                <w:bCs/>
                <w:sz w:val="18"/>
                <w:szCs w:val="18"/>
              </w:rPr>
              <w:t>$</w:t>
            </w:r>
            <w:r w:rsidRPr="00760451">
              <w:rPr>
                <w:rFonts w:ascii="Arial" w:hAnsi="Arial" w:cs="Arial"/>
                <w:b/>
                <w:bCs/>
                <w:sz w:val="18"/>
                <w:szCs w:val="18"/>
              </w:rPr>
              <w:tab/>
              <w:t>(</w:t>
            </w:r>
            <w:r w:rsidR="004C378C" w:rsidRPr="00760451">
              <w:rPr>
                <w:rFonts w:ascii="Arial" w:hAnsi="Arial" w:cs="Arial"/>
                <w:b/>
                <w:bCs/>
                <w:sz w:val="18"/>
                <w:szCs w:val="18"/>
              </w:rPr>
              <w:t>5,</w:t>
            </w:r>
            <w:r w:rsidR="00C016C6" w:rsidRPr="00760451">
              <w:rPr>
                <w:rFonts w:ascii="Arial" w:hAnsi="Arial" w:cs="Arial"/>
                <w:b/>
                <w:bCs/>
                <w:sz w:val="18"/>
                <w:szCs w:val="18"/>
              </w:rPr>
              <w:t>588,809</w:t>
            </w:r>
            <w:r w:rsidRPr="00760451">
              <w:rPr>
                <w:rFonts w:ascii="Arial" w:hAnsi="Arial" w:cs="Arial"/>
                <w:b/>
                <w:bCs/>
                <w:sz w:val="18"/>
                <w:szCs w:val="18"/>
              </w:rPr>
              <w:t>)</w:t>
            </w:r>
          </w:p>
        </w:tc>
        <w:tc>
          <w:tcPr>
            <w:tcW w:w="1671" w:type="dxa"/>
            <w:tcBorders>
              <w:top w:val="single" w:sz="4" w:space="0" w:color="auto"/>
              <w:left w:val="nil"/>
              <w:bottom w:val="single" w:sz="4" w:space="0" w:color="auto"/>
              <w:right w:val="nil"/>
            </w:tcBorders>
          </w:tcPr>
          <w:p w14:paraId="3DB2337E" w14:textId="49870D67" w:rsidR="00873A5E" w:rsidRPr="003A176D" w:rsidRDefault="00873A5E" w:rsidP="007E68A5">
            <w:pPr>
              <w:tabs>
                <w:tab w:val="right" w:pos="1588"/>
              </w:tabs>
              <w:spacing w:after="0" w:line="240" w:lineRule="auto"/>
              <w:rPr>
                <w:rFonts w:ascii="Arial" w:hAnsi="Arial" w:cs="Arial"/>
                <w:b/>
                <w:bCs/>
                <w:sz w:val="18"/>
                <w:szCs w:val="18"/>
              </w:rPr>
            </w:pPr>
            <w:r w:rsidRPr="00760451">
              <w:rPr>
                <w:rFonts w:ascii="Arial" w:hAnsi="Arial" w:cs="Arial"/>
                <w:b/>
                <w:bCs/>
                <w:sz w:val="18"/>
                <w:szCs w:val="18"/>
              </w:rPr>
              <w:t>$</w:t>
            </w:r>
            <w:r w:rsidRPr="00760451">
              <w:rPr>
                <w:rFonts w:ascii="Arial" w:hAnsi="Arial" w:cs="Arial"/>
                <w:b/>
                <w:bCs/>
                <w:sz w:val="18"/>
                <w:szCs w:val="18"/>
              </w:rPr>
              <w:tab/>
            </w:r>
            <w:r w:rsidR="0094224A" w:rsidRPr="00760451">
              <w:rPr>
                <w:rFonts w:ascii="Arial" w:hAnsi="Arial" w:cs="Arial"/>
                <w:b/>
                <w:bCs/>
                <w:sz w:val="18"/>
                <w:szCs w:val="18"/>
              </w:rPr>
              <w:t>1,</w:t>
            </w:r>
            <w:r w:rsidR="00C016C6" w:rsidRPr="00760451">
              <w:rPr>
                <w:rFonts w:ascii="Arial" w:hAnsi="Arial" w:cs="Arial"/>
                <w:b/>
                <w:bCs/>
                <w:sz w:val="18"/>
                <w:szCs w:val="18"/>
              </w:rPr>
              <w:t>463,294</w:t>
            </w:r>
          </w:p>
        </w:tc>
      </w:tr>
      <w:tr w:rsidR="00873A5E" w:rsidRPr="003A176D" w14:paraId="18C0B96F" w14:textId="77777777" w:rsidTr="00695AC6">
        <w:trPr>
          <w:trHeight w:val="202"/>
        </w:trPr>
        <w:tc>
          <w:tcPr>
            <w:tcW w:w="3582" w:type="dxa"/>
            <w:gridSpan w:val="2"/>
            <w:tcBorders>
              <w:top w:val="single" w:sz="4" w:space="0" w:color="auto"/>
              <w:left w:val="nil"/>
              <w:bottom w:val="nil"/>
              <w:right w:val="nil"/>
            </w:tcBorders>
          </w:tcPr>
          <w:p w14:paraId="3B00DB8F" w14:textId="77777777" w:rsidR="00873A5E" w:rsidRPr="003A176D" w:rsidRDefault="00873A5E" w:rsidP="007E68A5">
            <w:pPr>
              <w:spacing w:after="0" w:line="240" w:lineRule="auto"/>
              <w:rPr>
                <w:rFonts w:ascii="Arial" w:hAnsi="Arial" w:cs="Arial"/>
                <w:b/>
                <w:bCs/>
                <w:sz w:val="18"/>
                <w:szCs w:val="18"/>
              </w:rPr>
            </w:pPr>
          </w:p>
        </w:tc>
        <w:tc>
          <w:tcPr>
            <w:tcW w:w="1352" w:type="dxa"/>
            <w:tcBorders>
              <w:top w:val="single" w:sz="4" w:space="0" w:color="auto"/>
              <w:left w:val="nil"/>
              <w:bottom w:val="nil"/>
              <w:right w:val="nil"/>
            </w:tcBorders>
          </w:tcPr>
          <w:p w14:paraId="2AF3CDA6" w14:textId="77777777" w:rsidR="00873A5E" w:rsidRPr="003A176D" w:rsidRDefault="00873A5E" w:rsidP="007E68A5">
            <w:pPr>
              <w:spacing w:after="0" w:line="240" w:lineRule="auto"/>
              <w:jc w:val="right"/>
              <w:rPr>
                <w:rFonts w:ascii="Arial" w:hAnsi="Arial" w:cs="Arial"/>
                <w:b/>
                <w:bCs/>
                <w:sz w:val="18"/>
                <w:szCs w:val="18"/>
              </w:rPr>
            </w:pPr>
          </w:p>
        </w:tc>
        <w:tc>
          <w:tcPr>
            <w:tcW w:w="1352" w:type="dxa"/>
            <w:tcBorders>
              <w:top w:val="single" w:sz="4" w:space="0" w:color="auto"/>
              <w:left w:val="nil"/>
              <w:bottom w:val="nil"/>
              <w:right w:val="nil"/>
            </w:tcBorders>
          </w:tcPr>
          <w:p w14:paraId="662524D5" w14:textId="77777777" w:rsidR="00873A5E" w:rsidRPr="003A176D" w:rsidRDefault="00873A5E" w:rsidP="007E68A5">
            <w:pPr>
              <w:tabs>
                <w:tab w:val="right" w:pos="1114"/>
              </w:tabs>
              <w:spacing w:after="0" w:line="240" w:lineRule="auto"/>
              <w:jc w:val="right"/>
              <w:rPr>
                <w:rFonts w:ascii="Arial" w:hAnsi="Arial" w:cs="Arial"/>
                <w:b/>
                <w:bCs/>
                <w:sz w:val="18"/>
                <w:szCs w:val="18"/>
              </w:rPr>
            </w:pPr>
          </w:p>
        </w:tc>
        <w:tc>
          <w:tcPr>
            <w:tcW w:w="1197" w:type="dxa"/>
            <w:tcBorders>
              <w:top w:val="single" w:sz="4" w:space="0" w:color="auto"/>
              <w:left w:val="nil"/>
              <w:bottom w:val="nil"/>
              <w:right w:val="nil"/>
            </w:tcBorders>
          </w:tcPr>
          <w:p w14:paraId="3A02DCD1" w14:textId="77777777" w:rsidR="00873A5E" w:rsidRPr="003A176D" w:rsidRDefault="00873A5E" w:rsidP="007E68A5">
            <w:pPr>
              <w:tabs>
                <w:tab w:val="right" w:pos="1149"/>
              </w:tabs>
              <w:spacing w:after="0" w:line="240" w:lineRule="auto"/>
              <w:rPr>
                <w:rFonts w:ascii="Arial" w:hAnsi="Arial" w:cs="Arial"/>
                <w:b/>
                <w:bCs/>
                <w:sz w:val="18"/>
                <w:szCs w:val="18"/>
              </w:rPr>
            </w:pPr>
          </w:p>
        </w:tc>
        <w:tc>
          <w:tcPr>
            <w:tcW w:w="1026" w:type="dxa"/>
            <w:tcBorders>
              <w:top w:val="single" w:sz="4" w:space="0" w:color="auto"/>
              <w:left w:val="nil"/>
              <w:bottom w:val="nil"/>
              <w:right w:val="nil"/>
            </w:tcBorders>
          </w:tcPr>
          <w:p w14:paraId="1ADE04CF" w14:textId="77777777" w:rsidR="00873A5E" w:rsidRPr="003A176D" w:rsidRDefault="00873A5E" w:rsidP="007E68A5">
            <w:pPr>
              <w:tabs>
                <w:tab w:val="center" w:pos="812"/>
                <w:tab w:val="right" w:pos="1624"/>
              </w:tabs>
              <w:spacing w:after="0" w:line="240" w:lineRule="auto"/>
              <w:jc w:val="right"/>
              <w:rPr>
                <w:rFonts w:ascii="Arial" w:hAnsi="Arial" w:cs="Arial"/>
                <w:b/>
                <w:bCs/>
                <w:sz w:val="18"/>
                <w:szCs w:val="18"/>
              </w:rPr>
            </w:pPr>
          </w:p>
        </w:tc>
        <w:tc>
          <w:tcPr>
            <w:tcW w:w="1737" w:type="dxa"/>
            <w:tcBorders>
              <w:top w:val="single" w:sz="4" w:space="0" w:color="auto"/>
              <w:left w:val="nil"/>
              <w:bottom w:val="nil"/>
              <w:right w:val="nil"/>
            </w:tcBorders>
          </w:tcPr>
          <w:p w14:paraId="526B4C98" w14:textId="77777777" w:rsidR="00873A5E" w:rsidRPr="003A176D" w:rsidRDefault="00873A5E" w:rsidP="007E68A5">
            <w:pPr>
              <w:tabs>
                <w:tab w:val="center" w:pos="812"/>
                <w:tab w:val="right" w:pos="1624"/>
              </w:tabs>
              <w:spacing w:after="0" w:line="240" w:lineRule="auto"/>
              <w:rPr>
                <w:rFonts w:ascii="Arial" w:hAnsi="Arial" w:cs="Arial"/>
                <w:b/>
                <w:bCs/>
                <w:sz w:val="18"/>
                <w:szCs w:val="18"/>
              </w:rPr>
            </w:pPr>
          </w:p>
        </w:tc>
        <w:tc>
          <w:tcPr>
            <w:tcW w:w="1563" w:type="dxa"/>
            <w:tcBorders>
              <w:top w:val="single" w:sz="4" w:space="0" w:color="auto"/>
              <w:left w:val="nil"/>
              <w:bottom w:val="nil"/>
              <w:right w:val="nil"/>
            </w:tcBorders>
          </w:tcPr>
          <w:p w14:paraId="7966436C" w14:textId="77777777" w:rsidR="00873A5E" w:rsidRPr="003A176D" w:rsidRDefault="00873A5E" w:rsidP="007E68A5">
            <w:pPr>
              <w:tabs>
                <w:tab w:val="right" w:pos="1404"/>
              </w:tabs>
              <w:spacing w:after="0" w:line="240" w:lineRule="auto"/>
              <w:rPr>
                <w:rFonts w:ascii="Arial" w:hAnsi="Arial" w:cs="Arial"/>
                <w:b/>
                <w:bCs/>
                <w:sz w:val="18"/>
                <w:szCs w:val="18"/>
              </w:rPr>
            </w:pPr>
          </w:p>
        </w:tc>
        <w:tc>
          <w:tcPr>
            <w:tcW w:w="1671" w:type="dxa"/>
            <w:tcBorders>
              <w:top w:val="single" w:sz="4" w:space="0" w:color="auto"/>
              <w:left w:val="nil"/>
              <w:bottom w:val="nil"/>
              <w:right w:val="nil"/>
            </w:tcBorders>
          </w:tcPr>
          <w:p w14:paraId="63358F20" w14:textId="77777777" w:rsidR="00873A5E" w:rsidRPr="003A176D" w:rsidRDefault="00873A5E" w:rsidP="007E68A5">
            <w:pPr>
              <w:tabs>
                <w:tab w:val="right" w:pos="1588"/>
              </w:tabs>
              <w:spacing w:after="0" w:line="240" w:lineRule="auto"/>
              <w:rPr>
                <w:rFonts w:ascii="Arial" w:hAnsi="Arial" w:cs="Arial"/>
                <w:b/>
                <w:bCs/>
                <w:sz w:val="18"/>
                <w:szCs w:val="18"/>
              </w:rPr>
            </w:pPr>
          </w:p>
        </w:tc>
      </w:tr>
      <w:tr w:rsidR="00873A5E" w:rsidRPr="003A176D" w14:paraId="141A49DB" w14:textId="77777777" w:rsidTr="00695AC6">
        <w:trPr>
          <w:trHeight w:val="202"/>
        </w:trPr>
        <w:tc>
          <w:tcPr>
            <w:tcW w:w="3582" w:type="dxa"/>
            <w:gridSpan w:val="2"/>
            <w:tcBorders>
              <w:top w:val="nil"/>
              <w:left w:val="nil"/>
              <w:bottom w:val="nil"/>
              <w:right w:val="nil"/>
            </w:tcBorders>
          </w:tcPr>
          <w:p w14:paraId="3496A600"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Balance as at December 31, 2019</w:t>
            </w:r>
          </w:p>
        </w:tc>
        <w:tc>
          <w:tcPr>
            <w:tcW w:w="1352" w:type="dxa"/>
            <w:tcBorders>
              <w:top w:val="nil"/>
              <w:left w:val="nil"/>
              <w:bottom w:val="nil"/>
              <w:right w:val="nil"/>
            </w:tcBorders>
          </w:tcPr>
          <w:p w14:paraId="126B1D34"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34,915,500</w:t>
            </w:r>
          </w:p>
        </w:tc>
        <w:tc>
          <w:tcPr>
            <w:tcW w:w="1352" w:type="dxa"/>
            <w:tcBorders>
              <w:top w:val="nil"/>
              <w:left w:val="nil"/>
              <w:bottom w:val="nil"/>
              <w:right w:val="nil"/>
            </w:tcBorders>
          </w:tcPr>
          <w:p w14:paraId="324C0725" w14:textId="77777777" w:rsidR="00873A5E" w:rsidRPr="003A176D" w:rsidRDefault="00873A5E"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w:t>
            </w:r>
            <w:r w:rsidRPr="003A176D">
              <w:rPr>
                <w:rFonts w:ascii="Arial" w:hAnsi="Arial" w:cs="Arial"/>
                <w:sz w:val="18"/>
                <w:szCs w:val="18"/>
              </w:rPr>
              <w:tab/>
              <w:t>6,172,515</w:t>
            </w:r>
          </w:p>
        </w:tc>
        <w:tc>
          <w:tcPr>
            <w:tcW w:w="1197" w:type="dxa"/>
            <w:tcBorders>
              <w:top w:val="nil"/>
              <w:left w:val="nil"/>
              <w:bottom w:val="nil"/>
              <w:right w:val="nil"/>
            </w:tcBorders>
          </w:tcPr>
          <w:p w14:paraId="29BAD336" w14:textId="77777777" w:rsidR="00873A5E" w:rsidRPr="003A176D" w:rsidRDefault="00873A5E" w:rsidP="007E68A5">
            <w:pPr>
              <w:tabs>
                <w:tab w:val="right" w:pos="1149"/>
              </w:tabs>
              <w:spacing w:after="0" w:line="240" w:lineRule="auto"/>
              <w:rPr>
                <w:rFonts w:ascii="Arial" w:hAnsi="Arial" w:cs="Arial"/>
                <w:sz w:val="18"/>
                <w:szCs w:val="18"/>
              </w:rPr>
            </w:pPr>
            <w:r w:rsidRPr="003A176D">
              <w:rPr>
                <w:rFonts w:ascii="Arial" w:hAnsi="Arial" w:cs="Arial"/>
                <w:sz w:val="18"/>
                <w:szCs w:val="18"/>
              </w:rPr>
              <w:t>$</w:t>
            </w:r>
            <w:r w:rsidRPr="003A176D">
              <w:rPr>
                <w:rFonts w:ascii="Arial" w:hAnsi="Arial" w:cs="Arial"/>
                <w:sz w:val="18"/>
                <w:szCs w:val="18"/>
              </w:rPr>
              <w:tab/>
              <w:t xml:space="preserve"> 1,118,953</w:t>
            </w:r>
          </w:p>
        </w:tc>
        <w:tc>
          <w:tcPr>
            <w:tcW w:w="1026" w:type="dxa"/>
            <w:tcBorders>
              <w:top w:val="nil"/>
              <w:left w:val="nil"/>
              <w:bottom w:val="nil"/>
              <w:right w:val="nil"/>
            </w:tcBorders>
          </w:tcPr>
          <w:p w14:paraId="7F457E01"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27FFDFD4" w14:textId="77777777" w:rsidR="00873A5E" w:rsidRPr="003A176D" w:rsidRDefault="00873A5E" w:rsidP="007E68A5">
            <w:pPr>
              <w:tabs>
                <w:tab w:val="center" w:pos="812"/>
                <w:tab w:val="right" w:pos="1624"/>
              </w:tabs>
              <w:spacing w:after="0" w:line="240" w:lineRule="auto"/>
              <w:rPr>
                <w:rFonts w:ascii="Arial" w:hAnsi="Arial" w:cs="Arial"/>
                <w:sz w:val="18"/>
                <w:szCs w:val="18"/>
              </w:rPr>
            </w:pPr>
            <w:r w:rsidRPr="003A176D">
              <w:rPr>
                <w:rFonts w:ascii="Arial" w:hAnsi="Arial" w:cs="Arial"/>
                <w:sz w:val="18"/>
                <w:szCs w:val="18"/>
              </w:rPr>
              <w:t xml:space="preserve">    $</w:t>
            </w:r>
            <w:r w:rsidRPr="003A176D">
              <w:rPr>
                <w:rFonts w:ascii="Arial" w:hAnsi="Arial" w:cs="Arial"/>
                <w:sz w:val="18"/>
                <w:szCs w:val="18"/>
              </w:rPr>
              <w:tab/>
            </w:r>
            <w:r w:rsidRPr="003A176D">
              <w:rPr>
                <w:rFonts w:ascii="Arial" w:hAnsi="Arial" w:cs="Arial"/>
                <w:sz w:val="18"/>
                <w:szCs w:val="18"/>
              </w:rPr>
              <w:tab/>
              <w:t>(460)</w:t>
            </w:r>
          </w:p>
        </w:tc>
        <w:tc>
          <w:tcPr>
            <w:tcW w:w="1563" w:type="dxa"/>
            <w:tcBorders>
              <w:top w:val="nil"/>
              <w:left w:val="nil"/>
              <w:bottom w:val="nil"/>
              <w:right w:val="nil"/>
            </w:tcBorders>
          </w:tcPr>
          <w:p w14:paraId="1E3A9E69" w14:textId="77777777" w:rsidR="00873A5E" w:rsidRPr="003A176D" w:rsidRDefault="00873A5E" w:rsidP="007E68A5">
            <w:pPr>
              <w:tabs>
                <w:tab w:val="right" w:pos="1404"/>
              </w:tabs>
              <w:spacing w:after="0" w:line="240" w:lineRule="auto"/>
              <w:rPr>
                <w:rFonts w:ascii="Arial" w:hAnsi="Arial" w:cs="Arial"/>
                <w:sz w:val="18"/>
                <w:szCs w:val="18"/>
              </w:rPr>
            </w:pPr>
            <w:r w:rsidRPr="003A176D">
              <w:rPr>
                <w:rFonts w:ascii="Arial" w:hAnsi="Arial" w:cs="Arial"/>
                <w:sz w:val="18"/>
                <w:szCs w:val="18"/>
              </w:rPr>
              <w:t>$</w:t>
            </w:r>
            <w:r w:rsidRPr="003A176D">
              <w:rPr>
                <w:rFonts w:ascii="Arial" w:hAnsi="Arial" w:cs="Arial"/>
                <w:sz w:val="18"/>
                <w:szCs w:val="18"/>
              </w:rPr>
              <w:tab/>
              <w:t>(6,759,823)</w:t>
            </w:r>
          </w:p>
        </w:tc>
        <w:tc>
          <w:tcPr>
            <w:tcW w:w="1671" w:type="dxa"/>
            <w:tcBorders>
              <w:top w:val="nil"/>
              <w:left w:val="nil"/>
              <w:bottom w:val="nil"/>
              <w:right w:val="nil"/>
            </w:tcBorders>
          </w:tcPr>
          <w:p w14:paraId="49DBE62E" w14:textId="77777777" w:rsidR="00873A5E" w:rsidRPr="003A176D" w:rsidRDefault="00873A5E" w:rsidP="007E68A5">
            <w:pPr>
              <w:tabs>
                <w:tab w:val="right" w:pos="1588"/>
              </w:tabs>
              <w:spacing w:after="0" w:line="240" w:lineRule="auto"/>
              <w:rPr>
                <w:rFonts w:ascii="Arial" w:hAnsi="Arial" w:cs="Arial"/>
                <w:sz w:val="18"/>
                <w:szCs w:val="18"/>
              </w:rPr>
            </w:pPr>
            <w:r w:rsidRPr="003A176D">
              <w:rPr>
                <w:rFonts w:ascii="Arial" w:hAnsi="Arial" w:cs="Arial"/>
                <w:sz w:val="18"/>
                <w:szCs w:val="18"/>
              </w:rPr>
              <w:t>$</w:t>
            </w:r>
            <w:r w:rsidRPr="003A176D">
              <w:rPr>
                <w:rFonts w:ascii="Arial" w:hAnsi="Arial" w:cs="Arial"/>
                <w:sz w:val="18"/>
                <w:szCs w:val="18"/>
              </w:rPr>
              <w:tab/>
              <w:t>531,185</w:t>
            </w:r>
          </w:p>
        </w:tc>
      </w:tr>
      <w:tr w:rsidR="00873A5E" w:rsidRPr="003A176D" w14:paraId="1896164D" w14:textId="77777777" w:rsidTr="00695AC6">
        <w:trPr>
          <w:trHeight w:val="202"/>
        </w:trPr>
        <w:tc>
          <w:tcPr>
            <w:tcW w:w="3582" w:type="dxa"/>
            <w:gridSpan w:val="2"/>
            <w:tcBorders>
              <w:top w:val="nil"/>
              <w:left w:val="nil"/>
              <w:bottom w:val="nil"/>
              <w:right w:val="nil"/>
            </w:tcBorders>
          </w:tcPr>
          <w:p w14:paraId="4F90138D" w14:textId="77777777" w:rsidR="00873A5E" w:rsidRPr="003A176D" w:rsidRDefault="00873A5E" w:rsidP="007E68A5">
            <w:pPr>
              <w:spacing w:after="0" w:line="240" w:lineRule="auto"/>
              <w:rPr>
                <w:rFonts w:ascii="Arial" w:hAnsi="Arial" w:cs="Arial"/>
                <w:sz w:val="18"/>
                <w:szCs w:val="18"/>
              </w:rPr>
            </w:pPr>
          </w:p>
        </w:tc>
        <w:tc>
          <w:tcPr>
            <w:tcW w:w="1352" w:type="dxa"/>
            <w:tcBorders>
              <w:top w:val="nil"/>
              <w:left w:val="nil"/>
              <w:bottom w:val="nil"/>
              <w:right w:val="nil"/>
            </w:tcBorders>
          </w:tcPr>
          <w:p w14:paraId="654ADC84" w14:textId="77777777" w:rsidR="00873A5E" w:rsidRPr="003A176D" w:rsidRDefault="00873A5E" w:rsidP="007E68A5">
            <w:pPr>
              <w:spacing w:after="0" w:line="240" w:lineRule="auto"/>
              <w:jc w:val="right"/>
              <w:rPr>
                <w:rFonts w:ascii="Arial" w:hAnsi="Arial" w:cs="Arial"/>
                <w:sz w:val="18"/>
                <w:szCs w:val="18"/>
              </w:rPr>
            </w:pPr>
          </w:p>
        </w:tc>
        <w:tc>
          <w:tcPr>
            <w:tcW w:w="1352" w:type="dxa"/>
            <w:tcBorders>
              <w:top w:val="nil"/>
              <w:left w:val="nil"/>
              <w:bottom w:val="nil"/>
              <w:right w:val="nil"/>
            </w:tcBorders>
          </w:tcPr>
          <w:p w14:paraId="03FA9B0F" w14:textId="77777777" w:rsidR="00873A5E" w:rsidRPr="003A176D" w:rsidRDefault="00873A5E" w:rsidP="007E68A5">
            <w:pPr>
              <w:tabs>
                <w:tab w:val="right" w:pos="1114"/>
              </w:tabs>
              <w:spacing w:after="0" w:line="240" w:lineRule="auto"/>
              <w:jc w:val="right"/>
              <w:rPr>
                <w:rFonts w:ascii="Arial" w:hAnsi="Arial" w:cs="Arial"/>
                <w:sz w:val="18"/>
                <w:szCs w:val="18"/>
              </w:rPr>
            </w:pPr>
          </w:p>
        </w:tc>
        <w:tc>
          <w:tcPr>
            <w:tcW w:w="1197" w:type="dxa"/>
            <w:tcBorders>
              <w:top w:val="nil"/>
              <w:left w:val="nil"/>
              <w:bottom w:val="nil"/>
              <w:right w:val="nil"/>
            </w:tcBorders>
          </w:tcPr>
          <w:p w14:paraId="401B3F87" w14:textId="77777777" w:rsidR="00873A5E" w:rsidRPr="003A176D" w:rsidRDefault="00873A5E" w:rsidP="007E68A5">
            <w:pPr>
              <w:tabs>
                <w:tab w:val="right" w:pos="1149"/>
              </w:tabs>
              <w:spacing w:after="0" w:line="240" w:lineRule="auto"/>
              <w:rPr>
                <w:rFonts w:ascii="Arial" w:hAnsi="Arial" w:cs="Arial"/>
                <w:sz w:val="18"/>
                <w:szCs w:val="18"/>
              </w:rPr>
            </w:pPr>
          </w:p>
        </w:tc>
        <w:tc>
          <w:tcPr>
            <w:tcW w:w="1026" w:type="dxa"/>
            <w:tcBorders>
              <w:top w:val="nil"/>
              <w:left w:val="nil"/>
              <w:bottom w:val="nil"/>
              <w:right w:val="nil"/>
            </w:tcBorders>
          </w:tcPr>
          <w:p w14:paraId="7060F6E8"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p>
        </w:tc>
        <w:tc>
          <w:tcPr>
            <w:tcW w:w="1737" w:type="dxa"/>
            <w:tcBorders>
              <w:top w:val="nil"/>
              <w:left w:val="nil"/>
              <w:bottom w:val="nil"/>
              <w:right w:val="nil"/>
            </w:tcBorders>
          </w:tcPr>
          <w:p w14:paraId="52ED0C74" w14:textId="77777777" w:rsidR="00873A5E" w:rsidRPr="003A176D" w:rsidRDefault="00873A5E" w:rsidP="007E68A5">
            <w:pPr>
              <w:tabs>
                <w:tab w:val="center" w:pos="812"/>
                <w:tab w:val="right" w:pos="1624"/>
              </w:tabs>
              <w:spacing w:after="0" w:line="240" w:lineRule="auto"/>
              <w:rPr>
                <w:rFonts w:ascii="Arial" w:hAnsi="Arial" w:cs="Arial"/>
                <w:sz w:val="18"/>
                <w:szCs w:val="18"/>
              </w:rPr>
            </w:pPr>
          </w:p>
        </w:tc>
        <w:tc>
          <w:tcPr>
            <w:tcW w:w="1563" w:type="dxa"/>
            <w:tcBorders>
              <w:top w:val="nil"/>
              <w:left w:val="nil"/>
              <w:bottom w:val="nil"/>
              <w:right w:val="nil"/>
            </w:tcBorders>
          </w:tcPr>
          <w:p w14:paraId="6B03A6D0" w14:textId="77777777" w:rsidR="00873A5E" w:rsidRPr="003A176D" w:rsidRDefault="00873A5E" w:rsidP="007E68A5">
            <w:pPr>
              <w:tabs>
                <w:tab w:val="right" w:pos="1404"/>
              </w:tabs>
              <w:spacing w:after="0" w:line="240" w:lineRule="auto"/>
              <w:rPr>
                <w:rFonts w:ascii="Arial" w:hAnsi="Arial" w:cs="Arial"/>
                <w:sz w:val="18"/>
                <w:szCs w:val="18"/>
              </w:rPr>
            </w:pPr>
          </w:p>
        </w:tc>
        <w:tc>
          <w:tcPr>
            <w:tcW w:w="1671" w:type="dxa"/>
            <w:tcBorders>
              <w:top w:val="nil"/>
              <w:left w:val="nil"/>
              <w:bottom w:val="nil"/>
              <w:right w:val="nil"/>
            </w:tcBorders>
          </w:tcPr>
          <w:p w14:paraId="06237041" w14:textId="77777777" w:rsidR="00873A5E" w:rsidRPr="003A176D" w:rsidRDefault="00873A5E" w:rsidP="007E68A5">
            <w:pPr>
              <w:tabs>
                <w:tab w:val="right" w:pos="1588"/>
              </w:tabs>
              <w:spacing w:after="0" w:line="240" w:lineRule="auto"/>
              <w:rPr>
                <w:rFonts w:ascii="Arial" w:hAnsi="Arial" w:cs="Arial"/>
                <w:sz w:val="18"/>
                <w:szCs w:val="18"/>
              </w:rPr>
            </w:pPr>
          </w:p>
        </w:tc>
      </w:tr>
      <w:tr w:rsidR="00873A5E" w:rsidRPr="003A176D" w14:paraId="71F28A56" w14:textId="77777777" w:rsidTr="00695AC6">
        <w:trPr>
          <w:trHeight w:val="202"/>
        </w:trPr>
        <w:tc>
          <w:tcPr>
            <w:tcW w:w="3582" w:type="dxa"/>
            <w:gridSpan w:val="2"/>
            <w:tcBorders>
              <w:top w:val="nil"/>
              <w:left w:val="nil"/>
              <w:bottom w:val="nil"/>
              <w:right w:val="nil"/>
            </w:tcBorders>
          </w:tcPr>
          <w:p w14:paraId="50E253A6" w14:textId="78C51EBD"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Shares issued in connection with HIC amalgamation</w:t>
            </w:r>
            <w:r w:rsidR="00FE0B5A" w:rsidRPr="003A176D">
              <w:rPr>
                <w:rFonts w:ascii="Arial" w:hAnsi="Arial" w:cs="Arial"/>
                <w:sz w:val="18"/>
                <w:szCs w:val="18"/>
              </w:rPr>
              <w:t xml:space="preserve"> (note</w:t>
            </w:r>
            <w:r w:rsidR="006F11E6" w:rsidRPr="003A176D">
              <w:rPr>
                <w:rFonts w:ascii="Arial" w:hAnsi="Arial" w:cs="Arial"/>
                <w:sz w:val="18"/>
                <w:szCs w:val="18"/>
              </w:rPr>
              <w:t>s</w:t>
            </w:r>
            <w:r w:rsidR="00FE0B5A" w:rsidRPr="003A176D">
              <w:rPr>
                <w:rFonts w:ascii="Arial" w:hAnsi="Arial" w:cs="Arial"/>
                <w:sz w:val="18"/>
                <w:szCs w:val="18"/>
              </w:rPr>
              <w:t xml:space="preserve"> 5</w:t>
            </w:r>
            <w:r w:rsidR="006F11E6" w:rsidRPr="003A176D">
              <w:rPr>
                <w:rFonts w:ascii="Arial" w:hAnsi="Arial" w:cs="Arial"/>
                <w:sz w:val="18"/>
                <w:szCs w:val="18"/>
              </w:rPr>
              <w:t>, 7,</w:t>
            </w:r>
            <w:r w:rsidR="00FE0B5A" w:rsidRPr="003A176D">
              <w:rPr>
                <w:rFonts w:ascii="Arial" w:hAnsi="Arial" w:cs="Arial"/>
                <w:sz w:val="18"/>
                <w:szCs w:val="18"/>
              </w:rPr>
              <w:t xml:space="preserve"> </w:t>
            </w:r>
            <w:r w:rsidR="00695AC6" w:rsidRPr="003A176D">
              <w:rPr>
                <w:rFonts w:ascii="Arial" w:hAnsi="Arial" w:cs="Arial"/>
                <w:sz w:val="18"/>
                <w:szCs w:val="18"/>
              </w:rPr>
              <w:t xml:space="preserve">and </w:t>
            </w:r>
            <w:r w:rsidR="006F11E6" w:rsidRPr="003A176D">
              <w:rPr>
                <w:rFonts w:ascii="Arial" w:hAnsi="Arial" w:cs="Arial"/>
                <w:sz w:val="18"/>
                <w:szCs w:val="18"/>
              </w:rPr>
              <w:t>9</w:t>
            </w:r>
            <w:r w:rsidR="00FE0B5A" w:rsidRPr="003A176D">
              <w:rPr>
                <w:rFonts w:ascii="Arial" w:hAnsi="Arial" w:cs="Arial"/>
                <w:sz w:val="18"/>
                <w:szCs w:val="18"/>
              </w:rPr>
              <w:t>)</w:t>
            </w:r>
          </w:p>
        </w:tc>
        <w:tc>
          <w:tcPr>
            <w:tcW w:w="1352" w:type="dxa"/>
            <w:tcBorders>
              <w:top w:val="nil"/>
              <w:left w:val="nil"/>
              <w:bottom w:val="nil"/>
              <w:right w:val="nil"/>
            </w:tcBorders>
          </w:tcPr>
          <w:p w14:paraId="15AFF2AE"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14,314,000</w:t>
            </w:r>
          </w:p>
        </w:tc>
        <w:tc>
          <w:tcPr>
            <w:tcW w:w="1352" w:type="dxa"/>
            <w:tcBorders>
              <w:top w:val="nil"/>
              <w:left w:val="nil"/>
              <w:bottom w:val="nil"/>
              <w:right w:val="nil"/>
            </w:tcBorders>
          </w:tcPr>
          <w:p w14:paraId="19FDBBDB" w14:textId="77777777" w:rsidR="00873A5E" w:rsidRPr="003A176D" w:rsidRDefault="00873A5E"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5,009,900</w:t>
            </w:r>
          </w:p>
        </w:tc>
        <w:tc>
          <w:tcPr>
            <w:tcW w:w="1197" w:type="dxa"/>
            <w:tcBorders>
              <w:top w:val="nil"/>
              <w:left w:val="nil"/>
              <w:bottom w:val="nil"/>
              <w:right w:val="nil"/>
            </w:tcBorders>
          </w:tcPr>
          <w:p w14:paraId="361C6E57" w14:textId="09809C75" w:rsidR="00873A5E" w:rsidRPr="003A176D" w:rsidRDefault="00CE6FDF"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7BC1D8C4" w14:textId="2C41339A" w:rsidR="00873A5E" w:rsidRPr="003A176D" w:rsidRDefault="006F11E6"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266,397</w:t>
            </w:r>
          </w:p>
        </w:tc>
        <w:tc>
          <w:tcPr>
            <w:tcW w:w="1737" w:type="dxa"/>
            <w:tcBorders>
              <w:top w:val="nil"/>
              <w:left w:val="nil"/>
              <w:bottom w:val="nil"/>
              <w:right w:val="nil"/>
            </w:tcBorders>
          </w:tcPr>
          <w:p w14:paraId="56A5DD40"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3425B871" w14:textId="629E0373" w:rsidR="00873A5E" w:rsidRPr="003A176D" w:rsidRDefault="006F11E6"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262198E0" w14:textId="2E6A391E" w:rsidR="00873A5E" w:rsidRPr="003A176D" w:rsidRDefault="006F11E6"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5,276,297</w:t>
            </w:r>
          </w:p>
        </w:tc>
      </w:tr>
      <w:tr w:rsidR="00873A5E" w:rsidRPr="003A176D" w14:paraId="758F85F6" w14:textId="77777777" w:rsidTr="00695AC6">
        <w:trPr>
          <w:trHeight w:val="202"/>
        </w:trPr>
        <w:tc>
          <w:tcPr>
            <w:tcW w:w="3582" w:type="dxa"/>
            <w:gridSpan w:val="2"/>
            <w:tcBorders>
              <w:top w:val="nil"/>
              <w:left w:val="nil"/>
              <w:bottom w:val="nil"/>
              <w:right w:val="nil"/>
            </w:tcBorders>
          </w:tcPr>
          <w:p w14:paraId="00B1F198" w14:textId="23048DF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 xml:space="preserve">Finder’s shares issued in connection with </w:t>
            </w:r>
            <w:r w:rsidR="00B24840" w:rsidRPr="003A176D">
              <w:rPr>
                <w:rFonts w:ascii="Arial" w:hAnsi="Arial" w:cs="Arial"/>
                <w:sz w:val="18"/>
                <w:szCs w:val="18"/>
              </w:rPr>
              <w:t>amalgamation</w:t>
            </w:r>
            <w:r w:rsidR="00FE0B5A" w:rsidRPr="003A176D">
              <w:rPr>
                <w:rFonts w:ascii="Arial" w:hAnsi="Arial" w:cs="Arial"/>
                <w:sz w:val="18"/>
                <w:szCs w:val="18"/>
              </w:rPr>
              <w:t xml:space="preserve"> (note</w:t>
            </w:r>
            <w:r w:rsidR="006F11E6" w:rsidRPr="003A176D">
              <w:rPr>
                <w:rFonts w:ascii="Arial" w:hAnsi="Arial" w:cs="Arial"/>
                <w:sz w:val="18"/>
                <w:szCs w:val="18"/>
              </w:rPr>
              <w:t>s</w:t>
            </w:r>
            <w:r w:rsidR="00FE0B5A" w:rsidRPr="003A176D">
              <w:rPr>
                <w:rFonts w:ascii="Arial" w:hAnsi="Arial" w:cs="Arial"/>
                <w:sz w:val="18"/>
                <w:szCs w:val="18"/>
              </w:rPr>
              <w:t xml:space="preserve"> 5</w:t>
            </w:r>
            <w:r w:rsidR="006F11E6" w:rsidRPr="003A176D">
              <w:rPr>
                <w:rFonts w:ascii="Arial" w:hAnsi="Arial" w:cs="Arial"/>
                <w:sz w:val="18"/>
                <w:szCs w:val="18"/>
              </w:rPr>
              <w:t xml:space="preserve"> and </w:t>
            </w:r>
            <w:r w:rsidR="00FE0B5A" w:rsidRPr="003A176D">
              <w:rPr>
                <w:rFonts w:ascii="Arial" w:hAnsi="Arial" w:cs="Arial"/>
                <w:sz w:val="18"/>
                <w:szCs w:val="18"/>
              </w:rPr>
              <w:t>7)</w:t>
            </w:r>
          </w:p>
        </w:tc>
        <w:tc>
          <w:tcPr>
            <w:tcW w:w="1352" w:type="dxa"/>
            <w:tcBorders>
              <w:top w:val="nil"/>
              <w:left w:val="nil"/>
              <w:bottom w:val="nil"/>
              <w:right w:val="nil"/>
            </w:tcBorders>
          </w:tcPr>
          <w:p w14:paraId="458DFA82" w14:textId="1B7490D6" w:rsidR="00873A5E" w:rsidRPr="003A176D" w:rsidRDefault="00B24840" w:rsidP="007E68A5">
            <w:pPr>
              <w:spacing w:after="0" w:line="240" w:lineRule="auto"/>
              <w:jc w:val="right"/>
              <w:rPr>
                <w:rFonts w:ascii="Arial" w:hAnsi="Arial" w:cs="Arial"/>
                <w:sz w:val="18"/>
                <w:szCs w:val="18"/>
              </w:rPr>
            </w:pPr>
            <w:r w:rsidRPr="003A176D">
              <w:rPr>
                <w:rFonts w:ascii="Arial" w:hAnsi="Arial" w:cs="Arial"/>
                <w:sz w:val="18"/>
                <w:szCs w:val="18"/>
              </w:rPr>
              <w:t>3,361,633</w:t>
            </w:r>
          </w:p>
        </w:tc>
        <w:tc>
          <w:tcPr>
            <w:tcW w:w="1352" w:type="dxa"/>
            <w:tcBorders>
              <w:top w:val="nil"/>
              <w:left w:val="nil"/>
              <w:bottom w:val="nil"/>
              <w:right w:val="nil"/>
            </w:tcBorders>
          </w:tcPr>
          <w:p w14:paraId="72D02018" w14:textId="3AA56046" w:rsidR="00873A5E" w:rsidRPr="003A176D" w:rsidRDefault="003F74F8"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1,176,57</w:t>
            </w:r>
            <w:r w:rsidR="00835342" w:rsidRPr="003A176D">
              <w:rPr>
                <w:rFonts w:ascii="Arial" w:hAnsi="Arial" w:cs="Arial"/>
                <w:sz w:val="18"/>
                <w:szCs w:val="18"/>
              </w:rPr>
              <w:t>1</w:t>
            </w:r>
          </w:p>
        </w:tc>
        <w:tc>
          <w:tcPr>
            <w:tcW w:w="1197" w:type="dxa"/>
            <w:tcBorders>
              <w:top w:val="nil"/>
              <w:left w:val="nil"/>
              <w:bottom w:val="nil"/>
              <w:right w:val="nil"/>
            </w:tcBorders>
          </w:tcPr>
          <w:p w14:paraId="356C4057" w14:textId="25FEDB18" w:rsidR="00873A5E" w:rsidRPr="003A176D" w:rsidRDefault="00CE6FDF"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14ED1AC1"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67282D16"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0B569011" w14:textId="77777777"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12E1A54F" w14:textId="266CC0DF" w:rsidR="00873A5E" w:rsidRPr="003A176D" w:rsidRDefault="003F74F8"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1,176,572</w:t>
            </w:r>
          </w:p>
        </w:tc>
      </w:tr>
      <w:tr w:rsidR="00873A5E" w:rsidRPr="003A176D" w14:paraId="04830EDC" w14:textId="77777777" w:rsidTr="00695AC6">
        <w:trPr>
          <w:trHeight w:val="202"/>
        </w:trPr>
        <w:tc>
          <w:tcPr>
            <w:tcW w:w="3582" w:type="dxa"/>
            <w:gridSpan w:val="2"/>
            <w:tcBorders>
              <w:top w:val="nil"/>
              <w:left w:val="nil"/>
              <w:bottom w:val="nil"/>
              <w:right w:val="nil"/>
            </w:tcBorders>
          </w:tcPr>
          <w:p w14:paraId="5508B3FA" w14:textId="1BB96017" w:rsidR="00873A5E" w:rsidRPr="003A176D" w:rsidRDefault="00B24840" w:rsidP="007E68A5">
            <w:pPr>
              <w:spacing w:after="0" w:line="240" w:lineRule="auto"/>
              <w:rPr>
                <w:rFonts w:ascii="Arial" w:hAnsi="Arial" w:cs="Arial"/>
                <w:sz w:val="18"/>
                <w:szCs w:val="18"/>
              </w:rPr>
            </w:pPr>
            <w:r w:rsidRPr="003A176D">
              <w:rPr>
                <w:rFonts w:ascii="Arial" w:hAnsi="Arial" w:cs="Arial"/>
                <w:sz w:val="18"/>
                <w:szCs w:val="18"/>
              </w:rPr>
              <w:t>S</w:t>
            </w:r>
            <w:r w:rsidRPr="003A176D">
              <w:rPr>
                <w:rFonts w:ascii="Arial" w:hAnsi="Arial" w:cs="Arial"/>
                <w:sz w:val="18"/>
                <w:szCs w:val="18"/>
              </w:rPr>
              <w:noBreakHyphen/>
            </w:r>
            <w:r w:rsidR="00873A5E" w:rsidRPr="003A176D">
              <w:rPr>
                <w:rFonts w:ascii="Arial" w:hAnsi="Arial" w:cs="Arial"/>
                <w:sz w:val="18"/>
                <w:szCs w:val="18"/>
              </w:rPr>
              <w:t>hares on issuance of common shares</w:t>
            </w:r>
            <w:r w:rsidR="00FE0B5A" w:rsidRPr="003A176D">
              <w:rPr>
                <w:rFonts w:ascii="Arial" w:hAnsi="Arial" w:cs="Arial"/>
                <w:sz w:val="18"/>
                <w:szCs w:val="18"/>
              </w:rPr>
              <w:t xml:space="preserve"> (note 7)</w:t>
            </w:r>
          </w:p>
        </w:tc>
        <w:tc>
          <w:tcPr>
            <w:tcW w:w="1352" w:type="dxa"/>
            <w:tcBorders>
              <w:top w:val="nil"/>
              <w:left w:val="nil"/>
              <w:bottom w:val="nil"/>
              <w:right w:val="nil"/>
            </w:tcBorders>
          </w:tcPr>
          <w:p w14:paraId="49ED55DC"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8,948,326</w:t>
            </w:r>
          </w:p>
        </w:tc>
        <w:tc>
          <w:tcPr>
            <w:tcW w:w="1352" w:type="dxa"/>
            <w:tcBorders>
              <w:top w:val="nil"/>
              <w:left w:val="nil"/>
              <w:bottom w:val="nil"/>
              <w:right w:val="nil"/>
            </w:tcBorders>
          </w:tcPr>
          <w:p w14:paraId="3103C32C" w14:textId="1FEE508C" w:rsidR="00873A5E" w:rsidRPr="003A176D" w:rsidRDefault="00873A5E"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3,</w:t>
            </w:r>
            <w:r w:rsidR="00F87947" w:rsidRPr="003A176D">
              <w:rPr>
                <w:rFonts w:ascii="Arial" w:hAnsi="Arial" w:cs="Arial"/>
                <w:sz w:val="18"/>
                <w:szCs w:val="18"/>
              </w:rPr>
              <w:t>085,232</w:t>
            </w:r>
          </w:p>
        </w:tc>
        <w:tc>
          <w:tcPr>
            <w:tcW w:w="1197" w:type="dxa"/>
            <w:tcBorders>
              <w:top w:val="nil"/>
              <w:left w:val="nil"/>
              <w:bottom w:val="nil"/>
              <w:right w:val="nil"/>
            </w:tcBorders>
          </w:tcPr>
          <w:p w14:paraId="78633830" w14:textId="4032DAC1" w:rsidR="00873A5E" w:rsidRPr="003A176D" w:rsidRDefault="00CE6FDF"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116F750A"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7BE9ADD0"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4EBDF2B5" w14:textId="77777777"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6814E431" w14:textId="0B4D5F62" w:rsidR="00873A5E" w:rsidRPr="003A176D" w:rsidRDefault="00873A5E"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3,</w:t>
            </w:r>
            <w:r w:rsidR="00FC2D35" w:rsidRPr="003A176D">
              <w:rPr>
                <w:rFonts w:ascii="Arial" w:hAnsi="Arial" w:cs="Arial"/>
                <w:sz w:val="18"/>
                <w:szCs w:val="18"/>
              </w:rPr>
              <w:t>085,232</w:t>
            </w:r>
          </w:p>
        </w:tc>
      </w:tr>
      <w:tr w:rsidR="00873A5E" w:rsidRPr="003A176D" w14:paraId="5E8B4774" w14:textId="77777777" w:rsidTr="00695AC6">
        <w:trPr>
          <w:trHeight w:val="202"/>
        </w:trPr>
        <w:tc>
          <w:tcPr>
            <w:tcW w:w="3582" w:type="dxa"/>
            <w:gridSpan w:val="2"/>
            <w:tcBorders>
              <w:top w:val="nil"/>
              <w:left w:val="nil"/>
              <w:bottom w:val="nil"/>
              <w:right w:val="nil"/>
            </w:tcBorders>
          </w:tcPr>
          <w:p w14:paraId="32DDC658" w14:textId="06C7DCAC"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Finder’s warrants on issuance of common shares</w:t>
            </w:r>
            <w:r w:rsidR="00FE0B5A" w:rsidRPr="003A176D">
              <w:rPr>
                <w:rFonts w:ascii="Arial" w:hAnsi="Arial" w:cs="Arial"/>
                <w:sz w:val="18"/>
                <w:szCs w:val="18"/>
              </w:rPr>
              <w:t xml:space="preserve"> (note</w:t>
            </w:r>
            <w:r w:rsidR="00695AC6" w:rsidRPr="003A176D">
              <w:rPr>
                <w:rFonts w:ascii="Arial" w:hAnsi="Arial" w:cs="Arial"/>
                <w:sz w:val="18"/>
                <w:szCs w:val="18"/>
              </w:rPr>
              <w:t>s</w:t>
            </w:r>
            <w:r w:rsidR="00FE0B5A" w:rsidRPr="003A176D">
              <w:rPr>
                <w:rFonts w:ascii="Arial" w:hAnsi="Arial" w:cs="Arial"/>
                <w:sz w:val="18"/>
                <w:szCs w:val="18"/>
              </w:rPr>
              <w:t xml:space="preserve"> 5</w:t>
            </w:r>
            <w:r w:rsidR="00C915B1" w:rsidRPr="003A176D">
              <w:rPr>
                <w:rFonts w:ascii="Arial" w:hAnsi="Arial" w:cs="Arial"/>
                <w:sz w:val="18"/>
                <w:szCs w:val="18"/>
              </w:rPr>
              <w:t>, 7,</w:t>
            </w:r>
            <w:r w:rsidR="00695AC6" w:rsidRPr="003A176D">
              <w:rPr>
                <w:rFonts w:ascii="Arial" w:hAnsi="Arial" w:cs="Arial"/>
                <w:sz w:val="18"/>
                <w:szCs w:val="18"/>
              </w:rPr>
              <w:t xml:space="preserve"> and</w:t>
            </w:r>
            <w:r w:rsidR="00C915B1" w:rsidRPr="003A176D">
              <w:rPr>
                <w:rFonts w:ascii="Arial" w:hAnsi="Arial" w:cs="Arial"/>
                <w:sz w:val="18"/>
                <w:szCs w:val="18"/>
              </w:rPr>
              <w:t xml:space="preserve"> </w:t>
            </w:r>
            <w:r w:rsidR="006F11E6" w:rsidRPr="003A176D">
              <w:rPr>
                <w:rFonts w:ascii="Arial" w:hAnsi="Arial" w:cs="Arial"/>
                <w:sz w:val="18"/>
                <w:szCs w:val="18"/>
              </w:rPr>
              <w:t>9)</w:t>
            </w:r>
          </w:p>
        </w:tc>
        <w:tc>
          <w:tcPr>
            <w:tcW w:w="1352" w:type="dxa"/>
            <w:tcBorders>
              <w:top w:val="nil"/>
              <w:left w:val="nil"/>
              <w:bottom w:val="nil"/>
              <w:right w:val="nil"/>
            </w:tcBorders>
          </w:tcPr>
          <w:p w14:paraId="010EEF32"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352" w:type="dxa"/>
            <w:tcBorders>
              <w:top w:val="nil"/>
              <w:left w:val="nil"/>
              <w:bottom w:val="nil"/>
              <w:right w:val="nil"/>
            </w:tcBorders>
          </w:tcPr>
          <w:p w14:paraId="34FB00BF" w14:textId="735645CF" w:rsidR="00873A5E" w:rsidRPr="003A176D" w:rsidRDefault="00835342"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w:t>
            </w:r>
          </w:p>
        </w:tc>
        <w:tc>
          <w:tcPr>
            <w:tcW w:w="1197" w:type="dxa"/>
            <w:tcBorders>
              <w:top w:val="nil"/>
              <w:left w:val="nil"/>
              <w:bottom w:val="nil"/>
              <w:right w:val="nil"/>
            </w:tcBorders>
          </w:tcPr>
          <w:p w14:paraId="1C585FFB" w14:textId="79FEF8A0" w:rsidR="00873A5E" w:rsidRPr="003A176D" w:rsidRDefault="00CE6FDF"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0566CED5"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145,622</w:t>
            </w:r>
          </w:p>
        </w:tc>
        <w:tc>
          <w:tcPr>
            <w:tcW w:w="1737" w:type="dxa"/>
            <w:tcBorders>
              <w:top w:val="nil"/>
              <w:left w:val="nil"/>
              <w:bottom w:val="nil"/>
              <w:right w:val="nil"/>
            </w:tcBorders>
          </w:tcPr>
          <w:p w14:paraId="54196468"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6D2DD39D" w14:textId="77777777"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121C30DD" w14:textId="35CDAF06" w:rsidR="00873A5E" w:rsidRPr="003A176D" w:rsidRDefault="00FC2D35"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145,622</w:t>
            </w:r>
          </w:p>
        </w:tc>
      </w:tr>
      <w:tr w:rsidR="00873A5E" w:rsidRPr="003A176D" w14:paraId="3D0AED19" w14:textId="77777777" w:rsidTr="00695AC6">
        <w:trPr>
          <w:trHeight w:val="202"/>
        </w:trPr>
        <w:tc>
          <w:tcPr>
            <w:tcW w:w="3582" w:type="dxa"/>
            <w:gridSpan w:val="2"/>
            <w:tcBorders>
              <w:top w:val="nil"/>
              <w:left w:val="nil"/>
              <w:bottom w:val="nil"/>
              <w:right w:val="nil"/>
            </w:tcBorders>
          </w:tcPr>
          <w:p w14:paraId="20411DAF" w14:textId="76E3A4B9"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Shares issued in connection with corporate advisory fees</w:t>
            </w:r>
            <w:r w:rsidR="006F11E6" w:rsidRPr="003A176D">
              <w:rPr>
                <w:rFonts w:ascii="Arial" w:hAnsi="Arial" w:cs="Arial"/>
                <w:sz w:val="18"/>
                <w:szCs w:val="18"/>
              </w:rPr>
              <w:t xml:space="preserve"> (note 7)</w:t>
            </w:r>
          </w:p>
        </w:tc>
        <w:tc>
          <w:tcPr>
            <w:tcW w:w="1352" w:type="dxa"/>
            <w:tcBorders>
              <w:top w:val="nil"/>
              <w:left w:val="nil"/>
              <w:bottom w:val="nil"/>
              <w:right w:val="nil"/>
            </w:tcBorders>
          </w:tcPr>
          <w:p w14:paraId="7D1C95AB"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1,400,000</w:t>
            </w:r>
          </w:p>
        </w:tc>
        <w:tc>
          <w:tcPr>
            <w:tcW w:w="1352" w:type="dxa"/>
            <w:tcBorders>
              <w:top w:val="nil"/>
              <w:left w:val="nil"/>
              <w:bottom w:val="nil"/>
              <w:right w:val="nil"/>
            </w:tcBorders>
          </w:tcPr>
          <w:p w14:paraId="4CA6ABD2" w14:textId="4AB7ECE2" w:rsidR="00873A5E" w:rsidRPr="003A176D" w:rsidRDefault="003F74F8"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490,000</w:t>
            </w:r>
          </w:p>
        </w:tc>
        <w:tc>
          <w:tcPr>
            <w:tcW w:w="1197" w:type="dxa"/>
            <w:tcBorders>
              <w:top w:val="nil"/>
              <w:left w:val="nil"/>
              <w:bottom w:val="nil"/>
              <w:right w:val="nil"/>
            </w:tcBorders>
          </w:tcPr>
          <w:p w14:paraId="311A63F1" w14:textId="4594FC26" w:rsidR="00873A5E" w:rsidRPr="003A176D" w:rsidRDefault="00CE6FDF"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5C78E76C"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2552F007"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79CF158E" w14:textId="77777777"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187AE0B3" w14:textId="24641B0D" w:rsidR="00873A5E" w:rsidRPr="003A176D" w:rsidRDefault="003F74F8"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490,000</w:t>
            </w:r>
          </w:p>
        </w:tc>
      </w:tr>
      <w:tr w:rsidR="00873A5E" w:rsidRPr="003A176D" w14:paraId="4A26C393" w14:textId="77777777" w:rsidTr="00695AC6">
        <w:trPr>
          <w:trHeight w:val="202"/>
        </w:trPr>
        <w:tc>
          <w:tcPr>
            <w:tcW w:w="3582" w:type="dxa"/>
            <w:gridSpan w:val="2"/>
            <w:tcBorders>
              <w:top w:val="nil"/>
              <w:left w:val="nil"/>
              <w:bottom w:val="nil"/>
              <w:right w:val="nil"/>
            </w:tcBorders>
          </w:tcPr>
          <w:p w14:paraId="6736A927" w14:textId="38D58F6F"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Shares issued in connection with McBookie purchase</w:t>
            </w:r>
            <w:r w:rsidR="006F11E6" w:rsidRPr="003A176D">
              <w:rPr>
                <w:rFonts w:ascii="Arial" w:hAnsi="Arial" w:cs="Arial"/>
                <w:sz w:val="18"/>
                <w:szCs w:val="18"/>
              </w:rPr>
              <w:t xml:space="preserve"> (note 4)</w:t>
            </w:r>
          </w:p>
        </w:tc>
        <w:tc>
          <w:tcPr>
            <w:tcW w:w="1352" w:type="dxa"/>
            <w:tcBorders>
              <w:top w:val="nil"/>
              <w:left w:val="nil"/>
              <w:bottom w:val="nil"/>
              <w:right w:val="nil"/>
            </w:tcBorders>
          </w:tcPr>
          <w:p w14:paraId="37042B8A"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3,497,143</w:t>
            </w:r>
          </w:p>
        </w:tc>
        <w:tc>
          <w:tcPr>
            <w:tcW w:w="1352" w:type="dxa"/>
            <w:tcBorders>
              <w:top w:val="nil"/>
              <w:left w:val="nil"/>
              <w:bottom w:val="nil"/>
              <w:right w:val="nil"/>
            </w:tcBorders>
          </w:tcPr>
          <w:p w14:paraId="360715F7" w14:textId="77777777" w:rsidR="00873A5E" w:rsidRPr="003A176D" w:rsidRDefault="00873A5E"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1,224,000</w:t>
            </w:r>
          </w:p>
        </w:tc>
        <w:tc>
          <w:tcPr>
            <w:tcW w:w="1197" w:type="dxa"/>
            <w:tcBorders>
              <w:top w:val="nil"/>
              <w:left w:val="nil"/>
              <w:bottom w:val="nil"/>
              <w:right w:val="nil"/>
            </w:tcBorders>
          </w:tcPr>
          <w:p w14:paraId="48E26D7C" w14:textId="7F9A188A" w:rsidR="00873A5E" w:rsidRPr="003A176D" w:rsidRDefault="00CE6FDF"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318F1633"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5953686F"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6FDA5638" w14:textId="77777777"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262A91C4" w14:textId="77777777" w:rsidR="00873A5E" w:rsidRPr="003A176D" w:rsidRDefault="00873A5E"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1,224,000</w:t>
            </w:r>
          </w:p>
        </w:tc>
      </w:tr>
      <w:tr w:rsidR="00575970" w:rsidRPr="003A176D" w14:paraId="397943C6" w14:textId="77777777" w:rsidTr="00695AC6">
        <w:trPr>
          <w:trHeight w:val="202"/>
        </w:trPr>
        <w:tc>
          <w:tcPr>
            <w:tcW w:w="3582" w:type="dxa"/>
            <w:gridSpan w:val="2"/>
            <w:tcBorders>
              <w:top w:val="nil"/>
              <w:left w:val="nil"/>
              <w:bottom w:val="nil"/>
              <w:right w:val="nil"/>
            </w:tcBorders>
          </w:tcPr>
          <w:p w14:paraId="458AA295" w14:textId="547B7E2A" w:rsidR="00575970" w:rsidRPr="003A176D" w:rsidRDefault="00575970" w:rsidP="007E68A5">
            <w:pPr>
              <w:spacing w:after="0" w:line="240" w:lineRule="auto"/>
              <w:rPr>
                <w:rFonts w:ascii="Arial" w:hAnsi="Arial" w:cs="Arial"/>
                <w:sz w:val="18"/>
                <w:szCs w:val="18"/>
              </w:rPr>
            </w:pPr>
            <w:r w:rsidRPr="003A176D">
              <w:rPr>
                <w:rFonts w:ascii="Arial" w:hAnsi="Arial" w:cs="Arial"/>
                <w:sz w:val="18"/>
                <w:szCs w:val="18"/>
              </w:rPr>
              <w:t xml:space="preserve">Shares issued in connection with V2G loan (note </w:t>
            </w:r>
            <w:r w:rsidR="003C6430" w:rsidRPr="003A176D">
              <w:rPr>
                <w:rFonts w:ascii="Arial" w:hAnsi="Arial" w:cs="Arial"/>
                <w:sz w:val="18"/>
                <w:szCs w:val="18"/>
              </w:rPr>
              <w:t>7 and 10</w:t>
            </w:r>
            <w:r w:rsidRPr="003A176D">
              <w:rPr>
                <w:rFonts w:ascii="Arial" w:hAnsi="Arial" w:cs="Arial"/>
                <w:sz w:val="18"/>
                <w:szCs w:val="18"/>
              </w:rPr>
              <w:t>)</w:t>
            </w:r>
          </w:p>
        </w:tc>
        <w:tc>
          <w:tcPr>
            <w:tcW w:w="1352" w:type="dxa"/>
            <w:tcBorders>
              <w:top w:val="nil"/>
              <w:left w:val="nil"/>
              <w:bottom w:val="nil"/>
              <w:right w:val="nil"/>
            </w:tcBorders>
          </w:tcPr>
          <w:p w14:paraId="728BFE60" w14:textId="34FF8AC1" w:rsidR="00575970" w:rsidRPr="003A176D" w:rsidRDefault="00575970" w:rsidP="007E68A5">
            <w:pPr>
              <w:spacing w:after="0" w:line="240" w:lineRule="auto"/>
              <w:jc w:val="right"/>
              <w:rPr>
                <w:rFonts w:ascii="Arial" w:hAnsi="Arial" w:cs="Arial"/>
                <w:sz w:val="18"/>
                <w:szCs w:val="18"/>
              </w:rPr>
            </w:pPr>
            <w:r w:rsidRPr="003A176D">
              <w:rPr>
                <w:rFonts w:ascii="Arial" w:hAnsi="Arial" w:cs="Arial"/>
                <w:sz w:val="18"/>
                <w:szCs w:val="18"/>
              </w:rPr>
              <w:t>3,142,857</w:t>
            </w:r>
          </w:p>
        </w:tc>
        <w:tc>
          <w:tcPr>
            <w:tcW w:w="1352" w:type="dxa"/>
            <w:tcBorders>
              <w:top w:val="nil"/>
              <w:left w:val="nil"/>
              <w:bottom w:val="nil"/>
              <w:right w:val="nil"/>
            </w:tcBorders>
          </w:tcPr>
          <w:p w14:paraId="7FAA9751" w14:textId="6CDC5388" w:rsidR="00575970" w:rsidRPr="003A176D" w:rsidRDefault="00F87947"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1,100,000</w:t>
            </w:r>
          </w:p>
        </w:tc>
        <w:tc>
          <w:tcPr>
            <w:tcW w:w="1197" w:type="dxa"/>
            <w:tcBorders>
              <w:top w:val="nil"/>
              <w:left w:val="nil"/>
              <w:bottom w:val="nil"/>
              <w:right w:val="nil"/>
            </w:tcBorders>
          </w:tcPr>
          <w:p w14:paraId="4E7BF4BD" w14:textId="7914243F" w:rsidR="00575970" w:rsidRPr="003A176D" w:rsidRDefault="00F87947"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0468C94F" w14:textId="77777777" w:rsidR="00575970" w:rsidRPr="003A176D" w:rsidRDefault="00575970" w:rsidP="007E68A5">
            <w:pPr>
              <w:tabs>
                <w:tab w:val="center" w:pos="812"/>
                <w:tab w:val="right" w:pos="1624"/>
              </w:tabs>
              <w:spacing w:after="0" w:line="240" w:lineRule="auto"/>
              <w:jc w:val="right"/>
              <w:rPr>
                <w:rFonts w:ascii="Arial" w:hAnsi="Arial" w:cs="Arial"/>
                <w:sz w:val="18"/>
                <w:szCs w:val="18"/>
              </w:rPr>
            </w:pPr>
          </w:p>
        </w:tc>
        <w:tc>
          <w:tcPr>
            <w:tcW w:w="1737" w:type="dxa"/>
            <w:tcBorders>
              <w:top w:val="nil"/>
              <w:left w:val="nil"/>
              <w:bottom w:val="nil"/>
              <w:right w:val="nil"/>
            </w:tcBorders>
          </w:tcPr>
          <w:p w14:paraId="42FF9C96" w14:textId="7CF6B72E" w:rsidR="00575970" w:rsidRPr="003A176D" w:rsidRDefault="00FC2D35"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63270BDE" w14:textId="1FDE54C0" w:rsidR="00575970" w:rsidRPr="003A176D" w:rsidRDefault="00FC2D35"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6BFF3AA2" w14:textId="007151CA" w:rsidR="00575970" w:rsidRPr="003A176D" w:rsidRDefault="00FC2D35"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1,100,000</w:t>
            </w:r>
          </w:p>
        </w:tc>
      </w:tr>
      <w:tr w:rsidR="00575970" w:rsidRPr="003A176D" w14:paraId="74D98B53" w14:textId="77777777" w:rsidTr="00695AC6">
        <w:trPr>
          <w:trHeight w:val="202"/>
        </w:trPr>
        <w:tc>
          <w:tcPr>
            <w:tcW w:w="3582" w:type="dxa"/>
            <w:gridSpan w:val="2"/>
            <w:tcBorders>
              <w:top w:val="nil"/>
              <w:left w:val="nil"/>
              <w:bottom w:val="nil"/>
              <w:right w:val="nil"/>
            </w:tcBorders>
          </w:tcPr>
          <w:p w14:paraId="5544668E" w14:textId="21EFEB52" w:rsidR="00575970" w:rsidRPr="003A176D" w:rsidRDefault="00575970" w:rsidP="007E68A5">
            <w:pPr>
              <w:spacing w:after="0" w:line="240" w:lineRule="auto"/>
              <w:rPr>
                <w:rFonts w:ascii="Arial" w:hAnsi="Arial" w:cs="Arial"/>
                <w:sz w:val="18"/>
                <w:szCs w:val="18"/>
              </w:rPr>
            </w:pPr>
            <w:r w:rsidRPr="003A176D">
              <w:rPr>
                <w:rFonts w:ascii="Arial" w:hAnsi="Arial" w:cs="Arial"/>
                <w:sz w:val="18"/>
                <w:szCs w:val="18"/>
              </w:rPr>
              <w:t xml:space="preserve">Warrants exercise (note </w:t>
            </w:r>
            <w:r w:rsidR="003C6430" w:rsidRPr="003A176D">
              <w:rPr>
                <w:rFonts w:ascii="Arial" w:hAnsi="Arial" w:cs="Arial"/>
                <w:sz w:val="18"/>
                <w:szCs w:val="18"/>
              </w:rPr>
              <w:t>7</w:t>
            </w:r>
            <w:r w:rsidRPr="003A176D">
              <w:rPr>
                <w:rFonts w:ascii="Arial" w:hAnsi="Arial" w:cs="Arial"/>
                <w:sz w:val="18"/>
                <w:szCs w:val="18"/>
              </w:rPr>
              <w:t>)</w:t>
            </w:r>
          </w:p>
        </w:tc>
        <w:tc>
          <w:tcPr>
            <w:tcW w:w="1352" w:type="dxa"/>
            <w:tcBorders>
              <w:top w:val="nil"/>
              <w:left w:val="nil"/>
              <w:bottom w:val="nil"/>
              <w:right w:val="nil"/>
            </w:tcBorders>
          </w:tcPr>
          <w:p w14:paraId="3C1F3F3C" w14:textId="2AC2F590" w:rsidR="00575970" w:rsidRPr="003A176D" w:rsidRDefault="00575970" w:rsidP="007E68A5">
            <w:pPr>
              <w:spacing w:after="0" w:line="240" w:lineRule="auto"/>
              <w:jc w:val="right"/>
              <w:rPr>
                <w:rFonts w:ascii="Arial" w:hAnsi="Arial" w:cs="Arial"/>
                <w:sz w:val="18"/>
                <w:szCs w:val="18"/>
              </w:rPr>
            </w:pPr>
            <w:r w:rsidRPr="003A176D">
              <w:rPr>
                <w:rFonts w:ascii="Arial" w:hAnsi="Arial" w:cs="Arial"/>
                <w:sz w:val="18"/>
                <w:szCs w:val="18"/>
              </w:rPr>
              <w:t>124,320</w:t>
            </w:r>
          </w:p>
        </w:tc>
        <w:tc>
          <w:tcPr>
            <w:tcW w:w="1352" w:type="dxa"/>
            <w:tcBorders>
              <w:top w:val="nil"/>
              <w:left w:val="nil"/>
              <w:bottom w:val="nil"/>
              <w:right w:val="nil"/>
            </w:tcBorders>
          </w:tcPr>
          <w:p w14:paraId="15C9BEFC" w14:textId="756435A0" w:rsidR="00575970" w:rsidRPr="003A176D" w:rsidRDefault="00C27D50"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46,902</w:t>
            </w:r>
          </w:p>
        </w:tc>
        <w:tc>
          <w:tcPr>
            <w:tcW w:w="1197" w:type="dxa"/>
            <w:tcBorders>
              <w:top w:val="nil"/>
              <w:left w:val="nil"/>
              <w:bottom w:val="nil"/>
              <w:right w:val="nil"/>
            </w:tcBorders>
          </w:tcPr>
          <w:p w14:paraId="77B08962" w14:textId="5B7D82EA" w:rsidR="00575970" w:rsidRPr="003A176D" w:rsidRDefault="00F87947"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nil"/>
              <w:right w:val="nil"/>
            </w:tcBorders>
          </w:tcPr>
          <w:p w14:paraId="4A936B83" w14:textId="2985FFF1" w:rsidR="00575970" w:rsidRPr="003A176D" w:rsidRDefault="00C27D50"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(40,686)</w:t>
            </w:r>
          </w:p>
        </w:tc>
        <w:tc>
          <w:tcPr>
            <w:tcW w:w="1737" w:type="dxa"/>
            <w:tcBorders>
              <w:top w:val="nil"/>
              <w:left w:val="nil"/>
              <w:bottom w:val="nil"/>
              <w:right w:val="nil"/>
            </w:tcBorders>
          </w:tcPr>
          <w:p w14:paraId="1490649F" w14:textId="2CB027E1" w:rsidR="00575970" w:rsidRPr="003A176D" w:rsidRDefault="00FC2D35"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0270EE0C" w14:textId="2F66191A" w:rsidR="00575970" w:rsidRPr="003A176D" w:rsidRDefault="00FC2D35"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4169045F" w14:textId="1F099ECA" w:rsidR="00575970" w:rsidRPr="003A176D" w:rsidRDefault="00FC2D35"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6,216</w:t>
            </w:r>
          </w:p>
        </w:tc>
      </w:tr>
      <w:tr w:rsidR="00873A5E" w:rsidRPr="003A176D" w14:paraId="6A78C55B" w14:textId="77777777" w:rsidTr="00695AC6">
        <w:trPr>
          <w:trHeight w:val="202"/>
        </w:trPr>
        <w:tc>
          <w:tcPr>
            <w:tcW w:w="3582" w:type="dxa"/>
            <w:gridSpan w:val="2"/>
            <w:tcBorders>
              <w:top w:val="nil"/>
              <w:left w:val="nil"/>
              <w:bottom w:val="nil"/>
              <w:right w:val="nil"/>
            </w:tcBorders>
          </w:tcPr>
          <w:p w14:paraId="4C29C128" w14:textId="752332B4"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Share based payments</w:t>
            </w:r>
            <w:r w:rsidR="006F11E6" w:rsidRPr="003A176D">
              <w:rPr>
                <w:rFonts w:ascii="Arial" w:hAnsi="Arial" w:cs="Arial"/>
                <w:sz w:val="18"/>
                <w:szCs w:val="18"/>
              </w:rPr>
              <w:t xml:space="preserve"> (note 8)</w:t>
            </w:r>
          </w:p>
        </w:tc>
        <w:tc>
          <w:tcPr>
            <w:tcW w:w="1352" w:type="dxa"/>
            <w:tcBorders>
              <w:top w:val="nil"/>
              <w:left w:val="nil"/>
              <w:bottom w:val="nil"/>
              <w:right w:val="nil"/>
            </w:tcBorders>
          </w:tcPr>
          <w:p w14:paraId="78E404CD"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352" w:type="dxa"/>
            <w:tcBorders>
              <w:top w:val="nil"/>
              <w:left w:val="nil"/>
              <w:bottom w:val="nil"/>
              <w:right w:val="nil"/>
            </w:tcBorders>
          </w:tcPr>
          <w:p w14:paraId="5E99348A" w14:textId="77777777" w:rsidR="00873A5E" w:rsidRPr="003A176D" w:rsidRDefault="00873A5E"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w:t>
            </w:r>
          </w:p>
        </w:tc>
        <w:tc>
          <w:tcPr>
            <w:tcW w:w="1197" w:type="dxa"/>
            <w:tcBorders>
              <w:top w:val="nil"/>
              <w:left w:val="nil"/>
              <w:bottom w:val="nil"/>
              <w:right w:val="nil"/>
            </w:tcBorders>
          </w:tcPr>
          <w:p w14:paraId="36818CF1" w14:textId="7F2E423D" w:rsidR="00873A5E" w:rsidRPr="003A176D" w:rsidRDefault="00FC2D35" w:rsidP="00CE6FDF">
            <w:pPr>
              <w:tabs>
                <w:tab w:val="right" w:pos="1149"/>
              </w:tabs>
              <w:spacing w:after="0" w:line="240" w:lineRule="auto"/>
              <w:jc w:val="right"/>
              <w:rPr>
                <w:rFonts w:ascii="Arial" w:hAnsi="Arial" w:cs="Arial"/>
                <w:sz w:val="18"/>
                <w:szCs w:val="18"/>
              </w:rPr>
            </w:pPr>
            <w:r w:rsidRPr="003A176D">
              <w:rPr>
                <w:rFonts w:ascii="Arial" w:hAnsi="Arial" w:cs="Arial"/>
                <w:sz w:val="18"/>
                <w:szCs w:val="18"/>
              </w:rPr>
              <w:t>250,421</w:t>
            </w:r>
          </w:p>
        </w:tc>
        <w:tc>
          <w:tcPr>
            <w:tcW w:w="1026" w:type="dxa"/>
            <w:tcBorders>
              <w:top w:val="nil"/>
              <w:left w:val="nil"/>
              <w:bottom w:val="nil"/>
              <w:right w:val="nil"/>
            </w:tcBorders>
          </w:tcPr>
          <w:p w14:paraId="2308C83A"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nil"/>
              <w:right w:val="nil"/>
            </w:tcBorders>
          </w:tcPr>
          <w:p w14:paraId="22F62846"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563" w:type="dxa"/>
            <w:tcBorders>
              <w:top w:val="nil"/>
              <w:left w:val="nil"/>
              <w:bottom w:val="nil"/>
              <w:right w:val="nil"/>
            </w:tcBorders>
          </w:tcPr>
          <w:p w14:paraId="5873B8AE" w14:textId="77777777"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p>
        </w:tc>
        <w:tc>
          <w:tcPr>
            <w:tcW w:w="1671" w:type="dxa"/>
            <w:tcBorders>
              <w:top w:val="nil"/>
              <w:left w:val="nil"/>
              <w:bottom w:val="nil"/>
              <w:right w:val="nil"/>
            </w:tcBorders>
          </w:tcPr>
          <w:p w14:paraId="6A80CE57" w14:textId="67E50246" w:rsidR="00873A5E" w:rsidRPr="003A176D" w:rsidRDefault="00FC2D35"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250,421</w:t>
            </w:r>
          </w:p>
        </w:tc>
      </w:tr>
      <w:tr w:rsidR="00873A5E" w:rsidRPr="003A176D" w14:paraId="1B583FAC" w14:textId="77777777" w:rsidTr="00695AC6">
        <w:trPr>
          <w:trHeight w:val="202"/>
        </w:trPr>
        <w:tc>
          <w:tcPr>
            <w:tcW w:w="3582" w:type="dxa"/>
            <w:gridSpan w:val="2"/>
            <w:tcBorders>
              <w:top w:val="nil"/>
              <w:left w:val="nil"/>
              <w:bottom w:val="single" w:sz="4" w:space="0" w:color="auto"/>
              <w:right w:val="nil"/>
            </w:tcBorders>
          </w:tcPr>
          <w:p w14:paraId="36382786" w14:textId="77777777" w:rsidR="00873A5E" w:rsidRPr="003A176D" w:rsidRDefault="00873A5E" w:rsidP="007E68A5">
            <w:pPr>
              <w:spacing w:after="0" w:line="240" w:lineRule="auto"/>
              <w:rPr>
                <w:rFonts w:ascii="Arial" w:hAnsi="Arial" w:cs="Arial"/>
                <w:sz w:val="18"/>
                <w:szCs w:val="18"/>
              </w:rPr>
            </w:pPr>
            <w:r w:rsidRPr="003A176D">
              <w:rPr>
                <w:rFonts w:ascii="Arial" w:hAnsi="Arial" w:cs="Arial"/>
                <w:sz w:val="18"/>
                <w:szCs w:val="18"/>
              </w:rPr>
              <w:t xml:space="preserve">Net and comprehensive loss </w:t>
            </w:r>
          </w:p>
        </w:tc>
        <w:tc>
          <w:tcPr>
            <w:tcW w:w="1352" w:type="dxa"/>
            <w:tcBorders>
              <w:top w:val="nil"/>
              <w:left w:val="nil"/>
              <w:bottom w:val="single" w:sz="4" w:space="0" w:color="auto"/>
              <w:right w:val="nil"/>
            </w:tcBorders>
          </w:tcPr>
          <w:p w14:paraId="23511600" w14:textId="77777777" w:rsidR="00873A5E" w:rsidRPr="003A176D" w:rsidRDefault="00873A5E" w:rsidP="007E68A5">
            <w:pPr>
              <w:spacing w:after="0" w:line="240" w:lineRule="auto"/>
              <w:jc w:val="right"/>
              <w:rPr>
                <w:rFonts w:ascii="Arial" w:hAnsi="Arial" w:cs="Arial"/>
                <w:sz w:val="18"/>
                <w:szCs w:val="18"/>
              </w:rPr>
            </w:pPr>
            <w:r w:rsidRPr="003A176D">
              <w:rPr>
                <w:rFonts w:ascii="Arial" w:hAnsi="Arial" w:cs="Arial"/>
                <w:sz w:val="18"/>
                <w:szCs w:val="18"/>
              </w:rPr>
              <w:t>-</w:t>
            </w:r>
          </w:p>
        </w:tc>
        <w:tc>
          <w:tcPr>
            <w:tcW w:w="1352" w:type="dxa"/>
            <w:tcBorders>
              <w:top w:val="nil"/>
              <w:left w:val="nil"/>
              <w:bottom w:val="single" w:sz="4" w:space="0" w:color="auto"/>
              <w:right w:val="nil"/>
            </w:tcBorders>
          </w:tcPr>
          <w:p w14:paraId="78C5BB10" w14:textId="77777777" w:rsidR="00873A5E" w:rsidRPr="003A176D" w:rsidRDefault="00873A5E" w:rsidP="007E68A5">
            <w:pPr>
              <w:tabs>
                <w:tab w:val="right" w:pos="1114"/>
              </w:tabs>
              <w:spacing w:after="0" w:line="240" w:lineRule="auto"/>
              <w:jc w:val="right"/>
              <w:rPr>
                <w:rFonts w:ascii="Arial" w:hAnsi="Arial" w:cs="Arial"/>
                <w:sz w:val="18"/>
                <w:szCs w:val="18"/>
              </w:rPr>
            </w:pPr>
            <w:r w:rsidRPr="003A176D">
              <w:rPr>
                <w:rFonts w:ascii="Arial" w:hAnsi="Arial" w:cs="Arial"/>
                <w:sz w:val="18"/>
                <w:szCs w:val="18"/>
              </w:rPr>
              <w:t>-</w:t>
            </w:r>
          </w:p>
        </w:tc>
        <w:tc>
          <w:tcPr>
            <w:tcW w:w="1197" w:type="dxa"/>
            <w:tcBorders>
              <w:top w:val="nil"/>
              <w:left w:val="nil"/>
              <w:bottom w:val="single" w:sz="4" w:space="0" w:color="auto"/>
              <w:right w:val="nil"/>
            </w:tcBorders>
          </w:tcPr>
          <w:p w14:paraId="54A65670" w14:textId="4D92599A" w:rsidR="00873A5E" w:rsidRPr="003A176D" w:rsidRDefault="00873A5E" w:rsidP="007E68A5">
            <w:pPr>
              <w:tabs>
                <w:tab w:val="right" w:pos="1149"/>
              </w:tabs>
              <w:spacing w:after="0" w:line="240" w:lineRule="auto"/>
              <w:jc w:val="right"/>
              <w:rPr>
                <w:rFonts w:ascii="Arial" w:hAnsi="Arial" w:cs="Arial"/>
                <w:sz w:val="18"/>
                <w:szCs w:val="18"/>
              </w:rPr>
            </w:pPr>
            <w:r w:rsidRPr="003A176D">
              <w:rPr>
                <w:rFonts w:ascii="Arial" w:hAnsi="Arial" w:cs="Arial"/>
                <w:sz w:val="18"/>
                <w:szCs w:val="18"/>
              </w:rPr>
              <w:t>-</w:t>
            </w:r>
          </w:p>
        </w:tc>
        <w:tc>
          <w:tcPr>
            <w:tcW w:w="1026" w:type="dxa"/>
            <w:tcBorders>
              <w:top w:val="nil"/>
              <w:left w:val="nil"/>
              <w:bottom w:val="single" w:sz="4" w:space="0" w:color="auto"/>
              <w:right w:val="nil"/>
            </w:tcBorders>
          </w:tcPr>
          <w:p w14:paraId="0C4EE9D2" w14:textId="77777777" w:rsidR="00873A5E" w:rsidRPr="003A176D" w:rsidRDefault="00873A5E"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w:t>
            </w:r>
          </w:p>
        </w:tc>
        <w:tc>
          <w:tcPr>
            <w:tcW w:w="1737" w:type="dxa"/>
            <w:tcBorders>
              <w:top w:val="nil"/>
              <w:left w:val="nil"/>
              <w:bottom w:val="single" w:sz="4" w:space="0" w:color="auto"/>
              <w:right w:val="nil"/>
            </w:tcBorders>
          </w:tcPr>
          <w:p w14:paraId="4A6CDCAE" w14:textId="239F51B7" w:rsidR="00873A5E" w:rsidRPr="003A176D" w:rsidRDefault="00FC2D35" w:rsidP="007E68A5">
            <w:pPr>
              <w:tabs>
                <w:tab w:val="center" w:pos="812"/>
                <w:tab w:val="right" w:pos="1624"/>
              </w:tabs>
              <w:spacing w:after="0" w:line="240" w:lineRule="auto"/>
              <w:jc w:val="right"/>
              <w:rPr>
                <w:rFonts w:ascii="Arial" w:hAnsi="Arial" w:cs="Arial"/>
                <w:sz w:val="18"/>
                <w:szCs w:val="18"/>
              </w:rPr>
            </w:pPr>
            <w:r w:rsidRPr="003A176D">
              <w:rPr>
                <w:rFonts w:ascii="Arial" w:hAnsi="Arial" w:cs="Arial"/>
                <w:sz w:val="18"/>
                <w:szCs w:val="18"/>
              </w:rPr>
              <w:t>2,331</w:t>
            </w:r>
          </w:p>
        </w:tc>
        <w:tc>
          <w:tcPr>
            <w:tcW w:w="1563" w:type="dxa"/>
            <w:tcBorders>
              <w:top w:val="nil"/>
              <w:left w:val="nil"/>
              <w:bottom w:val="single" w:sz="4" w:space="0" w:color="auto"/>
              <w:right w:val="nil"/>
            </w:tcBorders>
          </w:tcPr>
          <w:p w14:paraId="4D5ACC50" w14:textId="5DF0EAC0" w:rsidR="00873A5E" w:rsidRPr="003A176D" w:rsidRDefault="00873A5E" w:rsidP="007E68A5">
            <w:pPr>
              <w:tabs>
                <w:tab w:val="right" w:pos="1404"/>
              </w:tabs>
              <w:spacing w:after="0" w:line="240" w:lineRule="auto"/>
              <w:jc w:val="right"/>
              <w:rPr>
                <w:rFonts w:ascii="Arial" w:hAnsi="Arial" w:cs="Arial"/>
                <w:sz w:val="18"/>
                <w:szCs w:val="18"/>
              </w:rPr>
            </w:pPr>
            <w:r w:rsidRPr="003A176D">
              <w:rPr>
                <w:rFonts w:ascii="Arial" w:hAnsi="Arial" w:cs="Arial"/>
                <w:sz w:val="18"/>
                <w:szCs w:val="18"/>
              </w:rPr>
              <w:t>(</w:t>
            </w:r>
            <w:r w:rsidR="00FC2D35" w:rsidRPr="003A176D">
              <w:rPr>
                <w:rFonts w:ascii="Arial" w:hAnsi="Arial" w:cs="Arial"/>
                <w:sz w:val="18"/>
                <w:szCs w:val="18"/>
              </w:rPr>
              <w:t>8,</w:t>
            </w:r>
            <w:r w:rsidR="00165765" w:rsidRPr="003A176D">
              <w:rPr>
                <w:rFonts w:ascii="Arial" w:hAnsi="Arial" w:cs="Arial"/>
                <w:sz w:val="18"/>
                <w:szCs w:val="18"/>
              </w:rPr>
              <w:t>746,706</w:t>
            </w:r>
            <w:r w:rsidRPr="003A176D">
              <w:rPr>
                <w:rFonts w:ascii="Arial" w:hAnsi="Arial" w:cs="Arial"/>
                <w:sz w:val="18"/>
                <w:szCs w:val="18"/>
              </w:rPr>
              <w:t>)</w:t>
            </w:r>
          </w:p>
        </w:tc>
        <w:tc>
          <w:tcPr>
            <w:tcW w:w="1671" w:type="dxa"/>
            <w:tcBorders>
              <w:top w:val="nil"/>
              <w:left w:val="nil"/>
              <w:bottom w:val="single" w:sz="4" w:space="0" w:color="auto"/>
              <w:right w:val="nil"/>
            </w:tcBorders>
          </w:tcPr>
          <w:p w14:paraId="2F5CEF62" w14:textId="30238498" w:rsidR="00873A5E" w:rsidRPr="003A176D" w:rsidRDefault="00873A5E" w:rsidP="007E68A5">
            <w:pPr>
              <w:tabs>
                <w:tab w:val="right" w:pos="1588"/>
              </w:tabs>
              <w:spacing w:after="0" w:line="240" w:lineRule="auto"/>
              <w:jc w:val="right"/>
              <w:rPr>
                <w:rFonts w:ascii="Arial" w:hAnsi="Arial" w:cs="Arial"/>
                <w:sz w:val="18"/>
                <w:szCs w:val="18"/>
              </w:rPr>
            </w:pPr>
            <w:r w:rsidRPr="003A176D">
              <w:rPr>
                <w:rFonts w:ascii="Arial" w:hAnsi="Arial" w:cs="Arial"/>
                <w:sz w:val="18"/>
                <w:szCs w:val="18"/>
              </w:rPr>
              <w:t>(</w:t>
            </w:r>
            <w:r w:rsidR="00FC2D35" w:rsidRPr="003A176D">
              <w:rPr>
                <w:rFonts w:ascii="Arial" w:hAnsi="Arial" w:cs="Arial"/>
                <w:sz w:val="18"/>
                <w:szCs w:val="18"/>
              </w:rPr>
              <w:t>8,</w:t>
            </w:r>
            <w:r w:rsidR="00165765" w:rsidRPr="003A176D">
              <w:rPr>
                <w:rFonts w:ascii="Arial" w:hAnsi="Arial" w:cs="Arial"/>
                <w:sz w:val="18"/>
                <w:szCs w:val="18"/>
              </w:rPr>
              <w:t>744,375</w:t>
            </w:r>
            <w:r w:rsidRPr="003A176D">
              <w:rPr>
                <w:rFonts w:ascii="Arial" w:hAnsi="Arial" w:cs="Arial"/>
                <w:sz w:val="18"/>
                <w:szCs w:val="18"/>
              </w:rPr>
              <w:t>)</w:t>
            </w:r>
          </w:p>
        </w:tc>
      </w:tr>
      <w:tr w:rsidR="00873A5E" w:rsidRPr="003A176D" w14:paraId="24426AC2" w14:textId="77777777" w:rsidTr="00695AC6">
        <w:trPr>
          <w:trHeight w:val="202"/>
        </w:trPr>
        <w:tc>
          <w:tcPr>
            <w:tcW w:w="3582" w:type="dxa"/>
            <w:gridSpan w:val="2"/>
            <w:tcBorders>
              <w:top w:val="single" w:sz="4" w:space="0" w:color="auto"/>
              <w:left w:val="nil"/>
              <w:bottom w:val="double" w:sz="4" w:space="0" w:color="auto"/>
              <w:right w:val="nil"/>
            </w:tcBorders>
          </w:tcPr>
          <w:p w14:paraId="238F5E63" w14:textId="61D54C1D" w:rsidR="00873A5E" w:rsidRPr="003A176D" w:rsidRDefault="00873A5E" w:rsidP="006925A7">
            <w:pPr>
              <w:spacing w:after="0" w:line="240" w:lineRule="auto"/>
              <w:jc w:val="right"/>
              <w:rPr>
                <w:rFonts w:ascii="Arial" w:hAnsi="Arial" w:cs="Arial"/>
                <w:b/>
                <w:bCs/>
                <w:sz w:val="18"/>
                <w:szCs w:val="18"/>
              </w:rPr>
            </w:pPr>
            <w:r w:rsidRPr="003A176D">
              <w:rPr>
                <w:rFonts w:ascii="Arial" w:hAnsi="Arial" w:cs="Arial"/>
                <w:b/>
                <w:bCs/>
                <w:sz w:val="18"/>
                <w:szCs w:val="18"/>
              </w:rPr>
              <w:t>Balance as at March 31, 2020</w:t>
            </w:r>
          </w:p>
        </w:tc>
        <w:tc>
          <w:tcPr>
            <w:tcW w:w="1352" w:type="dxa"/>
            <w:tcBorders>
              <w:top w:val="single" w:sz="4" w:space="0" w:color="auto"/>
              <w:left w:val="nil"/>
              <w:bottom w:val="double" w:sz="4" w:space="0" w:color="auto"/>
              <w:right w:val="nil"/>
            </w:tcBorders>
          </w:tcPr>
          <w:p w14:paraId="4E24B895" w14:textId="1F021887" w:rsidR="00873A5E" w:rsidRPr="003A176D" w:rsidRDefault="00575970" w:rsidP="006925A7">
            <w:pPr>
              <w:spacing w:after="0" w:line="240" w:lineRule="auto"/>
              <w:jc w:val="right"/>
              <w:rPr>
                <w:rFonts w:ascii="Arial" w:hAnsi="Arial" w:cs="Arial"/>
                <w:b/>
                <w:bCs/>
                <w:sz w:val="18"/>
                <w:szCs w:val="18"/>
              </w:rPr>
            </w:pPr>
            <w:r w:rsidRPr="003A176D">
              <w:rPr>
                <w:rFonts w:ascii="Arial" w:hAnsi="Arial" w:cs="Arial"/>
                <w:b/>
                <w:bCs/>
                <w:sz w:val="18"/>
                <w:szCs w:val="18"/>
              </w:rPr>
              <w:t>69,</w:t>
            </w:r>
            <w:r w:rsidR="00A91563" w:rsidRPr="003A176D">
              <w:rPr>
                <w:rFonts w:ascii="Arial" w:hAnsi="Arial" w:cs="Arial"/>
                <w:b/>
                <w:bCs/>
                <w:sz w:val="18"/>
                <w:szCs w:val="18"/>
              </w:rPr>
              <w:t>703,779</w:t>
            </w:r>
          </w:p>
        </w:tc>
        <w:tc>
          <w:tcPr>
            <w:tcW w:w="1352" w:type="dxa"/>
            <w:tcBorders>
              <w:top w:val="single" w:sz="4" w:space="0" w:color="auto"/>
              <w:left w:val="nil"/>
              <w:bottom w:val="double" w:sz="4" w:space="0" w:color="auto"/>
              <w:right w:val="nil"/>
            </w:tcBorders>
          </w:tcPr>
          <w:p w14:paraId="71CA03F1" w14:textId="19FC7463" w:rsidR="00873A5E" w:rsidRPr="003A176D" w:rsidRDefault="006925A7" w:rsidP="006925A7">
            <w:pPr>
              <w:spacing w:after="0" w:line="240" w:lineRule="auto"/>
              <w:jc w:val="right"/>
              <w:rPr>
                <w:rFonts w:ascii="Arial" w:hAnsi="Arial" w:cs="Arial"/>
                <w:b/>
                <w:bCs/>
                <w:sz w:val="18"/>
                <w:szCs w:val="18"/>
              </w:rPr>
            </w:pPr>
            <w:r w:rsidRPr="003A176D">
              <w:rPr>
                <w:rFonts w:ascii="Arial" w:hAnsi="Arial" w:cs="Arial"/>
                <w:b/>
                <w:bCs/>
                <w:sz w:val="18"/>
                <w:szCs w:val="18"/>
              </w:rPr>
              <w:t xml:space="preserve">$ </w:t>
            </w:r>
            <w:r w:rsidR="00FC2D35" w:rsidRPr="003A176D">
              <w:rPr>
                <w:rFonts w:ascii="Arial" w:hAnsi="Arial" w:cs="Arial"/>
                <w:b/>
                <w:bCs/>
                <w:sz w:val="18"/>
                <w:szCs w:val="18"/>
              </w:rPr>
              <w:t>18,305,120</w:t>
            </w:r>
          </w:p>
        </w:tc>
        <w:tc>
          <w:tcPr>
            <w:tcW w:w="1197" w:type="dxa"/>
            <w:tcBorders>
              <w:top w:val="single" w:sz="4" w:space="0" w:color="auto"/>
              <w:left w:val="nil"/>
              <w:bottom w:val="double" w:sz="4" w:space="0" w:color="auto"/>
              <w:right w:val="nil"/>
            </w:tcBorders>
          </w:tcPr>
          <w:p w14:paraId="6E063041" w14:textId="2F3FE7A0" w:rsidR="00873A5E" w:rsidRPr="003A176D" w:rsidRDefault="006925A7" w:rsidP="006925A7">
            <w:pPr>
              <w:spacing w:after="0" w:line="240" w:lineRule="auto"/>
              <w:jc w:val="right"/>
              <w:rPr>
                <w:rFonts w:ascii="Arial" w:hAnsi="Arial" w:cs="Arial"/>
                <w:b/>
                <w:bCs/>
                <w:sz w:val="18"/>
                <w:szCs w:val="18"/>
              </w:rPr>
            </w:pPr>
            <w:r w:rsidRPr="003A176D">
              <w:rPr>
                <w:rFonts w:ascii="Arial" w:hAnsi="Arial" w:cs="Arial"/>
                <w:b/>
                <w:bCs/>
                <w:sz w:val="18"/>
                <w:szCs w:val="18"/>
              </w:rPr>
              <w:t xml:space="preserve">$ </w:t>
            </w:r>
            <w:r w:rsidR="00FC2D35" w:rsidRPr="003A176D">
              <w:rPr>
                <w:rFonts w:ascii="Arial" w:hAnsi="Arial" w:cs="Arial"/>
                <w:b/>
                <w:bCs/>
                <w:sz w:val="18"/>
                <w:szCs w:val="18"/>
              </w:rPr>
              <w:t>1,369,374</w:t>
            </w:r>
          </w:p>
        </w:tc>
        <w:tc>
          <w:tcPr>
            <w:tcW w:w="1026" w:type="dxa"/>
            <w:tcBorders>
              <w:top w:val="single" w:sz="4" w:space="0" w:color="auto"/>
              <w:left w:val="nil"/>
              <w:bottom w:val="double" w:sz="4" w:space="0" w:color="auto"/>
              <w:right w:val="nil"/>
            </w:tcBorders>
          </w:tcPr>
          <w:p w14:paraId="7E76299E" w14:textId="60647F6E" w:rsidR="00873A5E" w:rsidRPr="003A176D" w:rsidRDefault="006925A7" w:rsidP="006925A7">
            <w:pPr>
              <w:spacing w:after="0" w:line="240" w:lineRule="auto"/>
              <w:jc w:val="right"/>
              <w:rPr>
                <w:rFonts w:ascii="Arial" w:hAnsi="Arial" w:cs="Arial"/>
                <w:b/>
                <w:bCs/>
                <w:sz w:val="18"/>
                <w:szCs w:val="18"/>
              </w:rPr>
            </w:pPr>
            <w:r w:rsidRPr="003A176D">
              <w:rPr>
                <w:rFonts w:ascii="Arial" w:hAnsi="Arial" w:cs="Arial"/>
                <w:b/>
                <w:bCs/>
                <w:sz w:val="18"/>
                <w:szCs w:val="18"/>
              </w:rPr>
              <w:t xml:space="preserve">$ </w:t>
            </w:r>
            <w:r w:rsidR="00FC2D35" w:rsidRPr="003A176D">
              <w:rPr>
                <w:rFonts w:ascii="Arial" w:hAnsi="Arial" w:cs="Arial"/>
                <w:b/>
                <w:bCs/>
                <w:sz w:val="18"/>
                <w:szCs w:val="18"/>
              </w:rPr>
              <w:t>388,637</w:t>
            </w:r>
          </w:p>
        </w:tc>
        <w:tc>
          <w:tcPr>
            <w:tcW w:w="1737" w:type="dxa"/>
            <w:tcBorders>
              <w:top w:val="single" w:sz="4" w:space="0" w:color="auto"/>
              <w:left w:val="nil"/>
              <w:bottom w:val="double" w:sz="4" w:space="0" w:color="auto"/>
              <w:right w:val="nil"/>
            </w:tcBorders>
          </w:tcPr>
          <w:p w14:paraId="162783EB" w14:textId="6C6D3D80" w:rsidR="00873A5E" w:rsidRPr="003A176D" w:rsidRDefault="006925A7" w:rsidP="006925A7">
            <w:pPr>
              <w:spacing w:after="0" w:line="240" w:lineRule="auto"/>
              <w:jc w:val="right"/>
              <w:rPr>
                <w:rFonts w:ascii="Arial" w:hAnsi="Arial" w:cs="Arial"/>
                <w:b/>
                <w:bCs/>
                <w:sz w:val="18"/>
                <w:szCs w:val="18"/>
              </w:rPr>
            </w:pPr>
            <w:r w:rsidRPr="003A176D">
              <w:rPr>
                <w:rFonts w:ascii="Arial" w:hAnsi="Arial" w:cs="Arial"/>
                <w:b/>
                <w:bCs/>
                <w:sz w:val="18"/>
                <w:szCs w:val="18"/>
              </w:rPr>
              <w:t xml:space="preserve">$                 </w:t>
            </w:r>
            <w:r w:rsidR="00FC2D35" w:rsidRPr="003A176D">
              <w:rPr>
                <w:rFonts w:ascii="Arial" w:hAnsi="Arial" w:cs="Arial"/>
                <w:b/>
                <w:bCs/>
                <w:sz w:val="18"/>
                <w:szCs w:val="18"/>
              </w:rPr>
              <w:t>1,871</w:t>
            </w:r>
          </w:p>
        </w:tc>
        <w:tc>
          <w:tcPr>
            <w:tcW w:w="1563" w:type="dxa"/>
            <w:tcBorders>
              <w:top w:val="single" w:sz="4" w:space="0" w:color="auto"/>
              <w:left w:val="nil"/>
              <w:bottom w:val="double" w:sz="4" w:space="0" w:color="auto"/>
              <w:right w:val="nil"/>
            </w:tcBorders>
          </w:tcPr>
          <w:p w14:paraId="04FC890B" w14:textId="2B7A3CF6" w:rsidR="00873A5E" w:rsidRPr="003A176D" w:rsidRDefault="006925A7" w:rsidP="006925A7">
            <w:pPr>
              <w:spacing w:after="0" w:line="240" w:lineRule="auto"/>
              <w:jc w:val="right"/>
              <w:rPr>
                <w:rFonts w:ascii="Arial" w:hAnsi="Arial" w:cs="Arial"/>
                <w:b/>
                <w:bCs/>
                <w:sz w:val="18"/>
                <w:szCs w:val="18"/>
              </w:rPr>
            </w:pPr>
            <w:r w:rsidRPr="003A176D">
              <w:rPr>
                <w:rFonts w:ascii="Arial" w:hAnsi="Arial" w:cs="Arial"/>
                <w:b/>
                <w:bCs/>
                <w:sz w:val="18"/>
                <w:szCs w:val="18"/>
              </w:rPr>
              <w:t xml:space="preserve">$    </w:t>
            </w:r>
            <w:r w:rsidR="00873A5E" w:rsidRPr="003A176D">
              <w:rPr>
                <w:rFonts w:ascii="Arial" w:hAnsi="Arial" w:cs="Arial"/>
                <w:b/>
                <w:bCs/>
                <w:sz w:val="18"/>
                <w:szCs w:val="18"/>
              </w:rPr>
              <w:t>(</w:t>
            </w:r>
            <w:r w:rsidR="00FC2D35" w:rsidRPr="003A176D">
              <w:rPr>
                <w:rFonts w:ascii="Arial" w:hAnsi="Arial" w:cs="Arial"/>
                <w:b/>
                <w:bCs/>
                <w:sz w:val="18"/>
                <w:szCs w:val="18"/>
              </w:rPr>
              <w:t>15,</w:t>
            </w:r>
            <w:r w:rsidR="00165765" w:rsidRPr="003A176D">
              <w:rPr>
                <w:rFonts w:ascii="Arial" w:hAnsi="Arial" w:cs="Arial"/>
                <w:b/>
                <w:bCs/>
                <w:sz w:val="18"/>
                <w:szCs w:val="18"/>
              </w:rPr>
              <w:t>506,529</w:t>
            </w:r>
            <w:r w:rsidR="00873A5E" w:rsidRPr="003A176D">
              <w:rPr>
                <w:rFonts w:ascii="Arial" w:hAnsi="Arial" w:cs="Arial"/>
                <w:b/>
                <w:bCs/>
                <w:sz w:val="18"/>
                <w:szCs w:val="18"/>
              </w:rPr>
              <w:t>)</w:t>
            </w:r>
          </w:p>
        </w:tc>
        <w:tc>
          <w:tcPr>
            <w:tcW w:w="1671" w:type="dxa"/>
            <w:tcBorders>
              <w:top w:val="single" w:sz="4" w:space="0" w:color="auto"/>
              <w:left w:val="nil"/>
              <w:bottom w:val="double" w:sz="4" w:space="0" w:color="auto"/>
              <w:right w:val="nil"/>
            </w:tcBorders>
          </w:tcPr>
          <w:p w14:paraId="67222716" w14:textId="54EC791F" w:rsidR="00873A5E" w:rsidRPr="003A176D" w:rsidRDefault="006925A7" w:rsidP="006925A7">
            <w:pPr>
              <w:spacing w:after="0" w:line="240" w:lineRule="auto"/>
              <w:jc w:val="right"/>
              <w:rPr>
                <w:rFonts w:ascii="Arial" w:hAnsi="Arial" w:cs="Arial"/>
                <w:b/>
                <w:bCs/>
                <w:sz w:val="18"/>
                <w:szCs w:val="18"/>
              </w:rPr>
            </w:pPr>
            <w:r w:rsidRPr="003A176D">
              <w:rPr>
                <w:rFonts w:ascii="Arial" w:hAnsi="Arial" w:cs="Arial"/>
                <w:b/>
                <w:bCs/>
                <w:sz w:val="18"/>
                <w:szCs w:val="18"/>
              </w:rPr>
              <w:t xml:space="preserve">$           </w:t>
            </w:r>
            <w:r w:rsidR="00873A5E" w:rsidRPr="003A176D">
              <w:rPr>
                <w:rFonts w:ascii="Arial" w:hAnsi="Arial" w:cs="Arial"/>
                <w:b/>
                <w:bCs/>
                <w:sz w:val="18"/>
                <w:szCs w:val="18"/>
              </w:rPr>
              <w:t>4,</w:t>
            </w:r>
            <w:r w:rsidR="00165765" w:rsidRPr="003A176D">
              <w:rPr>
                <w:rFonts w:ascii="Arial" w:hAnsi="Arial" w:cs="Arial"/>
                <w:b/>
                <w:bCs/>
                <w:sz w:val="18"/>
                <w:szCs w:val="18"/>
              </w:rPr>
              <w:t>558,</w:t>
            </w:r>
            <w:r w:rsidR="00476652" w:rsidRPr="003A176D">
              <w:rPr>
                <w:rFonts w:ascii="Arial" w:hAnsi="Arial" w:cs="Arial"/>
                <w:b/>
                <w:bCs/>
                <w:sz w:val="18"/>
                <w:szCs w:val="18"/>
              </w:rPr>
              <w:t>473</w:t>
            </w:r>
          </w:p>
        </w:tc>
      </w:tr>
    </w:tbl>
    <w:p w14:paraId="044AEB65" w14:textId="77777777" w:rsidR="0089766B" w:rsidRPr="003A176D" w:rsidRDefault="0089766B" w:rsidP="0089766B">
      <w:pPr>
        <w:ind w:firstLine="720"/>
        <w:rPr>
          <w:rFonts w:ascii="Arial" w:hAnsi="Arial" w:cs="Arial"/>
          <w:sz w:val="18"/>
          <w:szCs w:val="18"/>
        </w:rPr>
      </w:pPr>
    </w:p>
    <w:p w14:paraId="1A7076D8" w14:textId="77777777" w:rsidR="0089766B" w:rsidRPr="003A176D" w:rsidRDefault="0089766B" w:rsidP="0089766B">
      <w:pPr>
        <w:rPr>
          <w:rFonts w:ascii="Arial" w:hAnsi="Arial" w:cs="Arial"/>
          <w:sz w:val="18"/>
          <w:szCs w:val="18"/>
        </w:rPr>
      </w:pPr>
    </w:p>
    <w:p w14:paraId="2A08B43B" w14:textId="49353CF6" w:rsidR="0089766B" w:rsidRPr="003A176D" w:rsidRDefault="0089766B" w:rsidP="0089766B">
      <w:pPr>
        <w:rPr>
          <w:rFonts w:ascii="Arial" w:hAnsi="Arial" w:cs="Arial"/>
          <w:sz w:val="18"/>
          <w:szCs w:val="18"/>
        </w:rPr>
        <w:sectPr w:rsidR="0089766B" w:rsidRPr="003A176D" w:rsidSect="00E878E0">
          <w:headerReference w:type="default" r:id="rId16"/>
          <w:pgSz w:w="15840" w:h="12240" w:orient="landscape"/>
          <w:pgMar w:top="1440" w:right="994"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5560"/>
        <w:gridCol w:w="317"/>
        <w:gridCol w:w="1970"/>
        <w:gridCol w:w="317"/>
        <w:gridCol w:w="1359"/>
      </w:tblGrid>
      <w:tr w:rsidR="002723A1" w:rsidRPr="003A176D" w14:paraId="70C2D8CE" w14:textId="77777777" w:rsidTr="00EC65B6">
        <w:trPr>
          <w:trHeight w:val="202"/>
        </w:trPr>
        <w:tc>
          <w:tcPr>
            <w:tcW w:w="264" w:type="dxa"/>
          </w:tcPr>
          <w:p w14:paraId="6756C010" w14:textId="77777777" w:rsidR="002723A1" w:rsidRPr="003A176D" w:rsidRDefault="002723A1" w:rsidP="00EC65B6">
            <w:pPr>
              <w:spacing w:after="0" w:line="240" w:lineRule="auto"/>
              <w:rPr>
                <w:rFonts w:ascii="Arial" w:hAnsi="Arial" w:cs="Arial"/>
                <w:sz w:val="18"/>
                <w:szCs w:val="18"/>
              </w:rPr>
            </w:pPr>
          </w:p>
        </w:tc>
        <w:tc>
          <w:tcPr>
            <w:tcW w:w="5560" w:type="dxa"/>
          </w:tcPr>
          <w:p w14:paraId="7DE02D51" w14:textId="648BEED8" w:rsidR="002723A1" w:rsidRPr="003A176D" w:rsidRDefault="002723A1" w:rsidP="00EC65B6">
            <w:pPr>
              <w:spacing w:after="0" w:line="240" w:lineRule="auto"/>
              <w:rPr>
                <w:rFonts w:ascii="Arial" w:hAnsi="Arial" w:cs="Arial"/>
                <w:sz w:val="18"/>
                <w:szCs w:val="18"/>
              </w:rPr>
            </w:pPr>
          </w:p>
        </w:tc>
        <w:tc>
          <w:tcPr>
            <w:tcW w:w="3963" w:type="dxa"/>
            <w:gridSpan w:val="4"/>
          </w:tcPr>
          <w:p w14:paraId="26DFBF83" w14:textId="6909921D" w:rsidR="002723A1" w:rsidRPr="003A176D" w:rsidRDefault="00B14DC4" w:rsidP="00EC65B6">
            <w:pPr>
              <w:spacing w:after="0" w:line="240" w:lineRule="auto"/>
              <w:jc w:val="right"/>
              <w:rPr>
                <w:rFonts w:ascii="Arial" w:hAnsi="Arial" w:cs="Arial"/>
                <w:sz w:val="18"/>
                <w:szCs w:val="18"/>
              </w:rPr>
            </w:pPr>
            <w:r w:rsidRPr="003A176D">
              <w:rPr>
                <w:rFonts w:ascii="Arial" w:hAnsi="Arial" w:cs="Arial"/>
                <w:sz w:val="18"/>
                <w:szCs w:val="18"/>
              </w:rPr>
              <w:t>Six</w:t>
            </w:r>
            <w:r w:rsidR="002723A1" w:rsidRPr="003A176D">
              <w:rPr>
                <w:rFonts w:ascii="Arial" w:hAnsi="Arial" w:cs="Arial"/>
                <w:sz w:val="18"/>
                <w:szCs w:val="18"/>
              </w:rPr>
              <w:t xml:space="preserve"> months ended </w:t>
            </w:r>
            <w:r w:rsidRPr="003A176D">
              <w:rPr>
                <w:rFonts w:ascii="Arial" w:hAnsi="Arial" w:cs="Arial"/>
                <w:sz w:val="18"/>
                <w:szCs w:val="18"/>
              </w:rPr>
              <w:t>June 30</w:t>
            </w:r>
          </w:p>
        </w:tc>
      </w:tr>
      <w:tr w:rsidR="002723A1" w:rsidRPr="003A176D" w14:paraId="3592FCFA" w14:textId="77777777" w:rsidTr="00EC65B6">
        <w:trPr>
          <w:trHeight w:val="202"/>
        </w:trPr>
        <w:tc>
          <w:tcPr>
            <w:tcW w:w="264" w:type="dxa"/>
            <w:tcBorders>
              <w:bottom w:val="single" w:sz="4" w:space="0" w:color="auto"/>
            </w:tcBorders>
          </w:tcPr>
          <w:p w14:paraId="26B4C3FD" w14:textId="77777777" w:rsidR="002723A1" w:rsidRPr="003A176D" w:rsidRDefault="002723A1" w:rsidP="00EC65B6">
            <w:pPr>
              <w:spacing w:after="0" w:line="240" w:lineRule="auto"/>
              <w:rPr>
                <w:rFonts w:ascii="Arial" w:hAnsi="Arial" w:cs="Arial"/>
                <w:sz w:val="18"/>
                <w:szCs w:val="18"/>
              </w:rPr>
            </w:pPr>
          </w:p>
        </w:tc>
        <w:tc>
          <w:tcPr>
            <w:tcW w:w="5560" w:type="dxa"/>
            <w:tcBorders>
              <w:bottom w:val="single" w:sz="4" w:space="0" w:color="auto"/>
            </w:tcBorders>
          </w:tcPr>
          <w:p w14:paraId="7E045D54" w14:textId="06131FBA" w:rsidR="002723A1" w:rsidRPr="003A176D" w:rsidRDefault="002723A1" w:rsidP="00EC65B6">
            <w:pPr>
              <w:spacing w:after="0" w:line="240" w:lineRule="auto"/>
              <w:rPr>
                <w:rFonts w:ascii="Arial" w:hAnsi="Arial" w:cs="Arial"/>
                <w:sz w:val="18"/>
                <w:szCs w:val="18"/>
              </w:rPr>
            </w:pPr>
          </w:p>
        </w:tc>
        <w:tc>
          <w:tcPr>
            <w:tcW w:w="317" w:type="dxa"/>
            <w:tcBorders>
              <w:bottom w:val="single" w:sz="4" w:space="0" w:color="auto"/>
            </w:tcBorders>
          </w:tcPr>
          <w:p w14:paraId="087D6185" w14:textId="77777777" w:rsidR="002723A1" w:rsidRPr="003A176D" w:rsidRDefault="002723A1" w:rsidP="00EC65B6">
            <w:pPr>
              <w:spacing w:after="0" w:line="240" w:lineRule="auto"/>
              <w:jc w:val="right"/>
              <w:rPr>
                <w:rFonts w:ascii="Arial" w:hAnsi="Arial" w:cs="Arial"/>
                <w:sz w:val="18"/>
                <w:szCs w:val="18"/>
              </w:rPr>
            </w:pPr>
          </w:p>
        </w:tc>
        <w:tc>
          <w:tcPr>
            <w:tcW w:w="1970" w:type="dxa"/>
            <w:tcBorders>
              <w:bottom w:val="single" w:sz="4" w:space="0" w:color="auto"/>
            </w:tcBorders>
          </w:tcPr>
          <w:p w14:paraId="4D12E47C" w14:textId="1CC9B7F3" w:rsidR="002723A1" w:rsidRPr="003A176D" w:rsidRDefault="002723A1" w:rsidP="00EC65B6">
            <w:pPr>
              <w:spacing w:after="0" w:line="240" w:lineRule="auto"/>
              <w:jc w:val="right"/>
              <w:rPr>
                <w:rFonts w:ascii="Arial" w:hAnsi="Arial" w:cs="Arial"/>
                <w:sz w:val="18"/>
                <w:szCs w:val="18"/>
              </w:rPr>
            </w:pPr>
            <w:r w:rsidRPr="003A176D">
              <w:rPr>
                <w:rFonts w:ascii="Arial" w:hAnsi="Arial" w:cs="Arial"/>
                <w:sz w:val="18"/>
                <w:szCs w:val="18"/>
              </w:rPr>
              <w:t>20</w:t>
            </w:r>
            <w:r w:rsidR="0029481C" w:rsidRPr="003A176D">
              <w:rPr>
                <w:rFonts w:ascii="Arial" w:hAnsi="Arial" w:cs="Arial"/>
                <w:sz w:val="18"/>
                <w:szCs w:val="18"/>
              </w:rPr>
              <w:t>20</w:t>
            </w:r>
          </w:p>
        </w:tc>
        <w:tc>
          <w:tcPr>
            <w:tcW w:w="317" w:type="dxa"/>
            <w:tcBorders>
              <w:bottom w:val="single" w:sz="4" w:space="0" w:color="auto"/>
            </w:tcBorders>
          </w:tcPr>
          <w:p w14:paraId="68D45996" w14:textId="77777777" w:rsidR="002723A1" w:rsidRPr="003A176D" w:rsidRDefault="002723A1" w:rsidP="00EC65B6">
            <w:pPr>
              <w:spacing w:after="0" w:line="240" w:lineRule="auto"/>
              <w:jc w:val="right"/>
              <w:rPr>
                <w:rFonts w:ascii="Arial" w:hAnsi="Arial" w:cs="Arial"/>
                <w:sz w:val="18"/>
                <w:szCs w:val="18"/>
              </w:rPr>
            </w:pPr>
          </w:p>
        </w:tc>
        <w:tc>
          <w:tcPr>
            <w:tcW w:w="1359" w:type="dxa"/>
            <w:tcBorders>
              <w:bottom w:val="single" w:sz="4" w:space="0" w:color="auto"/>
            </w:tcBorders>
          </w:tcPr>
          <w:p w14:paraId="357DC8F4" w14:textId="59C48801" w:rsidR="002723A1" w:rsidRPr="003A176D" w:rsidRDefault="002723A1" w:rsidP="00EC65B6">
            <w:pPr>
              <w:spacing w:after="0" w:line="240" w:lineRule="auto"/>
              <w:jc w:val="right"/>
              <w:rPr>
                <w:rFonts w:ascii="Arial" w:hAnsi="Arial" w:cs="Arial"/>
                <w:sz w:val="18"/>
                <w:szCs w:val="18"/>
              </w:rPr>
            </w:pPr>
            <w:r w:rsidRPr="003A176D">
              <w:rPr>
                <w:rFonts w:ascii="Arial" w:hAnsi="Arial" w:cs="Arial"/>
                <w:sz w:val="18"/>
                <w:szCs w:val="18"/>
              </w:rPr>
              <w:t>201</w:t>
            </w:r>
            <w:r w:rsidR="0029481C" w:rsidRPr="003A176D">
              <w:rPr>
                <w:rFonts w:ascii="Arial" w:hAnsi="Arial" w:cs="Arial"/>
                <w:sz w:val="18"/>
                <w:szCs w:val="18"/>
              </w:rPr>
              <w:t>9</w:t>
            </w:r>
          </w:p>
        </w:tc>
      </w:tr>
      <w:tr w:rsidR="002723A1" w:rsidRPr="003A176D" w14:paraId="07D759EF" w14:textId="77777777" w:rsidTr="00EC65B6">
        <w:trPr>
          <w:trHeight w:val="202"/>
        </w:trPr>
        <w:tc>
          <w:tcPr>
            <w:tcW w:w="264" w:type="dxa"/>
            <w:tcBorders>
              <w:top w:val="single" w:sz="4" w:space="0" w:color="auto"/>
            </w:tcBorders>
          </w:tcPr>
          <w:p w14:paraId="5A81C8A5" w14:textId="77777777" w:rsidR="002723A1" w:rsidRPr="003A176D" w:rsidRDefault="002723A1" w:rsidP="00EC65B6">
            <w:pPr>
              <w:spacing w:after="0" w:line="240" w:lineRule="auto"/>
              <w:rPr>
                <w:rFonts w:ascii="Arial" w:hAnsi="Arial" w:cs="Arial"/>
                <w:sz w:val="18"/>
                <w:szCs w:val="18"/>
              </w:rPr>
            </w:pPr>
          </w:p>
        </w:tc>
        <w:tc>
          <w:tcPr>
            <w:tcW w:w="5560" w:type="dxa"/>
            <w:tcBorders>
              <w:top w:val="single" w:sz="4" w:space="0" w:color="auto"/>
            </w:tcBorders>
          </w:tcPr>
          <w:p w14:paraId="62FFCF78" w14:textId="7FCF9B32" w:rsidR="002723A1" w:rsidRPr="003A176D" w:rsidRDefault="002723A1" w:rsidP="00EC65B6">
            <w:pPr>
              <w:spacing w:after="0" w:line="240" w:lineRule="auto"/>
              <w:rPr>
                <w:rFonts w:ascii="Arial" w:hAnsi="Arial" w:cs="Arial"/>
                <w:sz w:val="18"/>
                <w:szCs w:val="18"/>
              </w:rPr>
            </w:pPr>
          </w:p>
        </w:tc>
        <w:tc>
          <w:tcPr>
            <w:tcW w:w="317" w:type="dxa"/>
            <w:tcBorders>
              <w:top w:val="single" w:sz="4" w:space="0" w:color="auto"/>
            </w:tcBorders>
          </w:tcPr>
          <w:p w14:paraId="0AC727D5" w14:textId="77777777" w:rsidR="002723A1" w:rsidRPr="003A176D" w:rsidRDefault="002723A1" w:rsidP="00EC65B6">
            <w:pPr>
              <w:spacing w:after="0" w:line="240" w:lineRule="auto"/>
              <w:jc w:val="right"/>
              <w:rPr>
                <w:rFonts w:ascii="Arial" w:hAnsi="Arial" w:cs="Arial"/>
                <w:sz w:val="18"/>
                <w:szCs w:val="18"/>
              </w:rPr>
            </w:pPr>
          </w:p>
        </w:tc>
        <w:tc>
          <w:tcPr>
            <w:tcW w:w="1970" w:type="dxa"/>
            <w:tcBorders>
              <w:top w:val="single" w:sz="4" w:space="0" w:color="auto"/>
            </w:tcBorders>
          </w:tcPr>
          <w:p w14:paraId="154FC5D0" w14:textId="77777777" w:rsidR="002723A1" w:rsidRPr="003A176D" w:rsidRDefault="002723A1" w:rsidP="00EC65B6">
            <w:pPr>
              <w:spacing w:after="0" w:line="240" w:lineRule="auto"/>
              <w:jc w:val="right"/>
              <w:rPr>
                <w:rFonts w:ascii="Arial" w:hAnsi="Arial" w:cs="Arial"/>
                <w:sz w:val="18"/>
                <w:szCs w:val="18"/>
              </w:rPr>
            </w:pPr>
          </w:p>
        </w:tc>
        <w:tc>
          <w:tcPr>
            <w:tcW w:w="317" w:type="dxa"/>
            <w:tcBorders>
              <w:top w:val="single" w:sz="4" w:space="0" w:color="auto"/>
            </w:tcBorders>
          </w:tcPr>
          <w:p w14:paraId="30646F37" w14:textId="77777777" w:rsidR="002723A1" w:rsidRPr="003A176D" w:rsidRDefault="002723A1" w:rsidP="00EC65B6">
            <w:pPr>
              <w:spacing w:after="0" w:line="240" w:lineRule="auto"/>
              <w:jc w:val="right"/>
              <w:rPr>
                <w:rFonts w:ascii="Arial" w:hAnsi="Arial" w:cs="Arial"/>
                <w:sz w:val="18"/>
                <w:szCs w:val="18"/>
              </w:rPr>
            </w:pPr>
          </w:p>
        </w:tc>
        <w:tc>
          <w:tcPr>
            <w:tcW w:w="1359" w:type="dxa"/>
            <w:tcBorders>
              <w:top w:val="single" w:sz="4" w:space="0" w:color="auto"/>
            </w:tcBorders>
          </w:tcPr>
          <w:p w14:paraId="180B62BB" w14:textId="77777777" w:rsidR="002723A1" w:rsidRPr="003A176D" w:rsidRDefault="002723A1" w:rsidP="00EC65B6">
            <w:pPr>
              <w:spacing w:after="0" w:line="240" w:lineRule="auto"/>
              <w:jc w:val="right"/>
              <w:rPr>
                <w:rFonts w:ascii="Arial" w:hAnsi="Arial" w:cs="Arial"/>
                <w:sz w:val="18"/>
                <w:szCs w:val="18"/>
              </w:rPr>
            </w:pPr>
          </w:p>
        </w:tc>
      </w:tr>
      <w:tr w:rsidR="007409AD" w:rsidRPr="003A176D" w14:paraId="3939D667" w14:textId="77777777" w:rsidTr="00EC65B6">
        <w:trPr>
          <w:trHeight w:val="202"/>
        </w:trPr>
        <w:tc>
          <w:tcPr>
            <w:tcW w:w="5824" w:type="dxa"/>
            <w:gridSpan w:val="2"/>
          </w:tcPr>
          <w:p w14:paraId="6BA1C990" w14:textId="43B4377D"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Operating activities:</w:t>
            </w:r>
          </w:p>
        </w:tc>
        <w:tc>
          <w:tcPr>
            <w:tcW w:w="317" w:type="dxa"/>
          </w:tcPr>
          <w:p w14:paraId="38BE8BCE" w14:textId="77777777" w:rsidR="007409AD" w:rsidRPr="003A176D" w:rsidRDefault="007409AD" w:rsidP="00EC65B6">
            <w:pPr>
              <w:spacing w:after="0" w:line="240" w:lineRule="auto"/>
              <w:jc w:val="right"/>
              <w:rPr>
                <w:rFonts w:ascii="Arial" w:hAnsi="Arial" w:cs="Arial"/>
                <w:b/>
                <w:bCs/>
                <w:sz w:val="18"/>
                <w:szCs w:val="18"/>
              </w:rPr>
            </w:pPr>
          </w:p>
        </w:tc>
        <w:tc>
          <w:tcPr>
            <w:tcW w:w="1970" w:type="dxa"/>
          </w:tcPr>
          <w:p w14:paraId="0106264C" w14:textId="77777777" w:rsidR="007409AD" w:rsidRPr="003A176D" w:rsidRDefault="007409AD" w:rsidP="00EC65B6">
            <w:pPr>
              <w:spacing w:after="0" w:line="240" w:lineRule="auto"/>
              <w:jc w:val="right"/>
              <w:rPr>
                <w:rFonts w:ascii="Arial" w:hAnsi="Arial" w:cs="Arial"/>
                <w:b/>
                <w:bCs/>
                <w:sz w:val="18"/>
                <w:szCs w:val="18"/>
              </w:rPr>
            </w:pPr>
          </w:p>
        </w:tc>
        <w:tc>
          <w:tcPr>
            <w:tcW w:w="317" w:type="dxa"/>
          </w:tcPr>
          <w:p w14:paraId="63F7D785" w14:textId="77777777" w:rsidR="007409AD" w:rsidRPr="003A176D" w:rsidRDefault="007409AD" w:rsidP="00EC65B6">
            <w:pPr>
              <w:spacing w:after="0" w:line="240" w:lineRule="auto"/>
              <w:jc w:val="right"/>
              <w:rPr>
                <w:rFonts w:ascii="Arial" w:hAnsi="Arial" w:cs="Arial"/>
                <w:b/>
                <w:bCs/>
                <w:sz w:val="18"/>
                <w:szCs w:val="18"/>
              </w:rPr>
            </w:pPr>
          </w:p>
        </w:tc>
        <w:tc>
          <w:tcPr>
            <w:tcW w:w="1359" w:type="dxa"/>
          </w:tcPr>
          <w:p w14:paraId="36140613" w14:textId="77777777" w:rsidR="007409AD" w:rsidRPr="003A176D" w:rsidRDefault="007409AD" w:rsidP="00EC65B6">
            <w:pPr>
              <w:spacing w:after="0" w:line="240" w:lineRule="auto"/>
              <w:jc w:val="right"/>
              <w:rPr>
                <w:rFonts w:ascii="Arial" w:hAnsi="Arial" w:cs="Arial"/>
                <w:color w:val="FF0000"/>
                <w:sz w:val="18"/>
                <w:szCs w:val="18"/>
              </w:rPr>
            </w:pPr>
          </w:p>
        </w:tc>
      </w:tr>
      <w:tr w:rsidR="002723A1" w:rsidRPr="003A176D" w14:paraId="0C2D7F95" w14:textId="77777777" w:rsidTr="00EC65B6">
        <w:trPr>
          <w:trHeight w:val="202"/>
        </w:trPr>
        <w:tc>
          <w:tcPr>
            <w:tcW w:w="264" w:type="dxa"/>
          </w:tcPr>
          <w:p w14:paraId="4718CA31" w14:textId="77777777" w:rsidR="002723A1" w:rsidRPr="003A176D" w:rsidRDefault="002723A1" w:rsidP="00EC65B6">
            <w:pPr>
              <w:spacing w:after="0" w:line="240" w:lineRule="auto"/>
              <w:rPr>
                <w:rFonts w:ascii="Arial" w:hAnsi="Arial" w:cs="Arial"/>
                <w:sz w:val="18"/>
                <w:szCs w:val="18"/>
              </w:rPr>
            </w:pPr>
          </w:p>
        </w:tc>
        <w:tc>
          <w:tcPr>
            <w:tcW w:w="5560" w:type="dxa"/>
          </w:tcPr>
          <w:p w14:paraId="7AE2FC8A" w14:textId="331E2F62" w:rsidR="002723A1" w:rsidRPr="003A176D" w:rsidRDefault="007409AD" w:rsidP="00EC65B6">
            <w:pPr>
              <w:spacing w:after="0" w:line="240" w:lineRule="auto"/>
              <w:rPr>
                <w:rFonts w:ascii="Arial" w:hAnsi="Arial" w:cs="Arial"/>
                <w:sz w:val="18"/>
                <w:szCs w:val="18"/>
              </w:rPr>
            </w:pPr>
            <w:r w:rsidRPr="003A176D">
              <w:rPr>
                <w:rFonts w:ascii="Arial" w:hAnsi="Arial" w:cs="Arial"/>
                <w:sz w:val="18"/>
                <w:szCs w:val="18"/>
              </w:rPr>
              <w:t>Net loss</w:t>
            </w:r>
          </w:p>
        </w:tc>
        <w:tc>
          <w:tcPr>
            <w:tcW w:w="317" w:type="dxa"/>
          </w:tcPr>
          <w:p w14:paraId="70FF3324" w14:textId="2F751E57" w:rsidR="002723A1" w:rsidRPr="003A176D" w:rsidRDefault="007409AD"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1970" w:type="dxa"/>
          </w:tcPr>
          <w:p w14:paraId="0959D368" w14:textId="26DA3CA3" w:rsidR="002723A1" w:rsidRPr="003A176D" w:rsidRDefault="007409AD" w:rsidP="00EC65B6">
            <w:pPr>
              <w:spacing w:after="0" w:line="240" w:lineRule="auto"/>
              <w:jc w:val="right"/>
              <w:rPr>
                <w:rFonts w:ascii="Arial" w:hAnsi="Arial" w:cs="Arial"/>
                <w:sz w:val="18"/>
                <w:szCs w:val="18"/>
              </w:rPr>
            </w:pPr>
            <w:r w:rsidRPr="003A176D">
              <w:rPr>
                <w:rFonts w:ascii="Arial" w:hAnsi="Arial" w:cs="Arial"/>
                <w:sz w:val="18"/>
                <w:szCs w:val="18"/>
              </w:rPr>
              <w:t xml:space="preserve">              (</w:t>
            </w:r>
            <w:r w:rsidR="00B14DC4" w:rsidRPr="003A176D">
              <w:rPr>
                <w:rFonts w:ascii="Arial" w:hAnsi="Arial" w:cs="Arial"/>
                <w:sz w:val="18"/>
                <w:szCs w:val="18"/>
              </w:rPr>
              <w:t>8,</w:t>
            </w:r>
            <w:r w:rsidR="00476652" w:rsidRPr="003A176D">
              <w:rPr>
                <w:rFonts w:ascii="Arial" w:hAnsi="Arial" w:cs="Arial"/>
                <w:sz w:val="18"/>
                <w:szCs w:val="18"/>
              </w:rPr>
              <w:t>746,706</w:t>
            </w:r>
            <w:r w:rsidRPr="003A176D">
              <w:rPr>
                <w:rFonts w:ascii="Arial" w:hAnsi="Arial" w:cs="Arial"/>
                <w:sz w:val="18"/>
                <w:szCs w:val="18"/>
              </w:rPr>
              <w:t>)</w:t>
            </w:r>
          </w:p>
        </w:tc>
        <w:tc>
          <w:tcPr>
            <w:tcW w:w="317" w:type="dxa"/>
          </w:tcPr>
          <w:p w14:paraId="561002D7" w14:textId="3B19B3F1" w:rsidR="002723A1" w:rsidRPr="003A176D" w:rsidRDefault="007409AD"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1359" w:type="dxa"/>
          </w:tcPr>
          <w:p w14:paraId="3F49C593" w14:textId="59C94F3C" w:rsidR="002723A1" w:rsidRPr="003A176D" w:rsidRDefault="00E943FE" w:rsidP="00EC65B6">
            <w:pPr>
              <w:spacing w:after="0" w:line="240" w:lineRule="auto"/>
              <w:jc w:val="right"/>
              <w:rPr>
                <w:rFonts w:ascii="Arial" w:hAnsi="Arial" w:cs="Arial"/>
                <w:sz w:val="18"/>
                <w:szCs w:val="18"/>
              </w:rPr>
            </w:pPr>
            <w:r w:rsidRPr="003A176D">
              <w:rPr>
                <w:rFonts w:ascii="Arial" w:hAnsi="Arial" w:cs="Arial"/>
                <w:sz w:val="18"/>
                <w:szCs w:val="18"/>
              </w:rPr>
              <w:t>(</w:t>
            </w:r>
            <w:r w:rsidR="002A774E" w:rsidRPr="003A176D">
              <w:rPr>
                <w:rFonts w:ascii="Arial" w:hAnsi="Arial" w:cs="Arial"/>
                <w:sz w:val="18"/>
                <w:szCs w:val="18"/>
              </w:rPr>
              <w:t>1,738,482</w:t>
            </w:r>
            <w:r w:rsidRPr="003A176D">
              <w:rPr>
                <w:rFonts w:ascii="Arial" w:hAnsi="Arial" w:cs="Arial"/>
                <w:sz w:val="18"/>
                <w:szCs w:val="18"/>
              </w:rPr>
              <w:t>)</w:t>
            </w:r>
          </w:p>
        </w:tc>
      </w:tr>
      <w:tr w:rsidR="002723A1" w:rsidRPr="003A176D" w14:paraId="1FBC0BAB" w14:textId="77777777" w:rsidTr="00EC65B6">
        <w:trPr>
          <w:trHeight w:val="202"/>
        </w:trPr>
        <w:tc>
          <w:tcPr>
            <w:tcW w:w="264" w:type="dxa"/>
          </w:tcPr>
          <w:p w14:paraId="49172CB2" w14:textId="77777777" w:rsidR="002723A1" w:rsidRPr="003A176D" w:rsidRDefault="002723A1" w:rsidP="00EC65B6">
            <w:pPr>
              <w:spacing w:after="0" w:line="240" w:lineRule="auto"/>
              <w:rPr>
                <w:rFonts w:ascii="Arial" w:hAnsi="Arial" w:cs="Arial"/>
                <w:sz w:val="18"/>
                <w:szCs w:val="18"/>
              </w:rPr>
            </w:pPr>
          </w:p>
        </w:tc>
        <w:tc>
          <w:tcPr>
            <w:tcW w:w="5560" w:type="dxa"/>
          </w:tcPr>
          <w:p w14:paraId="48842F2D" w14:textId="1D11A5ED" w:rsidR="002723A1" w:rsidRPr="003A176D" w:rsidRDefault="002723A1" w:rsidP="00EC65B6">
            <w:pPr>
              <w:spacing w:after="0" w:line="240" w:lineRule="auto"/>
              <w:rPr>
                <w:rFonts w:ascii="Arial" w:hAnsi="Arial" w:cs="Arial"/>
                <w:sz w:val="18"/>
                <w:szCs w:val="18"/>
              </w:rPr>
            </w:pPr>
          </w:p>
        </w:tc>
        <w:tc>
          <w:tcPr>
            <w:tcW w:w="317" w:type="dxa"/>
          </w:tcPr>
          <w:p w14:paraId="1212A618" w14:textId="77777777" w:rsidR="002723A1" w:rsidRPr="003A176D" w:rsidRDefault="002723A1" w:rsidP="00EC65B6">
            <w:pPr>
              <w:spacing w:after="0" w:line="240" w:lineRule="auto"/>
              <w:jc w:val="right"/>
              <w:rPr>
                <w:rFonts w:ascii="Arial" w:hAnsi="Arial" w:cs="Arial"/>
                <w:sz w:val="18"/>
                <w:szCs w:val="18"/>
              </w:rPr>
            </w:pPr>
          </w:p>
        </w:tc>
        <w:tc>
          <w:tcPr>
            <w:tcW w:w="1970" w:type="dxa"/>
          </w:tcPr>
          <w:p w14:paraId="707AAAE7" w14:textId="77777777" w:rsidR="002723A1" w:rsidRPr="003A176D" w:rsidRDefault="002723A1" w:rsidP="00EC65B6">
            <w:pPr>
              <w:spacing w:after="0" w:line="240" w:lineRule="auto"/>
              <w:jc w:val="right"/>
              <w:rPr>
                <w:rFonts w:ascii="Arial" w:hAnsi="Arial" w:cs="Arial"/>
                <w:sz w:val="18"/>
                <w:szCs w:val="18"/>
              </w:rPr>
            </w:pPr>
          </w:p>
        </w:tc>
        <w:tc>
          <w:tcPr>
            <w:tcW w:w="317" w:type="dxa"/>
          </w:tcPr>
          <w:p w14:paraId="2CFB44FF" w14:textId="77777777" w:rsidR="002723A1" w:rsidRPr="003A176D" w:rsidRDefault="002723A1" w:rsidP="00EC65B6">
            <w:pPr>
              <w:spacing w:after="0" w:line="240" w:lineRule="auto"/>
              <w:jc w:val="right"/>
              <w:rPr>
                <w:rFonts w:ascii="Arial" w:hAnsi="Arial" w:cs="Arial"/>
                <w:sz w:val="18"/>
                <w:szCs w:val="18"/>
              </w:rPr>
            </w:pPr>
          </w:p>
        </w:tc>
        <w:tc>
          <w:tcPr>
            <w:tcW w:w="1359" w:type="dxa"/>
          </w:tcPr>
          <w:p w14:paraId="3E92C5D3" w14:textId="77777777" w:rsidR="002723A1" w:rsidRPr="003A176D" w:rsidRDefault="002723A1" w:rsidP="00EC65B6">
            <w:pPr>
              <w:spacing w:after="0" w:line="240" w:lineRule="auto"/>
              <w:jc w:val="right"/>
              <w:rPr>
                <w:rFonts w:ascii="Arial" w:hAnsi="Arial" w:cs="Arial"/>
                <w:sz w:val="18"/>
                <w:szCs w:val="18"/>
              </w:rPr>
            </w:pPr>
          </w:p>
        </w:tc>
      </w:tr>
      <w:tr w:rsidR="007409AD" w:rsidRPr="003A176D" w14:paraId="54B61A07" w14:textId="77777777" w:rsidTr="00EC65B6">
        <w:trPr>
          <w:trHeight w:val="202"/>
        </w:trPr>
        <w:tc>
          <w:tcPr>
            <w:tcW w:w="5824" w:type="dxa"/>
            <w:gridSpan w:val="2"/>
          </w:tcPr>
          <w:p w14:paraId="0C1854B3" w14:textId="6CB054DB"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Adjustments for non-cash items:</w:t>
            </w:r>
          </w:p>
        </w:tc>
        <w:tc>
          <w:tcPr>
            <w:tcW w:w="317" w:type="dxa"/>
          </w:tcPr>
          <w:p w14:paraId="1C7605A3" w14:textId="77777777" w:rsidR="007409AD" w:rsidRPr="003A176D" w:rsidRDefault="007409AD" w:rsidP="00EC65B6">
            <w:pPr>
              <w:spacing w:after="0" w:line="240" w:lineRule="auto"/>
              <w:jc w:val="right"/>
              <w:rPr>
                <w:rFonts w:ascii="Arial" w:hAnsi="Arial" w:cs="Arial"/>
                <w:b/>
                <w:bCs/>
                <w:sz w:val="18"/>
                <w:szCs w:val="18"/>
              </w:rPr>
            </w:pPr>
          </w:p>
        </w:tc>
        <w:tc>
          <w:tcPr>
            <w:tcW w:w="1970" w:type="dxa"/>
          </w:tcPr>
          <w:p w14:paraId="76C2F0F0" w14:textId="77777777" w:rsidR="007409AD" w:rsidRPr="003A176D" w:rsidRDefault="007409AD" w:rsidP="00EC65B6">
            <w:pPr>
              <w:spacing w:after="0" w:line="240" w:lineRule="auto"/>
              <w:jc w:val="right"/>
              <w:rPr>
                <w:rFonts w:ascii="Arial" w:hAnsi="Arial" w:cs="Arial"/>
                <w:sz w:val="18"/>
                <w:szCs w:val="18"/>
              </w:rPr>
            </w:pPr>
          </w:p>
        </w:tc>
        <w:tc>
          <w:tcPr>
            <w:tcW w:w="317" w:type="dxa"/>
          </w:tcPr>
          <w:p w14:paraId="2FA22644" w14:textId="77777777" w:rsidR="007409AD" w:rsidRPr="003A176D" w:rsidRDefault="007409AD" w:rsidP="00EC65B6">
            <w:pPr>
              <w:spacing w:after="0" w:line="240" w:lineRule="auto"/>
              <w:jc w:val="right"/>
              <w:rPr>
                <w:rFonts w:ascii="Arial" w:hAnsi="Arial" w:cs="Arial"/>
                <w:b/>
                <w:bCs/>
                <w:sz w:val="18"/>
                <w:szCs w:val="18"/>
              </w:rPr>
            </w:pPr>
          </w:p>
        </w:tc>
        <w:tc>
          <w:tcPr>
            <w:tcW w:w="1359" w:type="dxa"/>
          </w:tcPr>
          <w:p w14:paraId="7AA2DAF0"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2560F92A" w14:textId="77777777" w:rsidTr="00EC65B6">
        <w:trPr>
          <w:trHeight w:val="202"/>
        </w:trPr>
        <w:tc>
          <w:tcPr>
            <w:tcW w:w="264" w:type="dxa"/>
          </w:tcPr>
          <w:p w14:paraId="2DFDD901"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69116DA9" w14:textId="7C90DBFC"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Amortization of equipment</w:t>
            </w:r>
          </w:p>
        </w:tc>
        <w:tc>
          <w:tcPr>
            <w:tcW w:w="317" w:type="dxa"/>
          </w:tcPr>
          <w:p w14:paraId="5CA8D48B"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53EEC4C4" w14:textId="7E045B78" w:rsidR="007409AD" w:rsidRPr="003A176D" w:rsidRDefault="00B14DC4" w:rsidP="00EC65B6">
            <w:pPr>
              <w:spacing w:after="0" w:line="240" w:lineRule="auto"/>
              <w:jc w:val="right"/>
              <w:rPr>
                <w:rFonts w:ascii="Arial" w:hAnsi="Arial" w:cs="Arial"/>
                <w:sz w:val="18"/>
                <w:szCs w:val="18"/>
              </w:rPr>
            </w:pPr>
            <w:r w:rsidRPr="003A176D">
              <w:rPr>
                <w:rFonts w:ascii="Arial" w:hAnsi="Arial" w:cs="Arial"/>
                <w:sz w:val="18"/>
                <w:szCs w:val="18"/>
              </w:rPr>
              <w:t>506</w:t>
            </w:r>
          </w:p>
        </w:tc>
        <w:tc>
          <w:tcPr>
            <w:tcW w:w="317" w:type="dxa"/>
          </w:tcPr>
          <w:p w14:paraId="09FF7F1A"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29BBD181" w14:textId="02880914"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723</w:t>
            </w:r>
          </w:p>
        </w:tc>
      </w:tr>
      <w:tr w:rsidR="007409AD" w:rsidRPr="003A176D" w14:paraId="2C7D4B36" w14:textId="77777777" w:rsidTr="00EC65B6">
        <w:trPr>
          <w:trHeight w:val="202"/>
        </w:trPr>
        <w:tc>
          <w:tcPr>
            <w:tcW w:w="264" w:type="dxa"/>
          </w:tcPr>
          <w:p w14:paraId="49E1B719"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573D5FA9" w14:textId="5C543E98"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Amortization of intangible assets</w:t>
            </w:r>
          </w:p>
        </w:tc>
        <w:tc>
          <w:tcPr>
            <w:tcW w:w="317" w:type="dxa"/>
          </w:tcPr>
          <w:p w14:paraId="688BA9A3"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50F7CAD9" w14:textId="0729AA41" w:rsidR="007409AD" w:rsidRPr="003A176D" w:rsidRDefault="00476652" w:rsidP="00EC65B6">
            <w:pPr>
              <w:spacing w:after="0" w:line="240" w:lineRule="auto"/>
              <w:jc w:val="right"/>
              <w:rPr>
                <w:rFonts w:ascii="Arial" w:hAnsi="Arial" w:cs="Arial"/>
                <w:sz w:val="18"/>
                <w:szCs w:val="18"/>
              </w:rPr>
            </w:pPr>
            <w:r w:rsidRPr="003A176D">
              <w:rPr>
                <w:rFonts w:ascii="Arial" w:hAnsi="Arial" w:cs="Arial"/>
                <w:sz w:val="18"/>
                <w:szCs w:val="18"/>
              </w:rPr>
              <w:t>305,814</w:t>
            </w:r>
          </w:p>
        </w:tc>
        <w:tc>
          <w:tcPr>
            <w:tcW w:w="317" w:type="dxa"/>
          </w:tcPr>
          <w:p w14:paraId="4D2DD19B"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71CEFAED" w14:textId="43EB5EE1"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170,210</w:t>
            </w:r>
          </w:p>
        </w:tc>
      </w:tr>
      <w:tr w:rsidR="007409AD" w:rsidRPr="003A176D" w14:paraId="1ADD9BB5" w14:textId="77777777" w:rsidTr="00EC65B6">
        <w:trPr>
          <w:trHeight w:val="202"/>
        </w:trPr>
        <w:tc>
          <w:tcPr>
            <w:tcW w:w="264" w:type="dxa"/>
          </w:tcPr>
          <w:p w14:paraId="13E7AFC2"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5DBB2CDC" w14:textId="26F2245D"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Expenses paid with digital currencies</w:t>
            </w:r>
          </w:p>
        </w:tc>
        <w:tc>
          <w:tcPr>
            <w:tcW w:w="317" w:type="dxa"/>
          </w:tcPr>
          <w:p w14:paraId="70B4D061"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63AB1EFC" w14:textId="4AD42F37" w:rsidR="007409AD"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317" w:type="dxa"/>
          </w:tcPr>
          <w:p w14:paraId="36D08C3A"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79A06F5F" w14:textId="33088884" w:rsidR="007409AD"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11,335</w:t>
            </w:r>
          </w:p>
        </w:tc>
      </w:tr>
      <w:tr w:rsidR="007409AD" w:rsidRPr="003A176D" w14:paraId="03AC1CBE" w14:textId="77777777" w:rsidTr="00EC65B6">
        <w:trPr>
          <w:trHeight w:val="202"/>
        </w:trPr>
        <w:tc>
          <w:tcPr>
            <w:tcW w:w="264" w:type="dxa"/>
          </w:tcPr>
          <w:p w14:paraId="6AFC5735"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42AB1C89" w14:textId="49A66FF7"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Fair value (gain)</w:t>
            </w:r>
            <w:r w:rsidR="00E943FE" w:rsidRPr="003A176D">
              <w:rPr>
                <w:rFonts w:ascii="Arial" w:hAnsi="Arial" w:cs="Arial"/>
                <w:sz w:val="18"/>
                <w:szCs w:val="18"/>
              </w:rPr>
              <w:t>/</w:t>
            </w:r>
            <w:r w:rsidRPr="003A176D">
              <w:rPr>
                <w:rFonts w:ascii="Arial" w:hAnsi="Arial" w:cs="Arial"/>
                <w:sz w:val="18"/>
                <w:szCs w:val="18"/>
              </w:rPr>
              <w:t>loss on digital currencies</w:t>
            </w:r>
          </w:p>
        </w:tc>
        <w:tc>
          <w:tcPr>
            <w:tcW w:w="317" w:type="dxa"/>
          </w:tcPr>
          <w:p w14:paraId="39728CEF"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7A958C81" w14:textId="2EFF6325" w:rsidR="007409AD" w:rsidRPr="003A176D" w:rsidRDefault="007409AD" w:rsidP="00EC65B6">
            <w:pPr>
              <w:spacing w:after="0" w:line="240" w:lineRule="auto"/>
              <w:jc w:val="right"/>
              <w:rPr>
                <w:rFonts w:ascii="Arial" w:hAnsi="Arial" w:cs="Arial"/>
                <w:sz w:val="18"/>
                <w:szCs w:val="18"/>
              </w:rPr>
            </w:pPr>
            <w:r w:rsidRPr="003A176D">
              <w:rPr>
                <w:rFonts w:ascii="Arial" w:hAnsi="Arial" w:cs="Arial"/>
                <w:sz w:val="18"/>
                <w:szCs w:val="18"/>
              </w:rPr>
              <w:t>(</w:t>
            </w:r>
            <w:r w:rsidR="008722F0" w:rsidRPr="003A176D">
              <w:rPr>
                <w:rFonts w:ascii="Arial" w:hAnsi="Arial" w:cs="Arial"/>
                <w:sz w:val="18"/>
                <w:szCs w:val="18"/>
              </w:rPr>
              <w:t>19,565</w:t>
            </w:r>
            <w:r w:rsidRPr="003A176D">
              <w:rPr>
                <w:rFonts w:ascii="Arial" w:hAnsi="Arial" w:cs="Arial"/>
                <w:sz w:val="18"/>
                <w:szCs w:val="18"/>
              </w:rPr>
              <w:t>)</w:t>
            </w:r>
          </w:p>
        </w:tc>
        <w:tc>
          <w:tcPr>
            <w:tcW w:w="317" w:type="dxa"/>
          </w:tcPr>
          <w:p w14:paraId="563C2F57"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5DF10DD2" w14:textId="7FEDBB60"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(80,375)</w:t>
            </w:r>
          </w:p>
        </w:tc>
      </w:tr>
      <w:tr w:rsidR="007409AD" w:rsidRPr="003A176D" w14:paraId="60DC52D7" w14:textId="77777777" w:rsidTr="00EC65B6">
        <w:trPr>
          <w:trHeight w:val="202"/>
        </w:trPr>
        <w:tc>
          <w:tcPr>
            <w:tcW w:w="264" w:type="dxa"/>
          </w:tcPr>
          <w:p w14:paraId="3F771D4F"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7CD74444" w14:textId="1E156697"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Share-based payments</w:t>
            </w:r>
          </w:p>
        </w:tc>
        <w:tc>
          <w:tcPr>
            <w:tcW w:w="317" w:type="dxa"/>
          </w:tcPr>
          <w:p w14:paraId="6962DB16"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107BDAE6" w14:textId="69189F4D"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7,173,508</w:t>
            </w:r>
          </w:p>
        </w:tc>
        <w:tc>
          <w:tcPr>
            <w:tcW w:w="317" w:type="dxa"/>
          </w:tcPr>
          <w:p w14:paraId="7A895F5A"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031BE993" w14:textId="21965304" w:rsidR="007409AD"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386,824</w:t>
            </w:r>
          </w:p>
        </w:tc>
      </w:tr>
      <w:tr w:rsidR="0094224A" w:rsidRPr="003A176D" w14:paraId="5DE199B8" w14:textId="77777777" w:rsidTr="00EC65B6">
        <w:trPr>
          <w:trHeight w:val="202"/>
        </w:trPr>
        <w:tc>
          <w:tcPr>
            <w:tcW w:w="264" w:type="dxa"/>
          </w:tcPr>
          <w:p w14:paraId="78167B80" w14:textId="77777777" w:rsidR="0094224A" w:rsidRPr="003A176D" w:rsidRDefault="0094224A" w:rsidP="00EC65B6">
            <w:pPr>
              <w:spacing w:after="0" w:line="240" w:lineRule="auto"/>
              <w:jc w:val="center"/>
              <w:rPr>
                <w:rFonts w:ascii="Arial" w:hAnsi="Arial" w:cs="Arial"/>
                <w:sz w:val="18"/>
                <w:szCs w:val="18"/>
              </w:rPr>
            </w:pPr>
          </w:p>
        </w:tc>
        <w:tc>
          <w:tcPr>
            <w:tcW w:w="5560" w:type="dxa"/>
          </w:tcPr>
          <w:p w14:paraId="118CCC52" w14:textId="1E79D190" w:rsidR="0094224A" w:rsidRPr="003A176D" w:rsidRDefault="0094224A" w:rsidP="00EC65B6">
            <w:pPr>
              <w:spacing w:after="0" w:line="240" w:lineRule="auto"/>
              <w:rPr>
                <w:rFonts w:ascii="Arial" w:hAnsi="Arial" w:cs="Arial"/>
                <w:sz w:val="18"/>
                <w:szCs w:val="18"/>
              </w:rPr>
            </w:pPr>
            <w:r w:rsidRPr="003A176D">
              <w:rPr>
                <w:rFonts w:ascii="Arial" w:hAnsi="Arial" w:cs="Arial"/>
                <w:sz w:val="18"/>
                <w:szCs w:val="18"/>
              </w:rPr>
              <w:t>Shares issued for debt settlement (note 10)</w:t>
            </w:r>
          </w:p>
        </w:tc>
        <w:tc>
          <w:tcPr>
            <w:tcW w:w="317" w:type="dxa"/>
          </w:tcPr>
          <w:p w14:paraId="61873224" w14:textId="77777777" w:rsidR="0094224A" w:rsidRPr="003A176D" w:rsidRDefault="0094224A" w:rsidP="00EC65B6">
            <w:pPr>
              <w:spacing w:after="0" w:line="240" w:lineRule="auto"/>
              <w:jc w:val="center"/>
              <w:rPr>
                <w:rFonts w:ascii="Arial" w:hAnsi="Arial" w:cs="Arial"/>
                <w:sz w:val="18"/>
                <w:szCs w:val="18"/>
              </w:rPr>
            </w:pPr>
          </w:p>
        </w:tc>
        <w:tc>
          <w:tcPr>
            <w:tcW w:w="1970" w:type="dxa"/>
          </w:tcPr>
          <w:p w14:paraId="1A9B6C71" w14:textId="63830B25" w:rsidR="0094224A"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317" w:type="dxa"/>
          </w:tcPr>
          <w:p w14:paraId="579BEAF7" w14:textId="77777777" w:rsidR="0094224A" w:rsidRPr="003A176D" w:rsidRDefault="0094224A" w:rsidP="00EC65B6">
            <w:pPr>
              <w:spacing w:after="0" w:line="240" w:lineRule="auto"/>
              <w:jc w:val="center"/>
              <w:rPr>
                <w:rFonts w:ascii="Arial" w:hAnsi="Arial" w:cs="Arial"/>
                <w:sz w:val="18"/>
                <w:szCs w:val="18"/>
              </w:rPr>
            </w:pPr>
          </w:p>
        </w:tc>
        <w:tc>
          <w:tcPr>
            <w:tcW w:w="1359" w:type="dxa"/>
          </w:tcPr>
          <w:p w14:paraId="1391DD40" w14:textId="3C4E14B4" w:rsidR="0094224A" w:rsidRPr="003A176D" w:rsidRDefault="0094224A" w:rsidP="00EC65B6">
            <w:pPr>
              <w:spacing w:after="0" w:line="240" w:lineRule="auto"/>
              <w:jc w:val="right"/>
              <w:rPr>
                <w:rFonts w:ascii="Arial" w:hAnsi="Arial" w:cs="Arial"/>
                <w:sz w:val="18"/>
                <w:szCs w:val="18"/>
              </w:rPr>
            </w:pPr>
            <w:r w:rsidRPr="003A176D">
              <w:rPr>
                <w:rFonts w:ascii="Arial" w:hAnsi="Arial" w:cs="Arial"/>
                <w:sz w:val="18"/>
                <w:szCs w:val="18"/>
              </w:rPr>
              <w:t>62,501</w:t>
            </w:r>
          </w:p>
        </w:tc>
      </w:tr>
      <w:tr w:rsidR="007409AD" w:rsidRPr="003A176D" w14:paraId="1C848108" w14:textId="77777777" w:rsidTr="00EC65B6">
        <w:trPr>
          <w:trHeight w:val="202"/>
        </w:trPr>
        <w:tc>
          <w:tcPr>
            <w:tcW w:w="264" w:type="dxa"/>
          </w:tcPr>
          <w:p w14:paraId="02EF0E6A"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7F62E2E9" w14:textId="3C7EF1A9" w:rsidR="007409AD" w:rsidRPr="003A176D" w:rsidRDefault="007409AD" w:rsidP="00EC65B6">
            <w:pPr>
              <w:spacing w:after="0" w:line="240" w:lineRule="auto"/>
              <w:rPr>
                <w:rFonts w:ascii="Arial" w:hAnsi="Arial" w:cs="Arial"/>
                <w:sz w:val="18"/>
                <w:szCs w:val="18"/>
              </w:rPr>
            </w:pPr>
          </w:p>
        </w:tc>
        <w:tc>
          <w:tcPr>
            <w:tcW w:w="317" w:type="dxa"/>
          </w:tcPr>
          <w:p w14:paraId="0FA80F91"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3D69D829" w14:textId="77777777" w:rsidR="007409AD" w:rsidRPr="003A176D" w:rsidRDefault="007409AD" w:rsidP="00EC65B6">
            <w:pPr>
              <w:spacing w:after="0" w:line="240" w:lineRule="auto"/>
              <w:jc w:val="right"/>
              <w:rPr>
                <w:rFonts w:ascii="Arial" w:hAnsi="Arial" w:cs="Arial"/>
                <w:sz w:val="18"/>
                <w:szCs w:val="18"/>
              </w:rPr>
            </w:pPr>
          </w:p>
        </w:tc>
        <w:tc>
          <w:tcPr>
            <w:tcW w:w="317" w:type="dxa"/>
          </w:tcPr>
          <w:p w14:paraId="2096765C"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47477C9D"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2C3804B4" w14:textId="77777777" w:rsidTr="00EC65B6">
        <w:trPr>
          <w:trHeight w:val="202"/>
        </w:trPr>
        <w:tc>
          <w:tcPr>
            <w:tcW w:w="5824" w:type="dxa"/>
            <w:gridSpan w:val="2"/>
          </w:tcPr>
          <w:p w14:paraId="34EC2ECB" w14:textId="3581E169"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Changes in non-cash working capital items:</w:t>
            </w:r>
          </w:p>
        </w:tc>
        <w:tc>
          <w:tcPr>
            <w:tcW w:w="317" w:type="dxa"/>
          </w:tcPr>
          <w:p w14:paraId="63CBE21C"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1FAE2723" w14:textId="77777777" w:rsidR="007409AD" w:rsidRPr="003A176D" w:rsidRDefault="007409AD" w:rsidP="00EC65B6">
            <w:pPr>
              <w:spacing w:after="0" w:line="240" w:lineRule="auto"/>
              <w:jc w:val="right"/>
              <w:rPr>
                <w:rFonts w:ascii="Arial" w:hAnsi="Arial" w:cs="Arial"/>
                <w:sz w:val="18"/>
                <w:szCs w:val="18"/>
              </w:rPr>
            </w:pPr>
          </w:p>
        </w:tc>
        <w:tc>
          <w:tcPr>
            <w:tcW w:w="317" w:type="dxa"/>
          </w:tcPr>
          <w:p w14:paraId="772030D2"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28FDD097" w14:textId="77777777" w:rsidR="007409AD" w:rsidRPr="003A176D" w:rsidRDefault="007409AD" w:rsidP="00EC65B6">
            <w:pPr>
              <w:spacing w:after="0" w:line="240" w:lineRule="auto"/>
              <w:jc w:val="right"/>
              <w:rPr>
                <w:rFonts w:ascii="Arial" w:hAnsi="Arial" w:cs="Arial"/>
                <w:sz w:val="18"/>
                <w:szCs w:val="18"/>
              </w:rPr>
            </w:pPr>
          </w:p>
        </w:tc>
      </w:tr>
      <w:tr w:rsidR="002A774E" w:rsidRPr="003A176D" w14:paraId="166C1829" w14:textId="77777777" w:rsidTr="00EC65B6">
        <w:trPr>
          <w:trHeight w:val="202"/>
        </w:trPr>
        <w:tc>
          <w:tcPr>
            <w:tcW w:w="264" w:type="dxa"/>
          </w:tcPr>
          <w:p w14:paraId="4450CB9F" w14:textId="77777777" w:rsidR="002A774E" w:rsidRPr="003A176D" w:rsidRDefault="002A774E" w:rsidP="00EC65B6">
            <w:pPr>
              <w:spacing w:after="0" w:line="240" w:lineRule="auto"/>
              <w:jc w:val="center"/>
              <w:rPr>
                <w:rFonts w:ascii="Arial" w:hAnsi="Arial" w:cs="Arial"/>
                <w:sz w:val="18"/>
                <w:szCs w:val="18"/>
              </w:rPr>
            </w:pPr>
          </w:p>
        </w:tc>
        <w:tc>
          <w:tcPr>
            <w:tcW w:w="5560" w:type="dxa"/>
          </w:tcPr>
          <w:p w14:paraId="6AA05C1D" w14:textId="09DF3AD5" w:rsidR="002A774E" w:rsidRPr="003A176D" w:rsidRDefault="002A774E" w:rsidP="00EC65B6">
            <w:pPr>
              <w:spacing w:after="0" w:line="240" w:lineRule="auto"/>
              <w:rPr>
                <w:rFonts w:ascii="Arial" w:hAnsi="Arial" w:cs="Arial"/>
                <w:sz w:val="18"/>
                <w:szCs w:val="18"/>
              </w:rPr>
            </w:pPr>
            <w:r w:rsidRPr="003A176D">
              <w:rPr>
                <w:rFonts w:ascii="Arial" w:hAnsi="Arial" w:cs="Arial"/>
                <w:sz w:val="18"/>
                <w:szCs w:val="18"/>
              </w:rPr>
              <w:t>Short-term investment</w:t>
            </w:r>
          </w:p>
        </w:tc>
        <w:tc>
          <w:tcPr>
            <w:tcW w:w="317" w:type="dxa"/>
          </w:tcPr>
          <w:p w14:paraId="24FABE12" w14:textId="77777777" w:rsidR="002A774E" w:rsidRPr="003A176D" w:rsidRDefault="002A774E" w:rsidP="00EC65B6">
            <w:pPr>
              <w:spacing w:after="0" w:line="240" w:lineRule="auto"/>
              <w:jc w:val="center"/>
              <w:rPr>
                <w:rFonts w:ascii="Arial" w:hAnsi="Arial" w:cs="Arial"/>
                <w:sz w:val="18"/>
                <w:szCs w:val="18"/>
              </w:rPr>
            </w:pPr>
          </w:p>
        </w:tc>
        <w:tc>
          <w:tcPr>
            <w:tcW w:w="1970" w:type="dxa"/>
          </w:tcPr>
          <w:p w14:paraId="425A83D8" w14:textId="6D1BBCAB" w:rsidR="002A774E"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317" w:type="dxa"/>
          </w:tcPr>
          <w:p w14:paraId="2580BE00" w14:textId="77777777" w:rsidR="002A774E" w:rsidRPr="003A176D" w:rsidRDefault="002A774E" w:rsidP="00EC65B6">
            <w:pPr>
              <w:spacing w:after="0" w:line="240" w:lineRule="auto"/>
              <w:jc w:val="center"/>
              <w:rPr>
                <w:rFonts w:ascii="Arial" w:hAnsi="Arial" w:cs="Arial"/>
                <w:sz w:val="18"/>
                <w:szCs w:val="18"/>
              </w:rPr>
            </w:pPr>
          </w:p>
        </w:tc>
        <w:tc>
          <w:tcPr>
            <w:tcW w:w="1359" w:type="dxa"/>
          </w:tcPr>
          <w:p w14:paraId="5705D93F" w14:textId="001E83D9" w:rsidR="002A774E"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1,000,000</w:t>
            </w:r>
          </w:p>
        </w:tc>
      </w:tr>
      <w:tr w:rsidR="007409AD" w:rsidRPr="003A176D" w14:paraId="2EBA57EC" w14:textId="77777777" w:rsidTr="00EC65B6">
        <w:trPr>
          <w:trHeight w:val="202"/>
        </w:trPr>
        <w:tc>
          <w:tcPr>
            <w:tcW w:w="264" w:type="dxa"/>
          </w:tcPr>
          <w:p w14:paraId="7E30F8D1"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37C65A9E" w14:textId="48A54019"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Accounts receivable</w:t>
            </w:r>
          </w:p>
        </w:tc>
        <w:tc>
          <w:tcPr>
            <w:tcW w:w="317" w:type="dxa"/>
          </w:tcPr>
          <w:p w14:paraId="4F8F406E"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45A79E6B" w14:textId="62087F61"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242,901</w:t>
            </w:r>
          </w:p>
        </w:tc>
        <w:tc>
          <w:tcPr>
            <w:tcW w:w="317" w:type="dxa"/>
          </w:tcPr>
          <w:p w14:paraId="4A753C46"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0E961543" w14:textId="50488589" w:rsidR="007409AD"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(44,788)</w:t>
            </w:r>
          </w:p>
        </w:tc>
      </w:tr>
      <w:tr w:rsidR="007409AD" w:rsidRPr="003A176D" w14:paraId="1A5A4EB4" w14:textId="77777777" w:rsidTr="00EC65B6">
        <w:trPr>
          <w:trHeight w:val="202"/>
        </w:trPr>
        <w:tc>
          <w:tcPr>
            <w:tcW w:w="264" w:type="dxa"/>
          </w:tcPr>
          <w:p w14:paraId="3DCBD57F"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4FCA3E08" w14:textId="0698E703"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Prepaid expenses and deposits</w:t>
            </w:r>
          </w:p>
        </w:tc>
        <w:tc>
          <w:tcPr>
            <w:tcW w:w="317" w:type="dxa"/>
          </w:tcPr>
          <w:p w14:paraId="1CBA8B08"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3B746861" w14:textId="1EE9DEEA"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(1,204,029)</w:t>
            </w:r>
          </w:p>
        </w:tc>
        <w:tc>
          <w:tcPr>
            <w:tcW w:w="317" w:type="dxa"/>
          </w:tcPr>
          <w:p w14:paraId="7BD52D19"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3C300C72" w14:textId="5A40178A" w:rsidR="007409AD"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156,919</w:t>
            </w:r>
          </w:p>
        </w:tc>
      </w:tr>
      <w:tr w:rsidR="007409AD" w:rsidRPr="003A176D" w14:paraId="6D7B1B9B" w14:textId="77777777" w:rsidTr="00EC65B6">
        <w:trPr>
          <w:trHeight w:val="202"/>
        </w:trPr>
        <w:tc>
          <w:tcPr>
            <w:tcW w:w="264" w:type="dxa"/>
            <w:tcBorders>
              <w:bottom w:val="single" w:sz="4" w:space="0" w:color="auto"/>
            </w:tcBorders>
          </w:tcPr>
          <w:p w14:paraId="158A0857" w14:textId="77777777" w:rsidR="007409AD" w:rsidRPr="003A176D" w:rsidRDefault="007409AD" w:rsidP="00EC65B6">
            <w:pPr>
              <w:spacing w:after="0" w:line="240" w:lineRule="auto"/>
              <w:jc w:val="center"/>
              <w:rPr>
                <w:rFonts w:ascii="Arial" w:hAnsi="Arial" w:cs="Arial"/>
                <w:sz w:val="18"/>
                <w:szCs w:val="18"/>
              </w:rPr>
            </w:pPr>
          </w:p>
        </w:tc>
        <w:tc>
          <w:tcPr>
            <w:tcW w:w="5560" w:type="dxa"/>
            <w:tcBorders>
              <w:bottom w:val="single" w:sz="4" w:space="0" w:color="auto"/>
            </w:tcBorders>
          </w:tcPr>
          <w:p w14:paraId="6B6EA6E1" w14:textId="32E30F18"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Accounts payable</w:t>
            </w:r>
          </w:p>
        </w:tc>
        <w:tc>
          <w:tcPr>
            <w:tcW w:w="317" w:type="dxa"/>
            <w:tcBorders>
              <w:bottom w:val="single" w:sz="4" w:space="0" w:color="auto"/>
            </w:tcBorders>
          </w:tcPr>
          <w:p w14:paraId="0F04E533" w14:textId="77777777" w:rsidR="007409AD" w:rsidRPr="003A176D" w:rsidRDefault="007409AD" w:rsidP="00EC65B6">
            <w:pPr>
              <w:spacing w:after="0" w:line="240" w:lineRule="auto"/>
              <w:jc w:val="center"/>
              <w:rPr>
                <w:rFonts w:ascii="Arial" w:hAnsi="Arial" w:cs="Arial"/>
                <w:sz w:val="18"/>
                <w:szCs w:val="18"/>
              </w:rPr>
            </w:pPr>
          </w:p>
        </w:tc>
        <w:tc>
          <w:tcPr>
            <w:tcW w:w="1970" w:type="dxa"/>
            <w:tcBorders>
              <w:bottom w:val="single" w:sz="4" w:space="0" w:color="auto"/>
            </w:tcBorders>
          </w:tcPr>
          <w:p w14:paraId="49D998E3" w14:textId="69E79145"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341,535</w:t>
            </w:r>
          </w:p>
        </w:tc>
        <w:tc>
          <w:tcPr>
            <w:tcW w:w="317" w:type="dxa"/>
            <w:tcBorders>
              <w:bottom w:val="single" w:sz="4" w:space="0" w:color="auto"/>
            </w:tcBorders>
          </w:tcPr>
          <w:p w14:paraId="3BCB219E" w14:textId="77777777" w:rsidR="007409AD" w:rsidRPr="003A176D" w:rsidRDefault="007409AD" w:rsidP="00EC65B6">
            <w:pPr>
              <w:spacing w:after="0" w:line="240" w:lineRule="auto"/>
              <w:jc w:val="center"/>
              <w:rPr>
                <w:rFonts w:ascii="Arial" w:hAnsi="Arial" w:cs="Arial"/>
                <w:sz w:val="18"/>
                <w:szCs w:val="18"/>
              </w:rPr>
            </w:pPr>
          </w:p>
        </w:tc>
        <w:tc>
          <w:tcPr>
            <w:tcW w:w="1359" w:type="dxa"/>
            <w:tcBorders>
              <w:bottom w:val="single" w:sz="4" w:space="0" w:color="auto"/>
            </w:tcBorders>
          </w:tcPr>
          <w:p w14:paraId="7AD58C7A" w14:textId="6550B974" w:rsidR="007409AD"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(88,457)</w:t>
            </w:r>
          </w:p>
        </w:tc>
      </w:tr>
      <w:tr w:rsidR="007409AD" w:rsidRPr="003A176D" w14:paraId="726C6774" w14:textId="77777777" w:rsidTr="00EC65B6">
        <w:trPr>
          <w:trHeight w:val="202"/>
        </w:trPr>
        <w:tc>
          <w:tcPr>
            <w:tcW w:w="5824" w:type="dxa"/>
            <w:gridSpan w:val="2"/>
            <w:tcBorders>
              <w:top w:val="single" w:sz="4" w:space="0" w:color="auto"/>
              <w:bottom w:val="single" w:sz="4" w:space="0" w:color="auto"/>
            </w:tcBorders>
          </w:tcPr>
          <w:p w14:paraId="50B9EF2C" w14:textId="0DCC6254"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Net cash flows used in operating activities</w:t>
            </w:r>
          </w:p>
        </w:tc>
        <w:tc>
          <w:tcPr>
            <w:tcW w:w="317" w:type="dxa"/>
            <w:tcBorders>
              <w:top w:val="single" w:sz="4" w:space="0" w:color="auto"/>
              <w:bottom w:val="single" w:sz="4" w:space="0" w:color="auto"/>
            </w:tcBorders>
          </w:tcPr>
          <w:p w14:paraId="081939F6" w14:textId="77777777" w:rsidR="007409AD" w:rsidRPr="003A176D" w:rsidRDefault="007409AD" w:rsidP="00EC65B6">
            <w:pPr>
              <w:spacing w:after="0" w:line="240" w:lineRule="auto"/>
              <w:jc w:val="center"/>
              <w:rPr>
                <w:rFonts w:ascii="Arial" w:hAnsi="Arial" w:cs="Arial"/>
                <w:b/>
                <w:bCs/>
                <w:sz w:val="18"/>
                <w:szCs w:val="18"/>
              </w:rPr>
            </w:pPr>
          </w:p>
        </w:tc>
        <w:tc>
          <w:tcPr>
            <w:tcW w:w="1970" w:type="dxa"/>
            <w:tcBorders>
              <w:top w:val="single" w:sz="4" w:space="0" w:color="auto"/>
              <w:bottom w:val="single" w:sz="4" w:space="0" w:color="auto"/>
            </w:tcBorders>
          </w:tcPr>
          <w:p w14:paraId="4AD15713" w14:textId="17C62C09" w:rsidR="007409AD" w:rsidRPr="003A176D" w:rsidRDefault="007409AD" w:rsidP="00EC65B6">
            <w:pPr>
              <w:spacing w:after="0" w:line="240" w:lineRule="auto"/>
              <w:jc w:val="right"/>
              <w:rPr>
                <w:rFonts w:ascii="Arial" w:hAnsi="Arial" w:cs="Arial"/>
                <w:b/>
                <w:bCs/>
                <w:sz w:val="18"/>
                <w:szCs w:val="18"/>
              </w:rPr>
            </w:pPr>
            <w:r w:rsidRPr="003A176D">
              <w:rPr>
                <w:rFonts w:ascii="Arial" w:hAnsi="Arial" w:cs="Arial"/>
                <w:b/>
                <w:bCs/>
                <w:sz w:val="18"/>
                <w:szCs w:val="18"/>
              </w:rPr>
              <w:t>(</w:t>
            </w:r>
            <w:r w:rsidR="008722F0" w:rsidRPr="003A176D">
              <w:rPr>
                <w:rFonts w:ascii="Arial" w:hAnsi="Arial" w:cs="Arial"/>
                <w:b/>
                <w:bCs/>
                <w:sz w:val="18"/>
                <w:szCs w:val="18"/>
              </w:rPr>
              <w:t>2,589,106)</w:t>
            </w:r>
          </w:p>
        </w:tc>
        <w:tc>
          <w:tcPr>
            <w:tcW w:w="317" w:type="dxa"/>
            <w:tcBorders>
              <w:top w:val="single" w:sz="4" w:space="0" w:color="auto"/>
              <w:bottom w:val="single" w:sz="4" w:space="0" w:color="auto"/>
            </w:tcBorders>
          </w:tcPr>
          <w:p w14:paraId="5C066365" w14:textId="77777777" w:rsidR="007409AD" w:rsidRPr="003A176D" w:rsidRDefault="007409AD" w:rsidP="00EC65B6">
            <w:pPr>
              <w:spacing w:after="0" w:line="240" w:lineRule="auto"/>
              <w:jc w:val="center"/>
              <w:rPr>
                <w:rFonts w:ascii="Arial" w:hAnsi="Arial" w:cs="Arial"/>
                <w:b/>
                <w:bCs/>
                <w:sz w:val="18"/>
                <w:szCs w:val="18"/>
              </w:rPr>
            </w:pPr>
          </w:p>
        </w:tc>
        <w:tc>
          <w:tcPr>
            <w:tcW w:w="1359" w:type="dxa"/>
            <w:tcBorders>
              <w:top w:val="single" w:sz="4" w:space="0" w:color="auto"/>
              <w:bottom w:val="single" w:sz="4" w:space="0" w:color="auto"/>
            </w:tcBorders>
          </w:tcPr>
          <w:p w14:paraId="7C1FFE51" w14:textId="33E608AC" w:rsidR="007409AD" w:rsidRPr="003A176D" w:rsidRDefault="00E943FE" w:rsidP="00EC65B6">
            <w:pPr>
              <w:spacing w:after="0" w:line="240" w:lineRule="auto"/>
              <w:jc w:val="right"/>
              <w:rPr>
                <w:rFonts w:ascii="Arial" w:hAnsi="Arial" w:cs="Arial"/>
                <w:sz w:val="18"/>
                <w:szCs w:val="18"/>
              </w:rPr>
            </w:pPr>
            <w:r w:rsidRPr="003A176D">
              <w:rPr>
                <w:rFonts w:ascii="Arial" w:hAnsi="Arial" w:cs="Arial"/>
                <w:sz w:val="18"/>
                <w:szCs w:val="18"/>
              </w:rPr>
              <w:t>(</w:t>
            </w:r>
            <w:r w:rsidR="002A774E" w:rsidRPr="003A176D">
              <w:rPr>
                <w:rFonts w:ascii="Arial" w:hAnsi="Arial" w:cs="Arial"/>
                <w:sz w:val="18"/>
                <w:szCs w:val="18"/>
              </w:rPr>
              <w:t>163,590)</w:t>
            </w:r>
          </w:p>
        </w:tc>
      </w:tr>
      <w:tr w:rsidR="007409AD" w:rsidRPr="003A176D" w14:paraId="08B6B323" w14:textId="77777777" w:rsidTr="00EC65B6">
        <w:trPr>
          <w:trHeight w:val="202"/>
        </w:trPr>
        <w:tc>
          <w:tcPr>
            <w:tcW w:w="264" w:type="dxa"/>
            <w:tcBorders>
              <w:top w:val="single" w:sz="4" w:space="0" w:color="auto"/>
            </w:tcBorders>
          </w:tcPr>
          <w:p w14:paraId="43C9BB0F" w14:textId="77777777" w:rsidR="007409AD" w:rsidRPr="003A176D" w:rsidRDefault="007409AD" w:rsidP="00EC65B6">
            <w:pPr>
              <w:spacing w:after="0" w:line="240" w:lineRule="auto"/>
              <w:jc w:val="center"/>
              <w:rPr>
                <w:rFonts w:ascii="Arial" w:hAnsi="Arial" w:cs="Arial"/>
                <w:sz w:val="18"/>
                <w:szCs w:val="18"/>
              </w:rPr>
            </w:pPr>
          </w:p>
        </w:tc>
        <w:tc>
          <w:tcPr>
            <w:tcW w:w="5560" w:type="dxa"/>
            <w:tcBorders>
              <w:top w:val="single" w:sz="4" w:space="0" w:color="auto"/>
            </w:tcBorders>
          </w:tcPr>
          <w:p w14:paraId="2D1A1A46" w14:textId="77777777" w:rsidR="007409AD" w:rsidRPr="003A176D" w:rsidRDefault="007409AD" w:rsidP="00EC65B6">
            <w:pPr>
              <w:spacing w:after="0" w:line="240" w:lineRule="auto"/>
              <w:rPr>
                <w:rFonts w:ascii="Arial" w:hAnsi="Arial" w:cs="Arial"/>
                <w:sz w:val="18"/>
                <w:szCs w:val="18"/>
              </w:rPr>
            </w:pPr>
          </w:p>
        </w:tc>
        <w:tc>
          <w:tcPr>
            <w:tcW w:w="317" w:type="dxa"/>
            <w:tcBorders>
              <w:top w:val="single" w:sz="4" w:space="0" w:color="auto"/>
            </w:tcBorders>
          </w:tcPr>
          <w:p w14:paraId="5D6EB184" w14:textId="77777777" w:rsidR="007409AD" w:rsidRPr="003A176D" w:rsidRDefault="007409AD" w:rsidP="00EC65B6">
            <w:pPr>
              <w:spacing w:after="0" w:line="240" w:lineRule="auto"/>
              <w:jc w:val="center"/>
              <w:rPr>
                <w:rFonts w:ascii="Arial" w:hAnsi="Arial" w:cs="Arial"/>
                <w:sz w:val="18"/>
                <w:szCs w:val="18"/>
              </w:rPr>
            </w:pPr>
          </w:p>
        </w:tc>
        <w:tc>
          <w:tcPr>
            <w:tcW w:w="1970" w:type="dxa"/>
            <w:tcBorders>
              <w:top w:val="single" w:sz="4" w:space="0" w:color="auto"/>
            </w:tcBorders>
          </w:tcPr>
          <w:p w14:paraId="7A9CF6BB" w14:textId="77777777" w:rsidR="007409AD" w:rsidRPr="003A176D" w:rsidRDefault="007409AD" w:rsidP="00EC65B6">
            <w:pPr>
              <w:spacing w:after="0" w:line="240" w:lineRule="auto"/>
              <w:jc w:val="right"/>
              <w:rPr>
                <w:rFonts w:ascii="Arial" w:hAnsi="Arial" w:cs="Arial"/>
                <w:sz w:val="18"/>
                <w:szCs w:val="18"/>
              </w:rPr>
            </w:pPr>
          </w:p>
        </w:tc>
        <w:tc>
          <w:tcPr>
            <w:tcW w:w="317" w:type="dxa"/>
            <w:tcBorders>
              <w:top w:val="single" w:sz="4" w:space="0" w:color="auto"/>
            </w:tcBorders>
          </w:tcPr>
          <w:p w14:paraId="72B265B5" w14:textId="77777777" w:rsidR="007409AD" w:rsidRPr="003A176D" w:rsidRDefault="007409AD" w:rsidP="00EC65B6">
            <w:pPr>
              <w:spacing w:after="0" w:line="240" w:lineRule="auto"/>
              <w:jc w:val="center"/>
              <w:rPr>
                <w:rFonts w:ascii="Arial" w:hAnsi="Arial" w:cs="Arial"/>
                <w:sz w:val="18"/>
                <w:szCs w:val="18"/>
              </w:rPr>
            </w:pPr>
          </w:p>
        </w:tc>
        <w:tc>
          <w:tcPr>
            <w:tcW w:w="1359" w:type="dxa"/>
            <w:tcBorders>
              <w:top w:val="single" w:sz="4" w:space="0" w:color="auto"/>
            </w:tcBorders>
          </w:tcPr>
          <w:p w14:paraId="40F4C1AC"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326D6FDD" w14:textId="77777777" w:rsidTr="00EC65B6">
        <w:trPr>
          <w:trHeight w:val="202"/>
        </w:trPr>
        <w:tc>
          <w:tcPr>
            <w:tcW w:w="5824" w:type="dxa"/>
            <w:gridSpan w:val="2"/>
          </w:tcPr>
          <w:p w14:paraId="010BBBD7" w14:textId="19AB5C31"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Investing activities</w:t>
            </w:r>
          </w:p>
        </w:tc>
        <w:tc>
          <w:tcPr>
            <w:tcW w:w="317" w:type="dxa"/>
            <w:tcBorders>
              <w:left w:val="nil"/>
            </w:tcBorders>
          </w:tcPr>
          <w:p w14:paraId="3A31CF0B" w14:textId="77777777" w:rsidR="007409AD" w:rsidRPr="003A176D" w:rsidRDefault="007409AD" w:rsidP="00EC65B6">
            <w:pPr>
              <w:spacing w:after="0" w:line="240" w:lineRule="auto"/>
              <w:jc w:val="center"/>
              <w:rPr>
                <w:rFonts w:ascii="Arial" w:hAnsi="Arial" w:cs="Arial"/>
                <w:b/>
                <w:bCs/>
                <w:sz w:val="18"/>
                <w:szCs w:val="18"/>
              </w:rPr>
            </w:pPr>
          </w:p>
        </w:tc>
        <w:tc>
          <w:tcPr>
            <w:tcW w:w="1970" w:type="dxa"/>
          </w:tcPr>
          <w:p w14:paraId="23E0ABB8" w14:textId="77777777" w:rsidR="007409AD" w:rsidRPr="003A176D" w:rsidRDefault="007409AD" w:rsidP="00EC65B6">
            <w:pPr>
              <w:spacing w:after="0" w:line="240" w:lineRule="auto"/>
              <w:jc w:val="right"/>
              <w:rPr>
                <w:rFonts w:ascii="Arial" w:hAnsi="Arial" w:cs="Arial"/>
                <w:sz w:val="18"/>
                <w:szCs w:val="18"/>
              </w:rPr>
            </w:pPr>
          </w:p>
        </w:tc>
        <w:tc>
          <w:tcPr>
            <w:tcW w:w="317" w:type="dxa"/>
          </w:tcPr>
          <w:p w14:paraId="7D288529" w14:textId="77777777" w:rsidR="007409AD" w:rsidRPr="003A176D" w:rsidRDefault="007409AD" w:rsidP="00EC65B6">
            <w:pPr>
              <w:spacing w:after="0" w:line="240" w:lineRule="auto"/>
              <w:jc w:val="center"/>
              <w:rPr>
                <w:rFonts w:ascii="Arial" w:hAnsi="Arial" w:cs="Arial"/>
                <w:b/>
                <w:bCs/>
                <w:sz w:val="18"/>
                <w:szCs w:val="18"/>
              </w:rPr>
            </w:pPr>
          </w:p>
        </w:tc>
        <w:tc>
          <w:tcPr>
            <w:tcW w:w="1359" w:type="dxa"/>
          </w:tcPr>
          <w:p w14:paraId="16897580"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1C11E9F6" w14:textId="77777777" w:rsidTr="00EC65B6">
        <w:trPr>
          <w:trHeight w:val="202"/>
        </w:trPr>
        <w:tc>
          <w:tcPr>
            <w:tcW w:w="264" w:type="dxa"/>
          </w:tcPr>
          <w:p w14:paraId="2B694C40" w14:textId="77777777" w:rsidR="007409AD" w:rsidRPr="003A176D" w:rsidRDefault="007409AD" w:rsidP="00EC65B6">
            <w:pPr>
              <w:spacing w:after="0" w:line="240" w:lineRule="auto"/>
              <w:jc w:val="center"/>
              <w:rPr>
                <w:rFonts w:ascii="Arial" w:hAnsi="Arial" w:cs="Arial"/>
                <w:sz w:val="18"/>
                <w:szCs w:val="18"/>
              </w:rPr>
            </w:pPr>
          </w:p>
        </w:tc>
        <w:tc>
          <w:tcPr>
            <w:tcW w:w="5560" w:type="dxa"/>
          </w:tcPr>
          <w:p w14:paraId="019EFA5C" w14:textId="4C9F31F2"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Advances paid</w:t>
            </w:r>
          </w:p>
        </w:tc>
        <w:tc>
          <w:tcPr>
            <w:tcW w:w="317" w:type="dxa"/>
          </w:tcPr>
          <w:p w14:paraId="4AF75D5C" w14:textId="77777777" w:rsidR="007409AD" w:rsidRPr="003A176D" w:rsidRDefault="007409AD" w:rsidP="00EC65B6">
            <w:pPr>
              <w:spacing w:after="0" w:line="240" w:lineRule="auto"/>
              <w:jc w:val="center"/>
              <w:rPr>
                <w:rFonts w:ascii="Arial" w:hAnsi="Arial" w:cs="Arial"/>
                <w:sz w:val="18"/>
                <w:szCs w:val="18"/>
              </w:rPr>
            </w:pPr>
          </w:p>
        </w:tc>
        <w:tc>
          <w:tcPr>
            <w:tcW w:w="1970" w:type="dxa"/>
          </w:tcPr>
          <w:p w14:paraId="0EC56645" w14:textId="18A0A7FF" w:rsidR="007409AD"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317" w:type="dxa"/>
          </w:tcPr>
          <w:p w14:paraId="45F12DD2" w14:textId="77777777" w:rsidR="007409AD" w:rsidRPr="003A176D" w:rsidRDefault="007409AD" w:rsidP="00EC65B6">
            <w:pPr>
              <w:spacing w:after="0" w:line="240" w:lineRule="auto"/>
              <w:jc w:val="center"/>
              <w:rPr>
                <w:rFonts w:ascii="Arial" w:hAnsi="Arial" w:cs="Arial"/>
                <w:sz w:val="18"/>
                <w:szCs w:val="18"/>
              </w:rPr>
            </w:pPr>
          </w:p>
        </w:tc>
        <w:tc>
          <w:tcPr>
            <w:tcW w:w="1359" w:type="dxa"/>
          </w:tcPr>
          <w:p w14:paraId="5077B970" w14:textId="4CC5980C" w:rsidR="007409AD"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(12,500)</w:t>
            </w:r>
          </w:p>
        </w:tc>
      </w:tr>
      <w:tr w:rsidR="0029481C" w:rsidRPr="003A176D" w14:paraId="75D8DF54" w14:textId="77777777" w:rsidTr="00EC65B6">
        <w:trPr>
          <w:trHeight w:val="202"/>
        </w:trPr>
        <w:tc>
          <w:tcPr>
            <w:tcW w:w="264" w:type="dxa"/>
          </w:tcPr>
          <w:p w14:paraId="441F3649" w14:textId="77777777" w:rsidR="0029481C" w:rsidRPr="003A176D" w:rsidRDefault="0029481C" w:rsidP="00EC65B6">
            <w:pPr>
              <w:spacing w:after="0" w:line="240" w:lineRule="auto"/>
              <w:jc w:val="center"/>
              <w:rPr>
                <w:rFonts w:ascii="Arial" w:hAnsi="Arial" w:cs="Arial"/>
                <w:sz w:val="18"/>
                <w:szCs w:val="18"/>
              </w:rPr>
            </w:pPr>
          </w:p>
        </w:tc>
        <w:tc>
          <w:tcPr>
            <w:tcW w:w="5560" w:type="dxa"/>
          </w:tcPr>
          <w:p w14:paraId="7C726AC1" w14:textId="34B4E0DF" w:rsidR="0029481C" w:rsidRPr="003A176D" w:rsidRDefault="0029481C" w:rsidP="00EC65B6">
            <w:pPr>
              <w:spacing w:after="0" w:line="240" w:lineRule="auto"/>
              <w:rPr>
                <w:rFonts w:ascii="Arial" w:hAnsi="Arial" w:cs="Arial"/>
                <w:sz w:val="18"/>
                <w:szCs w:val="18"/>
              </w:rPr>
            </w:pPr>
            <w:r w:rsidRPr="003A176D">
              <w:rPr>
                <w:rFonts w:ascii="Arial" w:hAnsi="Arial" w:cs="Arial"/>
                <w:sz w:val="18"/>
                <w:szCs w:val="18"/>
              </w:rPr>
              <w:t>Sale of digital currencies</w:t>
            </w:r>
          </w:p>
        </w:tc>
        <w:tc>
          <w:tcPr>
            <w:tcW w:w="317" w:type="dxa"/>
          </w:tcPr>
          <w:p w14:paraId="4C765EF4" w14:textId="77777777" w:rsidR="0029481C" w:rsidRPr="003A176D" w:rsidRDefault="0029481C" w:rsidP="00EC65B6">
            <w:pPr>
              <w:spacing w:after="0" w:line="240" w:lineRule="auto"/>
              <w:jc w:val="center"/>
              <w:rPr>
                <w:rFonts w:ascii="Arial" w:hAnsi="Arial" w:cs="Arial"/>
                <w:sz w:val="18"/>
                <w:szCs w:val="18"/>
              </w:rPr>
            </w:pPr>
          </w:p>
        </w:tc>
        <w:tc>
          <w:tcPr>
            <w:tcW w:w="1970" w:type="dxa"/>
          </w:tcPr>
          <w:p w14:paraId="7425A5C2" w14:textId="05BB05B0" w:rsidR="0029481C"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55,100</w:t>
            </w:r>
          </w:p>
        </w:tc>
        <w:tc>
          <w:tcPr>
            <w:tcW w:w="317" w:type="dxa"/>
          </w:tcPr>
          <w:p w14:paraId="6354EBA0" w14:textId="77777777" w:rsidR="0029481C" w:rsidRPr="003A176D" w:rsidRDefault="0029481C" w:rsidP="00EC65B6">
            <w:pPr>
              <w:spacing w:after="0" w:line="240" w:lineRule="auto"/>
              <w:jc w:val="center"/>
              <w:rPr>
                <w:rFonts w:ascii="Arial" w:hAnsi="Arial" w:cs="Arial"/>
                <w:sz w:val="18"/>
                <w:szCs w:val="18"/>
              </w:rPr>
            </w:pPr>
          </w:p>
        </w:tc>
        <w:tc>
          <w:tcPr>
            <w:tcW w:w="1359" w:type="dxa"/>
          </w:tcPr>
          <w:p w14:paraId="4BE0458C" w14:textId="2F721927" w:rsidR="0029481C"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7409AD" w:rsidRPr="003A176D" w14:paraId="216F051D" w14:textId="77777777" w:rsidTr="00EC65B6">
        <w:trPr>
          <w:trHeight w:val="202"/>
        </w:trPr>
        <w:tc>
          <w:tcPr>
            <w:tcW w:w="264" w:type="dxa"/>
            <w:tcBorders>
              <w:bottom w:val="single" w:sz="4" w:space="0" w:color="auto"/>
            </w:tcBorders>
          </w:tcPr>
          <w:p w14:paraId="13EADEF7" w14:textId="77777777" w:rsidR="007409AD" w:rsidRPr="003A176D" w:rsidRDefault="007409AD" w:rsidP="00EC65B6">
            <w:pPr>
              <w:spacing w:after="0" w:line="240" w:lineRule="auto"/>
              <w:jc w:val="center"/>
              <w:rPr>
                <w:rFonts w:ascii="Arial" w:hAnsi="Arial" w:cs="Arial"/>
                <w:sz w:val="18"/>
                <w:szCs w:val="18"/>
              </w:rPr>
            </w:pPr>
          </w:p>
        </w:tc>
        <w:tc>
          <w:tcPr>
            <w:tcW w:w="5560" w:type="dxa"/>
            <w:tcBorders>
              <w:bottom w:val="single" w:sz="4" w:space="0" w:color="auto"/>
            </w:tcBorders>
          </w:tcPr>
          <w:p w14:paraId="3478612E" w14:textId="0562C0D3"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Purchase of property and equipment</w:t>
            </w:r>
          </w:p>
        </w:tc>
        <w:tc>
          <w:tcPr>
            <w:tcW w:w="317" w:type="dxa"/>
            <w:tcBorders>
              <w:bottom w:val="single" w:sz="4" w:space="0" w:color="auto"/>
            </w:tcBorders>
          </w:tcPr>
          <w:p w14:paraId="0934E513" w14:textId="77777777" w:rsidR="007409AD" w:rsidRPr="003A176D" w:rsidRDefault="007409AD" w:rsidP="00EC65B6">
            <w:pPr>
              <w:spacing w:after="0" w:line="240" w:lineRule="auto"/>
              <w:jc w:val="center"/>
              <w:rPr>
                <w:rFonts w:ascii="Arial" w:hAnsi="Arial" w:cs="Arial"/>
                <w:sz w:val="18"/>
                <w:szCs w:val="18"/>
              </w:rPr>
            </w:pPr>
          </w:p>
        </w:tc>
        <w:tc>
          <w:tcPr>
            <w:tcW w:w="1970" w:type="dxa"/>
            <w:tcBorders>
              <w:bottom w:val="single" w:sz="4" w:space="0" w:color="auto"/>
            </w:tcBorders>
          </w:tcPr>
          <w:p w14:paraId="4D44C8B1" w14:textId="7D0D8BB6" w:rsidR="007409AD" w:rsidRPr="003A176D" w:rsidRDefault="007409AD"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317" w:type="dxa"/>
            <w:tcBorders>
              <w:bottom w:val="single" w:sz="4" w:space="0" w:color="auto"/>
            </w:tcBorders>
          </w:tcPr>
          <w:p w14:paraId="62D41061" w14:textId="77777777" w:rsidR="007409AD" w:rsidRPr="003A176D" w:rsidRDefault="007409AD" w:rsidP="00EC65B6">
            <w:pPr>
              <w:spacing w:after="0" w:line="240" w:lineRule="auto"/>
              <w:jc w:val="center"/>
              <w:rPr>
                <w:rFonts w:ascii="Arial" w:hAnsi="Arial" w:cs="Arial"/>
                <w:sz w:val="18"/>
                <w:szCs w:val="18"/>
              </w:rPr>
            </w:pPr>
          </w:p>
        </w:tc>
        <w:tc>
          <w:tcPr>
            <w:tcW w:w="1359" w:type="dxa"/>
            <w:tcBorders>
              <w:bottom w:val="single" w:sz="4" w:space="0" w:color="auto"/>
            </w:tcBorders>
          </w:tcPr>
          <w:p w14:paraId="7C855085" w14:textId="3999EF6B" w:rsidR="007409AD"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7409AD" w:rsidRPr="003A176D" w14:paraId="33DA9AE9" w14:textId="77777777" w:rsidTr="00EC65B6">
        <w:trPr>
          <w:trHeight w:val="202"/>
        </w:trPr>
        <w:tc>
          <w:tcPr>
            <w:tcW w:w="5824" w:type="dxa"/>
            <w:gridSpan w:val="2"/>
            <w:tcBorders>
              <w:top w:val="single" w:sz="4" w:space="0" w:color="auto"/>
              <w:bottom w:val="single" w:sz="4" w:space="0" w:color="auto"/>
            </w:tcBorders>
          </w:tcPr>
          <w:p w14:paraId="6E54DA8C" w14:textId="0E794492"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Net cash flows used in investing activities</w:t>
            </w:r>
          </w:p>
        </w:tc>
        <w:tc>
          <w:tcPr>
            <w:tcW w:w="317" w:type="dxa"/>
            <w:tcBorders>
              <w:top w:val="single" w:sz="4" w:space="0" w:color="auto"/>
              <w:bottom w:val="single" w:sz="4" w:space="0" w:color="auto"/>
            </w:tcBorders>
          </w:tcPr>
          <w:p w14:paraId="485117EF" w14:textId="77777777" w:rsidR="007409AD" w:rsidRPr="003A176D" w:rsidRDefault="007409AD" w:rsidP="00EC65B6">
            <w:pPr>
              <w:spacing w:after="0" w:line="240" w:lineRule="auto"/>
              <w:jc w:val="center"/>
              <w:rPr>
                <w:rFonts w:ascii="Arial" w:hAnsi="Arial" w:cs="Arial"/>
                <w:b/>
                <w:bCs/>
                <w:sz w:val="18"/>
                <w:szCs w:val="18"/>
              </w:rPr>
            </w:pPr>
          </w:p>
        </w:tc>
        <w:tc>
          <w:tcPr>
            <w:tcW w:w="1970" w:type="dxa"/>
            <w:tcBorders>
              <w:top w:val="single" w:sz="4" w:space="0" w:color="auto"/>
              <w:bottom w:val="single" w:sz="4" w:space="0" w:color="auto"/>
            </w:tcBorders>
          </w:tcPr>
          <w:p w14:paraId="6A0FF507" w14:textId="4320587F" w:rsidR="007409AD" w:rsidRPr="003A176D" w:rsidRDefault="0029481C" w:rsidP="00EC65B6">
            <w:pPr>
              <w:spacing w:after="0" w:line="240" w:lineRule="auto"/>
              <w:jc w:val="right"/>
              <w:rPr>
                <w:rFonts w:ascii="Arial" w:hAnsi="Arial" w:cs="Arial"/>
                <w:b/>
                <w:bCs/>
                <w:sz w:val="18"/>
                <w:szCs w:val="18"/>
              </w:rPr>
            </w:pPr>
            <w:r w:rsidRPr="003A176D">
              <w:rPr>
                <w:rFonts w:ascii="Arial" w:hAnsi="Arial" w:cs="Arial"/>
                <w:b/>
                <w:bCs/>
                <w:sz w:val="18"/>
                <w:szCs w:val="18"/>
              </w:rPr>
              <w:t>55,100</w:t>
            </w:r>
          </w:p>
        </w:tc>
        <w:tc>
          <w:tcPr>
            <w:tcW w:w="317" w:type="dxa"/>
            <w:tcBorders>
              <w:top w:val="single" w:sz="4" w:space="0" w:color="auto"/>
              <w:bottom w:val="single" w:sz="4" w:space="0" w:color="auto"/>
            </w:tcBorders>
          </w:tcPr>
          <w:p w14:paraId="0137F925" w14:textId="77777777" w:rsidR="007409AD" w:rsidRPr="003A176D" w:rsidRDefault="007409AD" w:rsidP="00EC65B6">
            <w:pPr>
              <w:spacing w:after="0" w:line="240" w:lineRule="auto"/>
              <w:jc w:val="center"/>
              <w:rPr>
                <w:rFonts w:ascii="Arial" w:hAnsi="Arial" w:cs="Arial"/>
                <w:b/>
                <w:bCs/>
                <w:sz w:val="18"/>
                <w:szCs w:val="18"/>
              </w:rPr>
            </w:pPr>
          </w:p>
        </w:tc>
        <w:tc>
          <w:tcPr>
            <w:tcW w:w="1359" w:type="dxa"/>
            <w:tcBorders>
              <w:top w:val="single" w:sz="4" w:space="0" w:color="auto"/>
              <w:bottom w:val="single" w:sz="4" w:space="0" w:color="auto"/>
            </w:tcBorders>
          </w:tcPr>
          <w:p w14:paraId="5B5DAD9F" w14:textId="5AE1A490" w:rsidR="007409AD" w:rsidRPr="003A176D" w:rsidRDefault="00E943FE" w:rsidP="00EC65B6">
            <w:pPr>
              <w:spacing w:after="0" w:line="240" w:lineRule="auto"/>
              <w:jc w:val="right"/>
              <w:rPr>
                <w:rFonts w:ascii="Arial" w:hAnsi="Arial" w:cs="Arial"/>
                <w:sz w:val="18"/>
                <w:szCs w:val="18"/>
              </w:rPr>
            </w:pPr>
            <w:r w:rsidRPr="003A176D">
              <w:rPr>
                <w:rFonts w:ascii="Arial" w:hAnsi="Arial" w:cs="Arial"/>
                <w:sz w:val="18"/>
                <w:szCs w:val="18"/>
              </w:rPr>
              <w:t>(</w:t>
            </w:r>
            <w:r w:rsidR="00CE6FDF" w:rsidRPr="003A176D">
              <w:rPr>
                <w:rFonts w:ascii="Arial" w:hAnsi="Arial" w:cs="Arial"/>
                <w:sz w:val="18"/>
                <w:szCs w:val="18"/>
              </w:rPr>
              <w:t>12,500)</w:t>
            </w:r>
          </w:p>
        </w:tc>
      </w:tr>
      <w:tr w:rsidR="007409AD" w:rsidRPr="003A176D" w14:paraId="066B6394" w14:textId="77777777" w:rsidTr="00EC65B6">
        <w:trPr>
          <w:trHeight w:val="202"/>
        </w:trPr>
        <w:tc>
          <w:tcPr>
            <w:tcW w:w="264" w:type="dxa"/>
            <w:tcBorders>
              <w:top w:val="single" w:sz="4" w:space="0" w:color="auto"/>
            </w:tcBorders>
          </w:tcPr>
          <w:p w14:paraId="64759C08" w14:textId="77777777" w:rsidR="007409AD" w:rsidRPr="003A176D" w:rsidRDefault="007409AD" w:rsidP="00EC65B6">
            <w:pPr>
              <w:spacing w:after="0" w:line="240" w:lineRule="auto"/>
              <w:rPr>
                <w:rFonts w:ascii="Arial" w:hAnsi="Arial" w:cs="Arial"/>
                <w:sz w:val="18"/>
                <w:szCs w:val="18"/>
              </w:rPr>
            </w:pPr>
          </w:p>
        </w:tc>
        <w:tc>
          <w:tcPr>
            <w:tcW w:w="5560" w:type="dxa"/>
            <w:tcBorders>
              <w:top w:val="single" w:sz="4" w:space="0" w:color="auto"/>
            </w:tcBorders>
          </w:tcPr>
          <w:p w14:paraId="0EEFD260" w14:textId="77777777" w:rsidR="007409AD" w:rsidRPr="003A176D" w:rsidRDefault="007409AD" w:rsidP="00EC65B6">
            <w:pPr>
              <w:spacing w:after="0" w:line="240" w:lineRule="auto"/>
              <w:rPr>
                <w:rFonts w:ascii="Arial" w:hAnsi="Arial" w:cs="Arial"/>
                <w:sz w:val="18"/>
                <w:szCs w:val="18"/>
              </w:rPr>
            </w:pPr>
          </w:p>
        </w:tc>
        <w:tc>
          <w:tcPr>
            <w:tcW w:w="317" w:type="dxa"/>
            <w:tcBorders>
              <w:top w:val="single" w:sz="4" w:space="0" w:color="auto"/>
            </w:tcBorders>
          </w:tcPr>
          <w:p w14:paraId="21665CD5" w14:textId="77777777" w:rsidR="007409AD" w:rsidRPr="003A176D" w:rsidRDefault="007409AD" w:rsidP="00EC65B6">
            <w:pPr>
              <w:spacing w:after="0" w:line="240" w:lineRule="auto"/>
              <w:jc w:val="right"/>
              <w:rPr>
                <w:rFonts w:ascii="Arial" w:hAnsi="Arial" w:cs="Arial"/>
                <w:sz w:val="18"/>
                <w:szCs w:val="18"/>
              </w:rPr>
            </w:pPr>
          </w:p>
        </w:tc>
        <w:tc>
          <w:tcPr>
            <w:tcW w:w="1970" w:type="dxa"/>
            <w:tcBorders>
              <w:top w:val="single" w:sz="4" w:space="0" w:color="auto"/>
            </w:tcBorders>
          </w:tcPr>
          <w:p w14:paraId="6F041471" w14:textId="77777777" w:rsidR="007409AD" w:rsidRPr="003A176D" w:rsidRDefault="007409AD" w:rsidP="00EC65B6">
            <w:pPr>
              <w:spacing w:after="0" w:line="240" w:lineRule="auto"/>
              <w:jc w:val="right"/>
              <w:rPr>
                <w:rFonts w:ascii="Arial" w:hAnsi="Arial" w:cs="Arial"/>
                <w:sz w:val="18"/>
                <w:szCs w:val="18"/>
              </w:rPr>
            </w:pPr>
          </w:p>
        </w:tc>
        <w:tc>
          <w:tcPr>
            <w:tcW w:w="317" w:type="dxa"/>
            <w:tcBorders>
              <w:top w:val="single" w:sz="4" w:space="0" w:color="auto"/>
            </w:tcBorders>
          </w:tcPr>
          <w:p w14:paraId="0A9134AE" w14:textId="77777777" w:rsidR="007409AD" w:rsidRPr="003A176D" w:rsidRDefault="007409AD" w:rsidP="00EC65B6">
            <w:pPr>
              <w:spacing w:after="0" w:line="240" w:lineRule="auto"/>
              <w:jc w:val="right"/>
              <w:rPr>
                <w:rFonts w:ascii="Arial" w:hAnsi="Arial" w:cs="Arial"/>
                <w:sz w:val="18"/>
                <w:szCs w:val="18"/>
              </w:rPr>
            </w:pPr>
          </w:p>
        </w:tc>
        <w:tc>
          <w:tcPr>
            <w:tcW w:w="1359" w:type="dxa"/>
            <w:tcBorders>
              <w:top w:val="single" w:sz="4" w:space="0" w:color="auto"/>
            </w:tcBorders>
          </w:tcPr>
          <w:p w14:paraId="7F9EB3F9"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7B316C59" w14:textId="77777777" w:rsidTr="00EC65B6">
        <w:trPr>
          <w:trHeight w:val="202"/>
        </w:trPr>
        <w:tc>
          <w:tcPr>
            <w:tcW w:w="5824" w:type="dxa"/>
            <w:gridSpan w:val="2"/>
          </w:tcPr>
          <w:p w14:paraId="51ACA9EC" w14:textId="1A20250A"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Financing activities</w:t>
            </w:r>
          </w:p>
        </w:tc>
        <w:tc>
          <w:tcPr>
            <w:tcW w:w="317" w:type="dxa"/>
            <w:tcBorders>
              <w:left w:val="nil"/>
            </w:tcBorders>
          </w:tcPr>
          <w:p w14:paraId="67FF9DEC" w14:textId="77777777" w:rsidR="007409AD" w:rsidRPr="003A176D" w:rsidRDefault="007409AD" w:rsidP="00EC65B6">
            <w:pPr>
              <w:spacing w:after="0" w:line="240" w:lineRule="auto"/>
              <w:jc w:val="right"/>
              <w:rPr>
                <w:rFonts w:ascii="Arial" w:hAnsi="Arial" w:cs="Arial"/>
                <w:b/>
                <w:bCs/>
                <w:sz w:val="18"/>
                <w:szCs w:val="18"/>
              </w:rPr>
            </w:pPr>
          </w:p>
        </w:tc>
        <w:tc>
          <w:tcPr>
            <w:tcW w:w="1970" w:type="dxa"/>
          </w:tcPr>
          <w:p w14:paraId="545A42BF" w14:textId="77777777" w:rsidR="007409AD" w:rsidRPr="003A176D" w:rsidRDefault="007409AD" w:rsidP="00EC65B6">
            <w:pPr>
              <w:spacing w:after="0" w:line="240" w:lineRule="auto"/>
              <w:jc w:val="right"/>
              <w:rPr>
                <w:rFonts w:ascii="Arial" w:hAnsi="Arial" w:cs="Arial"/>
                <w:b/>
                <w:bCs/>
                <w:sz w:val="18"/>
                <w:szCs w:val="18"/>
              </w:rPr>
            </w:pPr>
          </w:p>
        </w:tc>
        <w:tc>
          <w:tcPr>
            <w:tcW w:w="317" w:type="dxa"/>
          </w:tcPr>
          <w:p w14:paraId="25BF7553" w14:textId="77777777" w:rsidR="007409AD" w:rsidRPr="003A176D" w:rsidRDefault="007409AD" w:rsidP="00EC65B6">
            <w:pPr>
              <w:spacing w:after="0" w:line="240" w:lineRule="auto"/>
              <w:jc w:val="right"/>
              <w:rPr>
                <w:rFonts w:ascii="Arial" w:hAnsi="Arial" w:cs="Arial"/>
                <w:b/>
                <w:bCs/>
                <w:sz w:val="18"/>
                <w:szCs w:val="18"/>
              </w:rPr>
            </w:pPr>
          </w:p>
        </w:tc>
        <w:tc>
          <w:tcPr>
            <w:tcW w:w="1359" w:type="dxa"/>
          </w:tcPr>
          <w:p w14:paraId="3D04C61F"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4A6E08A5" w14:textId="77777777" w:rsidTr="00EC65B6">
        <w:trPr>
          <w:trHeight w:val="202"/>
        </w:trPr>
        <w:tc>
          <w:tcPr>
            <w:tcW w:w="264" w:type="dxa"/>
          </w:tcPr>
          <w:p w14:paraId="7E0C654E" w14:textId="77777777" w:rsidR="007409AD" w:rsidRPr="003A176D" w:rsidRDefault="007409AD" w:rsidP="00EC65B6">
            <w:pPr>
              <w:spacing w:after="0" w:line="240" w:lineRule="auto"/>
              <w:rPr>
                <w:rFonts w:ascii="Arial" w:hAnsi="Arial" w:cs="Arial"/>
                <w:sz w:val="18"/>
                <w:szCs w:val="18"/>
              </w:rPr>
            </w:pPr>
          </w:p>
        </w:tc>
        <w:tc>
          <w:tcPr>
            <w:tcW w:w="5560" w:type="dxa"/>
            <w:vAlign w:val="bottom"/>
          </w:tcPr>
          <w:p w14:paraId="3C9757F3" w14:textId="16974000"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Proceeds from private placements, net of share issuance costs</w:t>
            </w:r>
          </w:p>
        </w:tc>
        <w:tc>
          <w:tcPr>
            <w:tcW w:w="317" w:type="dxa"/>
          </w:tcPr>
          <w:p w14:paraId="1515CD70" w14:textId="77777777" w:rsidR="007409AD" w:rsidRPr="003A176D" w:rsidRDefault="007409AD" w:rsidP="00EC65B6">
            <w:pPr>
              <w:spacing w:after="0" w:line="240" w:lineRule="auto"/>
              <w:jc w:val="right"/>
              <w:rPr>
                <w:rFonts w:ascii="Arial" w:hAnsi="Arial" w:cs="Arial"/>
                <w:sz w:val="18"/>
                <w:szCs w:val="18"/>
              </w:rPr>
            </w:pPr>
          </w:p>
        </w:tc>
        <w:tc>
          <w:tcPr>
            <w:tcW w:w="1970" w:type="dxa"/>
          </w:tcPr>
          <w:p w14:paraId="0076F218" w14:textId="36040A62" w:rsidR="007409AD"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3,</w:t>
            </w:r>
            <w:r w:rsidR="008722F0" w:rsidRPr="003A176D">
              <w:rPr>
                <w:rFonts w:ascii="Arial" w:hAnsi="Arial" w:cs="Arial"/>
                <w:sz w:val="18"/>
                <w:szCs w:val="18"/>
              </w:rPr>
              <w:t>096,262</w:t>
            </w:r>
          </w:p>
        </w:tc>
        <w:tc>
          <w:tcPr>
            <w:tcW w:w="317" w:type="dxa"/>
          </w:tcPr>
          <w:p w14:paraId="6E32433B" w14:textId="77777777" w:rsidR="007409AD" w:rsidRPr="003A176D" w:rsidRDefault="007409AD" w:rsidP="00EC65B6">
            <w:pPr>
              <w:spacing w:after="0" w:line="240" w:lineRule="auto"/>
              <w:jc w:val="right"/>
              <w:rPr>
                <w:rFonts w:ascii="Arial" w:hAnsi="Arial" w:cs="Arial"/>
                <w:sz w:val="18"/>
                <w:szCs w:val="18"/>
              </w:rPr>
            </w:pPr>
          </w:p>
        </w:tc>
        <w:tc>
          <w:tcPr>
            <w:tcW w:w="1359" w:type="dxa"/>
          </w:tcPr>
          <w:p w14:paraId="194A1756" w14:textId="62D564EE" w:rsidR="007409AD"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29481C" w:rsidRPr="003A176D" w14:paraId="3AAFD10A" w14:textId="77777777" w:rsidTr="00EC65B6">
        <w:trPr>
          <w:trHeight w:val="202"/>
        </w:trPr>
        <w:tc>
          <w:tcPr>
            <w:tcW w:w="264" w:type="dxa"/>
          </w:tcPr>
          <w:p w14:paraId="23DFEA56" w14:textId="77777777" w:rsidR="0029481C" w:rsidRPr="003A176D" w:rsidRDefault="0029481C" w:rsidP="00EC65B6">
            <w:pPr>
              <w:spacing w:after="0" w:line="240" w:lineRule="auto"/>
              <w:rPr>
                <w:rFonts w:ascii="Arial" w:hAnsi="Arial" w:cs="Arial"/>
                <w:sz w:val="18"/>
                <w:szCs w:val="18"/>
              </w:rPr>
            </w:pPr>
          </w:p>
        </w:tc>
        <w:tc>
          <w:tcPr>
            <w:tcW w:w="5560" w:type="dxa"/>
            <w:vAlign w:val="bottom"/>
          </w:tcPr>
          <w:p w14:paraId="602DA694" w14:textId="2B959CB0" w:rsidR="0029481C" w:rsidRPr="003A176D" w:rsidRDefault="0029481C" w:rsidP="00EC65B6">
            <w:pPr>
              <w:spacing w:after="0" w:line="240" w:lineRule="auto"/>
              <w:rPr>
                <w:rFonts w:ascii="Arial" w:hAnsi="Arial" w:cs="Arial"/>
                <w:sz w:val="18"/>
                <w:szCs w:val="18"/>
              </w:rPr>
            </w:pPr>
            <w:r w:rsidRPr="003A176D">
              <w:rPr>
                <w:rFonts w:ascii="Arial" w:hAnsi="Arial" w:cs="Arial"/>
                <w:sz w:val="18"/>
                <w:szCs w:val="18"/>
              </w:rPr>
              <w:t>Proceeds from amalgamation with HIC</w:t>
            </w:r>
          </w:p>
        </w:tc>
        <w:tc>
          <w:tcPr>
            <w:tcW w:w="317" w:type="dxa"/>
          </w:tcPr>
          <w:p w14:paraId="525C6497" w14:textId="77777777" w:rsidR="0029481C" w:rsidRPr="003A176D" w:rsidRDefault="0029481C" w:rsidP="00EC65B6">
            <w:pPr>
              <w:spacing w:after="0" w:line="240" w:lineRule="auto"/>
              <w:jc w:val="right"/>
              <w:rPr>
                <w:rFonts w:ascii="Arial" w:hAnsi="Arial" w:cs="Arial"/>
                <w:sz w:val="18"/>
                <w:szCs w:val="18"/>
              </w:rPr>
            </w:pPr>
          </w:p>
        </w:tc>
        <w:tc>
          <w:tcPr>
            <w:tcW w:w="1970" w:type="dxa"/>
          </w:tcPr>
          <w:p w14:paraId="3D8BD31E" w14:textId="480EA52D" w:rsidR="0029481C"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316,53</w:t>
            </w:r>
            <w:r w:rsidR="00F96610" w:rsidRPr="003A176D">
              <w:rPr>
                <w:rFonts w:ascii="Arial" w:hAnsi="Arial" w:cs="Arial"/>
                <w:sz w:val="18"/>
                <w:szCs w:val="18"/>
              </w:rPr>
              <w:t>0</w:t>
            </w:r>
          </w:p>
        </w:tc>
        <w:tc>
          <w:tcPr>
            <w:tcW w:w="317" w:type="dxa"/>
          </w:tcPr>
          <w:p w14:paraId="382EECB5" w14:textId="77777777" w:rsidR="0029481C" w:rsidRPr="003A176D" w:rsidRDefault="0029481C" w:rsidP="00EC65B6">
            <w:pPr>
              <w:spacing w:after="0" w:line="240" w:lineRule="auto"/>
              <w:jc w:val="right"/>
              <w:rPr>
                <w:rFonts w:ascii="Arial" w:hAnsi="Arial" w:cs="Arial"/>
                <w:sz w:val="18"/>
                <w:szCs w:val="18"/>
              </w:rPr>
            </w:pPr>
          </w:p>
        </w:tc>
        <w:tc>
          <w:tcPr>
            <w:tcW w:w="1359" w:type="dxa"/>
          </w:tcPr>
          <w:p w14:paraId="7B3BA82D" w14:textId="2F8DE45D" w:rsidR="0029481C"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29481C" w:rsidRPr="003A176D" w14:paraId="7F16F627" w14:textId="77777777" w:rsidTr="00EC65B6">
        <w:trPr>
          <w:trHeight w:val="202"/>
        </w:trPr>
        <w:tc>
          <w:tcPr>
            <w:tcW w:w="264" w:type="dxa"/>
          </w:tcPr>
          <w:p w14:paraId="50112905" w14:textId="77777777" w:rsidR="0029481C" w:rsidRPr="003A176D" w:rsidRDefault="0029481C" w:rsidP="00EC65B6">
            <w:pPr>
              <w:spacing w:after="0" w:line="240" w:lineRule="auto"/>
              <w:rPr>
                <w:rFonts w:ascii="Arial" w:hAnsi="Arial" w:cs="Arial"/>
                <w:sz w:val="18"/>
                <w:szCs w:val="18"/>
              </w:rPr>
            </w:pPr>
          </w:p>
        </w:tc>
        <w:tc>
          <w:tcPr>
            <w:tcW w:w="5560" w:type="dxa"/>
            <w:vAlign w:val="bottom"/>
          </w:tcPr>
          <w:p w14:paraId="3D5F895F" w14:textId="77777777" w:rsidR="0029481C" w:rsidRPr="003A176D" w:rsidRDefault="0029481C" w:rsidP="00EC65B6">
            <w:pPr>
              <w:spacing w:after="0" w:line="240" w:lineRule="auto"/>
              <w:rPr>
                <w:rFonts w:ascii="Arial" w:hAnsi="Arial" w:cs="Arial"/>
                <w:sz w:val="18"/>
                <w:szCs w:val="18"/>
              </w:rPr>
            </w:pPr>
            <w:r w:rsidRPr="003A176D">
              <w:rPr>
                <w:rFonts w:ascii="Arial" w:hAnsi="Arial" w:cs="Arial"/>
                <w:sz w:val="18"/>
                <w:szCs w:val="18"/>
              </w:rPr>
              <w:t>Proceeds (repayment) from related parties</w:t>
            </w:r>
          </w:p>
        </w:tc>
        <w:tc>
          <w:tcPr>
            <w:tcW w:w="317" w:type="dxa"/>
          </w:tcPr>
          <w:p w14:paraId="1525D236" w14:textId="77777777" w:rsidR="0029481C" w:rsidRPr="003A176D" w:rsidRDefault="0029481C" w:rsidP="00EC65B6">
            <w:pPr>
              <w:spacing w:after="0" w:line="240" w:lineRule="auto"/>
              <w:jc w:val="right"/>
              <w:rPr>
                <w:rFonts w:ascii="Arial" w:hAnsi="Arial" w:cs="Arial"/>
                <w:sz w:val="18"/>
                <w:szCs w:val="18"/>
              </w:rPr>
            </w:pPr>
          </w:p>
        </w:tc>
        <w:tc>
          <w:tcPr>
            <w:tcW w:w="1970" w:type="dxa"/>
          </w:tcPr>
          <w:p w14:paraId="66FE2D25" w14:textId="6E002BDF" w:rsidR="0029481C" w:rsidRPr="003A176D" w:rsidRDefault="008602A3" w:rsidP="00EC65B6">
            <w:pPr>
              <w:spacing w:after="0" w:line="240" w:lineRule="auto"/>
              <w:jc w:val="right"/>
              <w:rPr>
                <w:rFonts w:ascii="Arial" w:hAnsi="Arial" w:cs="Arial"/>
                <w:sz w:val="18"/>
                <w:szCs w:val="18"/>
              </w:rPr>
            </w:pPr>
            <w:r w:rsidRPr="003A176D">
              <w:rPr>
                <w:rFonts w:ascii="Arial" w:hAnsi="Arial" w:cs="Arial"/>
                <w:sz w:val="18"/>
                <w:szCs w:val="18"/>
              </w:rPr>
              <w:t>-</w:t>
            </w:r>
          </w:p>
        </w:tc>
        <w:tc>
          <w:tcPr>
            <w:tcW w:w="317" w:type="dxa"/>
          </w:tcPr>
          <w:p w14:paraId="4016C1E1" w14:textId="77777777" w:rsidR="0029481C" w:rsidRPr="003A176D" w:rsidRDefault="0029481C" w:rsidP="00EC65B6">
            <w:pPr>
              <w:spacing w:after="0" w:line="240" w:lineRule="auto"/>
              <w:jc w:val="right"/>
              <w:rPr>
                <w:rFonts w:ascii="Arial" w:hAnsi="Arial" w:cs="Arial"/>
                <w:sz w:val="18"/>
                <w:szCs w:val="18"/>
              </w:rPr>
            </w:pPr>
          </w:p>
        </w:tc>
        <w:tc>
          <w:tcPr>
            <w:tcW w:w="1359" w:type="dxa"/>
          </w:tcPr>
          <w:p w14:paraId="44189B9F" w14:textId="79035092" w:rsidR="0029481C"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(57,500)</w:t>
            </w:r>
          </w:p>
        </w:tc>
      </w:tr>
      <w:tr w:rsidR="008722F0" w:rsidRPr="003A176D" w14:paraId="0B239FBA" w14:textId="77777777" w:rsidTr="00EC65B6">
        <w:trPr>
          <w:trHeight w:val="202"/>
        </w:trPr>
        <w:tc>
          <w:tcPr>
            <w:tcW w:w="264" w:type="dxa"/>
          </w:tcPr>
          <w:p w14:paraId="65C0D085" w14:textId="77777777" w:rsidR="008722F0" w:rsidRPr="003A176D" w:rsidRDefault="008722F0" w:rsidP="00EC65B6">
            <w:pPr>
              <w:spacing w:after="0" w:line="240" w:lineRule="auto"/>
              <w:rPr>
                <w:rFonts w:ascii="Arial" w:hAnsi="Arial" w:cs="Arial"/>
                <w:sz w:val="18"/>
                <w:szCs w:val="18"/>
              </w:rPr>
            </w:pPr>
          </w:p>
        </w:tc>
        <w:tc>
          <w:tcPr>
            <w:tcW w:w="5560" w:type="dxa"/>
            <w:vAlign w:val="bottom"/>
          </w:tcPr>
          <w:p w14:paraId="310C706F" w14:textId="60C6F3AF" w:rsidR="008722F0" w:rsidRPr="003A176D" w:rsidRDefault="008722F0" w:rsidP="00EC65B6">
            <w:pPr>
              <w:spacing w:after="0" w:line="240" w:lineRule="auto"/>
              <w:rPr>
                <w:rFonts w:ascii="Arial" w:hAnsi="Arial" w:cs="Arial"/>
                <w:sz w:val="18"/>
                <w:szCs w:val="18"/>
              </w:rPr>
            </w:pPr>
            <w:r w:rsidRPr="003A176D">
              <w:rPr>
                <w:rFonts w:ascii="Arial" w:hAnsi="Arial" w:cs="Arial"/>
                <w:sz w:val="18"/>
                <w:szCs w:val="18"/>
              </w:rPr>
              <w:t>Proceeds from V2G Loan</w:t>
            </w:r>
            <w:r w:rsidR="003C6430" w:rsidRPr="003A176D">
              <w:rPr>
                <w:rFonts w:ascii="Arial" w:hAnsi="Arial" w:cs="Arial"/>
                <w:sz w:val="18"/>
                <w:szCs w:val="18"/>
              </w:rPr>
              <w:t xml:space="preserve"> (note 7 and 10)</w:t>
            </w:r>
          </w:p>
        </w:tc>
        <w:tc>
          <w:tcPr>
            <w:tcW w:w="317" w:type="dxa"/>
          </w:tcPr>
          <w:p w14:paraId="45421E4D" w14:textId="77777777" w:rsidR="008722F0" w:rsidRPr="003A176D" w:rsidRDefault="008722F0" w:rsidP="00EC65B6">
            <w:pPr>
              <w:spacing w:after="0" w:line="240" w:lineRule="auto"/>
              <w:jc w:val="right"/>
              <w:rPr>
                <w:rFonts w:ascii="Arial" w:hAnsi="Arial" w:cs="Arial"/>
                <w:sz w:val="18"/>
                <w:szCs w:val="18"/>
              </w:rPr>
            </w:pPr>
          </w:p>
        </w:tc>
        <w:tc>
          <w:tcPr>
            <w:tcW w:w="1970" w:type="dxa"/>
          </w:tcPr>
          <w:p w14:paraId="149150DC" w14:textId="148FEDF4" w:rsidR="008722F0"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251,252</w:t>
            </w:r>
          </w:p>
        </w:tc>
        <w:tc>
          <w:tcPr>
            <w:tcW w:w="317" w:type="dxa"/>
          </w:tcPr>
          <w:p w14:paraId="25D7B614" w14:textId="77777777" w:rsidR="008722F0" w:rsidRPr="003A176D" w:rsidRDefault="008722F0" w:rsidP="00EC65B6">
            <w:pPr>
              <w:spacing w:after="0" w:line="240" w:lineRule="auto"/>
              <w:jc w:val="right"/>
              <w:rPr>
                <w:rFonts w:ascii="Arial" w:hAnsi="Arial" w:cs="Arial"/>
                <w:sz w:val="18"/>
                <w:szCs w:val="18"/>
              </w:rPr>
            </w:pPr>
          </w:p>
        </w:tc>
        <w:tc>
          <w:tcPr>
            <w:tcW w:w="1359" w:type="dxa"/>
          </w:tcPr>
          <w:p w14:paraId="5F70F2E8" w14:textId="70A853F9" w:rsidR="008722F0"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8722F0" w:rsidRPr="003A176D" w14:paraId="3B18FADD" w14:textId="77777777" w:rsidTr="00EC65B6">
        <w:trPr>
          <w:trHeight w:val="202"/>
        </w:trPr>
        <w:tc>
          <w:tcPr>
            <w:tcW w:w="264" w:type="dxa"/>
          </w:tcPr>
          <w:p w14:paraId="17667C06" w14:textId="77777777" w:rsidR="008722F0" w:rsidRPr="003A176D" w:rsidRDefault="008722F0" w:rsidP="00EC65B6">
            <w:pPr>
              <w:spacing w:after="0" w:line="240" w:lineRule="auto"/>
              <w:rPr>
                <w:rFonts w:ascii="Arial" w:hAnsi="Arial" w:cs="Arial"/>
                <w:sz w:val="18"/>
                <w:szCs w:val="18"/>
              </w:rPr>
            </w:pPr>
          </w:p>
        </w:tc>
        <w:tc>
          <w:tcPr>
            <w:tcW w:w="5560" w:type="dxa"/>
            <w:vAlign w:val="bottom"/>
          </w:tcPr>
          <w:p w14:paraId="51B0B1A5" w14:textId="32504613" w:rsidR="008722F0" w:rsidRPr="003A176D" w:rsidRDefault="008722F0" w:rsidP="00EC65B6">
            <w:pPr>
              <w:spacing w:after="0" w:line="240" w:lineRule="auto"/>
              <w:rPr>
                <w:rFonts w:ascii="Arial" w:hAnsi="Arial" w:cs="Arial"/>
                <w:sz w:val="18"/>
                <w:szCs w:val="18"/>
              </w:rPr>
            </w:pPr>
            <w:r w:rsidRPr="003A176D">
              <w:rPr>
                <w:rFonts w:ascii="Arial" w:hAnsi="Arial" w:cs="Arial"/>
                <w:sz w:val="18"/>
                <w:szCs w:val="18"/>
              </w:rPr>
              <w:t>Proceeds from warrant exercise</w:t>
            </w:r>
            <w:r w:rsidR="003C6430" w:rsidRPr="003A176D">
              <w:rPr>
                <w:rFonts w:ascii="Arial" w:hAnsi="Arial" w:cs="Arial"/>
                <w:sz w:val="18"/>
                <w:szCs w:val="18"/>
              </w:rPr>
              <w:t xml:space="preserve"> (note 7)</w:t>
            </w:r>
          </w:p>
        </w:tc>
        <w:tc>
          <w:tcPr>
            <w:tcW w:w="317" w:type="dxa"/>
          </w:tcPr>
          <w:p w14:paraId="029BDB04" w14:textId="77777777" w:rsidR="008722F0" w:rsidRPr="003A176D" w:rsidRDefault="008722F0" w:rsidP="00EC65B6">
            <w:pPr>
              <w:spacing w:after="0" w:line="240" w:lineRule="auto"/>
              <w:jc w:val="right"/>
              <w:rPr>
                <w:rFonts w:ascii="Arial" w:hAnsi="Arial" w:cs="Arial"/>
                <w:sz w:val="18"/>
                <w:szCs w:val="18"/>
              </w:rPr>
            </w:pPr>
          </w:p>
        </w:tc>
        <w:tc>
          <w:tcPr>
            <w:tcW w:w="1970" w:type="dxa"/>
          </w:tcPr>
          <w:p w14:paraId="302DD44A" w14:textId="59D43617" w:rsidR="008722F0"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6,216</w:t>
            </w:r>
          </w:p>
        </w:tc>
        <w:tc>
          <w:tcPr>
            <w:tcW w:w="317" w:type="dxa"/>
          </w:tcPr>
          <w:p w14:paraId="6935D853" w14:textId="77777777" w:rsidR="008722F0" w:rsidRPr="003A176D" w:rsidRDefault="008722F0" w:rsidP="00EC65B6">
            <w:pPr>
              <w:spacing w:after="0" w:line="240" w:lineRule="auto"/>
              <w:jc w:val="right"/>
              <w:rPr>
                <w:rFonts w:ascii="Arial" w:hAnsi="Arial" w:cs="Arial"/>
                <w:sz w:val="18"/>
                <w:szCs w:val="18"/>
              </w:rPr>
            </w:pPr>
          </w:p>
        </w:tc>
        <w:tc>
          <w:tcPr>
            <w:tcW w:w="1359" w:type="dxa"/>
          </w:tcPr>
          <w:p w14:paraId="51B8D6E5" w14:textId="26DDAF80" w:rsidR="008722F0" w:rsidRPr="003A176D" w:rsidRDefault="001909DF"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8722F0" w:rsidRPr="003A176D" w14:paraId="6F244B35" w14:textId="77777777" w:rsidTr="00EC65B6">
        <w:trPr>
          <w:trHeight w:val="202"/>
        </w:trPr>
        <w:tc>
          <w:tcPr>
            <w:tcW w:w="264" w:type="dxa"/>
          </w:tcPr>
          <w:p w14:paraId="5EE85ECD" w14:textId="77777777" w:rsidR="008722F0" w:rsidRPr="003A176D" w:rsidRDefault="008722F0" w:rsidP="00EC65B6">
            <w:pPr>
              <w:spacing w:after="0" w:line="240" w:lineRule="auto"/>
              <w:rPr>
                <w:rFonts w:ascii="Arial" w:hAnsi="Arial" w:cs="Arial"/>
                <w:sz w:val="18"/>
                <w:szCs w:val="18"/>
              </w:rPr>
            </w:pPr>
          </w:p>
        </w:tc>
        <w:tc>
          <w:tcPr>
            <w:tcW w:w="5560" w:type="dxa"/>
            <w:vAlign w:val="bottom"/>
          </w:tcPr>
          <w:p w14:paraId="1389BE9C" w14:textId="081BFCC4" w:rsidR="008722F0" w:rsidRPr="003A176D" w:rsidRDefault="008722F0" w:rsidP="00EC65B6">
            <w:pPr>
              <w:spacing w:after="0" w:line="240" w:lineRule="auto"/>
              <w:rPr>
                <w:rFonts w:ascii="Arial" w:hAnsi="Arial" w:cs="Arial"/>
                <w:sz w:val="18"/>
                <w:szCs w:val="18"/>
              </w:rPr>
            </w:pPr>
            <w:r w:rsidRPr="003A176D">
              <w:rPr>
                <w:rFonts w:ascii="Arial" w:hAnsi="Arial" w:cs="Arial"/>
                <w:sz w:val="18"/>
                <w:szCs w:val="18"/>
              </w:rPr>
              <w:t>Proceeds from government loan</w:t>
            </w:r>
            <w:r w:rsidR="003C6430" w:rsidRPr="003A176D">
              <w:rPr>
                <w:rFonts w:ascii="Arial" w:hAnsi="Arial" w:cs="Arial"/>
                <w:sz w:val="18"/>
                <w:szCs w:val="18"/>
              </w:rPr>
              <w:t xml:space="preserve"> (note </w:t>
            </w:r>
            <w:r w:rsidR="001909DF" w:rsidRPr="003A176D">
              <w:rPr>
                <w:rFonts w:ascii="Arial" w:hAnsi="Arial" w:cs="Arial"/>
                <w:sz w:val="18"/>
                <w:szCs w:val="18"/>
              </w:rPr>
              <w:t>11</w:t>
            </w:r>
            <w:r w:rsidR="003C6430" w:rsidRPr="003A176D">
              <w:rPr>
                <w:rFonts w:ascii="Arial" w:hAnsi="Arial" w:cs="Arial"/>
                <w:sz w:val="18"/>
                <w:szCs w:val="18"/>
              </w:rPr>
              <w:t>)</w:t>
            </w:r>
          </w:p>
        </w:tc>
        <w:tc>
          <w:tcPr>
            <w:tcW w:w="317" w:type="dxa"/>
          </w:tcPr>
          <w:p w14:paraId="26621BDF" w14:textId="77777777" w:rsidR="008722F0" w:rsidRPr="003A176D" w:rsidRDefault="008722F0" w:rsidP="00EC65B6">
            <w:pPr>
              <w:spacing w:after="0" w:line="240" w:lineRule="auto"/>
              <w:jc w:val="right"/>
              <w:rPr>
                <w:rFonts w:ascii="Arial" w:hAnsi="Arial" w:cs="Arial"/>
                <w:sz w:val="18"/>
                <w:szCs w:val="18"/>
              </w:rPr>
            </w:pPr>
          </w:p>
        </w:tc>
        <w:tc>
          <w:tcPr>
            <w:tcW w:w="1970" w:type="dxa"/>
          </w:tcPr>
          <w:p w14:paraId="1CD41281" w14:textId="5483B6D4" w:rsidR="008722F0"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40,000</w:t>
            </w:r>
          </w:p>
        </w:tc>
        <w:tc>
          <w:tcPr>
            <w:tcW w:w="317" w:type="dxa"/>
          </w:tcPr>
          <w:p w14:paraId="0ED6A633" w14:textId="77777777" w:rsidR="008722F0" w:rsidRPr="003A176D" w:rsidRDefault="008722F0" w:rsidP="00EC65B6">
            <w:pPr>
              <w:spacing w:after="0" w:line="240" w:lineRule="auto"/>
              <w:jc w:val="right"/>
              <w:rPr>
                <w:rFonts w:ascii="Arial" w:hAnsi="Arial" w:cs="Arial"/>
                <w:sz w:val="18"/>
                <w:szCs w:val="18"/>
              </w:rPr>
            </w:pPr>
          </w:p>
        </w:tc>
        <w:tc>
          <w:tcPr>
            <w:tcW w:w="1359" w:type="dxa"/>
          </w:tcPr>
          <w:p w14:paraId="5BB2A301" w14:textId="21A2907A" w:rsidR="008722F0" w:rsidRPr="003A176D" w:rsidRDefault="001909DF"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29481C" w:rsidRPr="003A176D" w14:paraId="4228BD9A" w14:textId="77777777" w:rsidTr="00EC65B6">
        <w:trPr>
          <w:trHeight w:val="202"/>
        </w:trPr>
        <w:tc>
          <w:tcPr>
            <w:tcW w:w="264" w:type="dxa"/>
            <w:tcBorders>
              <w:bottom w:val="single" w:sz="4" w:space="0" w:color="auto"/>
            </w:tcBorders>
          </w:tcPr>
          <w:p w14:paraId="193BFAEF" w14:textId="77777777" w:rsidR="0029481C" w:rsidRPr="003A176D" w:rsidRDefault="0029481C" w:rsidP="00EC65B6">
            <w:pPr>
              <w:spacing w:after="0" w:line="240" w:lineRule="auto"/>
              <w:rPr>
                <w:rFonts w:ascii="Arial" w:hAnsi="Arial" w:cs="Arial"/>
                <w:sz w:val="18"/>
                <w:szCs w:val="18"/>
              </w:rPr>
            </w:pPr>
          </w:p>
        </w:tc>
        <w:tc>
          <w:tcPr>
            <w:tcW w:w="5560" w:type="dxa"/>
            <w:tcBorders>
              <w:bottom w:val="single" w:sz="4" w:space="0" w:color="auto"/>
            </w:tcBorders>
            <w:vAlign w:val="bottom"/>
          </w:tcPr>
          <w:p w14:paraId="2D165541" w14:textId="6F8FC0C9" w:rsidR="0029481C" w:rsidRPr="003A176D" w:rsidRDefault="0029481C" w:rsidP="00EC65B6">
            <w:pPr>
              <w:spacing w:after="0" w:line="240" w:lineRule="auto"/>
              <w:rPr>
                <w:rFonts w:ascii="Arial" w:hAnsi="Arial" w:cs="Arial"/>
                <w:sz w:val="18"/>
                <w:szCs w:val="18"/>
              </w:rPr>
            </w:pPr>
            <w:r w:rsidRPr="003A176D">
              <w:rPr>
                <w:rFonts w:ascii="Arial" w:hAnsi="Arial" w:cs="Arial"/>
                <w:sz w:val="18"/>
                <w:szCs w:val="18"/>
              </w:rPr>
              <w:t>Funds used in acquisition of McBookie</w:t>
            </w:r>
          </w:p>
        </w:tc>
        <w:tc>
          <w:tcPr>
            <w:tcW w:w="317" w:type="dxa"/>
            <w:tcBorders>
              <w:bottom w:val="single" w:sz="4" w:space="0" w:color="auto"/>
            </w:tcBorders>
          </w:tcPr>
          <w:p w14:paraId="4CD15B74" w14:textId="77777777" w:rsidR="0029481C" w:rsidRPr="003A176D" w:rsidRDefault="0029481C" w:rsidP="00EC65B6">
            <w:pPr>
              <w:spacing w:after="0" w:line="240" w:lineRule="auto"/>
              <w:jc w:val="right"/>
              <w:rPr>
                <w:rFonts w:ascii="Arial" w:hAnsi="Arial" w:cs="Arial"/>
                <w:sz w:val="18"/>
                <w:szCs w:val="18"/>
              </w:rPr>
            </w:pPr>
          </w:p>
        </w:tc>
        <w:tc>
          <w:tcPr>
            <w:tcW w:w="1970" w:type="dxa"/>
            <w:tcBorders>
              <w:bottom w:val="single" w:sz="4" w:space="0" w:color="auto"/>
            </w:tcBorders>
          </w:tcPr>
          <w:p w14:paraId="16AE5DDD" w14:textId="0163503A" w:rsidR="0029481C"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(36</w:t>
            </w:r>
            <w:r w:rsidR="008602A3" w:rsidRPr="003A176D">
              <w:rPr>
                <w:rFonts w:ascii="Arial" w:hAnsi="Arial" w:cs="Arial"/>
                <w:sz w:val="18"/>
                <w:szCs w:val="18"/>
              </w:rPr>
              <w:t>5,508</w:t>
            </w:r>
            <w:r w:rsidRPr="003A176D">
              <w:rPr>
                <w:rFonts w:ascii="Arial" w:hAnsi="Arial" w:cs="Arial"/>
                <w:sz w:val="18"/>
                <w:szCs w:val="18"/>
              </w:rPr>
              <w:t>)</w:t>
            </w:r>
          </w:p>
        </w:tc>
        <w:tc>
          <w:tcPr>
            <w:tcW w:w="317" w:type="dxa"/>
            <w:tcBorders>
              <w:bottom w:val="single" w:sz="4" w:space="0" w:color="auto"/>
            </w:tcBorders>
          </w:tcPr>
          <w:p w14:paraId="3A53B044" w14:textId="77777777" w:rsidR="0029481C" w:rsidRPr="003A176D" w:rsidRDefault="0029481C" w:rsidP="00EC65B6">
            <w:pPr>
              <w:spacing w:after="0" w:line="240" w:lineRule="auto"/>
              <w:jc w:val="right"/>
              <w:rPr>
                <w:rFonts w:ascii="Arial" w:hAnsi="Arial" w:cs="Arial"/>
                <w:sz w:val="18"/>
                <w:szCs w:val="18"/>
              </w:rPr>
            </w:pPr>
          </w:p>
        </w:tc>
        <w:tc>
          <w:tcPr>
            <w:tcW w:w="1359" w:type="dxa"/>
            <w:tcBorders>
              <w:bottom w:val="single" w:sz="4" w:space="0" w:color="auto"/>
            </w:tcBorders>
          </w:tcPr>
          <w:p w14:paraId="379DF765" w14:textId="0F36D931" w:rsidR="0029481C"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w:t>
            </w:r>
          </w:p>
        </w:tc>
      </w:tr>
      <w:tr w:rsidR="007409AD" w:rsidRPr="003A176D" w14:paraId="6176BEA8" w14:textId="77777777" w:rsidTr="00EC65B6">
        <w:trPr>
          <w:trHeight w:val="202"/>
        </w:trPr>
        <w:tc>
          <w:tcPr>
            <w:tcW w:w="264" w:type="dxa"/>
            <w:tcBorders>
              <w:top w:val="single" w:sz="4" w:space="0" w:color="auto"/>
            </w:tcBorders>
          </w:tcPr>
          <w:p w14:paraId="402A5A55" w14:textId="77777777" w:rsidR="007409AD" w:rsidRPr="003A176D" w:rsidRDefault="007409AD" w:rsidP="00EC65B6">
            <w:pPr>
              <w:spacing w:after="0" w:line="240" w:lineRule="auto"/>
              <w:rPr>
                <w:rFonts w:ascii="Arial" w:hAnsi="Arial" w:cs="Arial"/>
                <w:sz w:val="18"/>
                <w:szCs w:val="18"/>
              </w:rPr>
            </w:pPr>
          </w:p>
        </w:tc>
        <w:tc>
          <w:tcPr>
            <w:tcW w:w="5560" w:type="dxa"/>
            <w:tcBorders>
              <w:top w:val="single" w:sz="4" w:space="0" w:color="auto"/>
            </w:tcBorders>
            <w:vAlign w:val="bottom"/>
          </w:tcPr>
          <w:p w14:paraId="33D847AC" w14:textId="77777777" w:rsidR="007409AD" w:rsidRPr="003A176D" w:rsidRDefault="007409AD" w:rsidP="00EC65B6">
            <w:pPr>
              <w:spacing w:after="0" w:line="240" w:lineRule="auto"/>
              <w:rPr>
                <w:rFonts w:ascii="Arial" w:hAnsi="Arial" w:cs="Arial"/>
                <w:sz w:val="18"/>
                <w:szCs w:val="18"/>
              </w:rPr>
            </w:pPr>
          </w:p>
        </w:tc>
        <w:tc>
          <w:tcPr>
            <w:tcW w:w="317" w:type="dxa"/>
            <w:tcBorders>
              <w:top w:val="single" w:sz="4" w:space="0" w:color="auto"/>
            </w:tcBorders>
          </w:tcPr>
          <w:p w14:paraId="0B424E54" w14:textId="77777777" w:rsidR="007409AD" w:rsidRPr="003A176D" w:rsidRDefault="007409AD" w:rsidP="00EC65B6">
            <w:pPr>
              <w:spacing w:after="0" w:line="240" w:lineRule="auto"/>
              <w:jc w:val="right"/>
              <w:rPr>
                <w:rFonts w:ascii="Arial" w:hAnsi="Arial" w:cs="Arial"/>
                <w:sz w:val="18"/>
                <w:szCs w:val="18"/>
              </w:rPr>
            </w:pPr>
          </w:p>
        </w:tc>
        <w:tc>
          <w:tcPr>
            <w:tcW w:w="1970" w:type="dxa"/>
            <w:tcBorders>
              <w:top w:val="single" w:sz="4" w:space="0" w:color="auto"/>
            </w:tcBorders>
          </w:tcPr>
          <w:p w14:paraId="09C3B2E0" w14:textId="77777777" w:rsidR="007409AD" w:rsidRPr="003A176D" w:rsidRDefault="007409AD" w:rsidP="00EC65B6">
            <w:pPr>
              <w:spacing w:after="0" w:line="240" w:lineRule="auto"/>
              <w:jc w:val="right"/>
              <w:rPr>
                <w:rFonts w:ascii="Arial" w:hAnsi="Arial" w:cs="Arial"/>
                <w:sz w:val="18"/>
                <w:szCs w:val="18"/>
              </w:rPr>
            </w:pPr>
          </w:p>
        </w:tc>
        <w:tc>
          <w:tcPr>
            <w:tcW w:w="317" w:type="dxa"/>
            <w:tcBorders>
              <w:top w:val="single" w:sz="4" w:space="0" w:color="auto"/>
            </w:tcBorders>
          </w:tcPr>
          <w:p w14:paraId="33B2045B" w14:textId="77777777" w:rsidR="007409AD" w:rsidRPr="003A176D" w:rsidRDefault="007409AD" w:rsidP="00EC65B6">
            <w:pPr>
              <w:spacing w:after="0" w:line="240" w:lineRule="auto"/>
              <w:jc w:val="right"/>
              <w:rPr>
                <w:rFonts w:ascii="Arial" w:hAnsi="Arial" w:cs="Arial"/>
                <w:sz w:val="18"/>
                <w:szCs w:val="18"/>
              </w:rPr>
            </w:pPr>
          </w:p>
        </w:tc>
        <w:tc>
          <w:tcPr>
            <w:tcW w:w="1359" w:type="dxa"/>
            <w:tcBorders>
              <w:top w:val="single" w:sz="4" w:space="0" w:color="auto"/>
            </w:tcBorders>
          </w:tcPr>
          <w:p w14:paraId="4F5DEDC0"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3619A1B7" w14:textId="77777777" w:rsidTr="00EC65B6">
        <w:trPr>
          <w:trHeight w:val="202"/>
        </w:trPr>
        <w:tc>
          <w:tcPr>
            <w:tcW w:w="5824" w:type="dxa"/>
            <w:gridSpan w:val="2"/>
            <w:tcBorders>
              <w:bottom w:val="single" w:sz="4" w:space="0" w:color="auto"/>
            </w:tcBorders>
          </w:tcPr>
          <w:p w14:paraId="12437794" w14:textId="147B9E32"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Net cash flows provided by financing activities</w:t>
            </w:r>
          </w:p>
        </w:tc>
        <w:tc>
          <w:tcPr>
            <w:tcW w:w="317" w:type="dxa"/>
            <w:tcBorders>
              <w:bottom w:val="single" w:sz="4" w:space="0" w:color="auto"/>
            </w:tcBorders>
          </w:tcPr>
          <w:p w14:paraId="414F2EF9" w14:textId="77777777" w:rsidR="007409AD" w:rsidRPr="003A176D" w:rsidRDefault="007409AD" w:rsidP="00EC65B6">
            <w:pPr>
              <w:spacing w:after="0" w:line="240" w:lineRule="auto"/>
              <w:jc w:val="right"/>
              <w:rPr>
                <w:rFonts w:ascii="Arial" w:hAnsi="Arial" w:cs="Arial"/>
                <w:b/>
                <w:bCs/>
                <w:sz w:val="18"/>
                <w:szCs w:val="18"/>
              </w:rPr>
            </w:pPr>
          </w:p>
        </w:tc>
        <w:tc>
          <w:tcPr>
            <w:tcW w:w="1970" w:type="dxa"/>
            <w:tcBorders>
              <w:bottom w:val="single" w:sz="4" w:space="0" w:color="auto"/>
            </w:tcBorders>
          </w:tcPr>
          <w:p w14:paraId="15C9E7DE" w14:textId="51CDDEE5" w:rsidR="007409AD" w:rsidRPr="003A176D" w:rsidRDefault="0029481C" w:rsidP="00EC65B6">
            <w:pPr>
              <w:spacing w:after="0" w:line="240" w:lineRule="auto"/>
              <w:jc w:val="right"/>
              <w:rPr>
                <w:rFonts w:ascii="Arial" w:hAnsi="Arial" w:cs="Arial"/>
                <w:b/>
                <w:bCs/>
                <w:sz w:val="18"/>
                <w:szCs w:val="18"/>
              </w:rPr>
            </w:pPr>
            <w:r w:rsidRPr="003A176D">
              <w:rPr>
                <w:rFonts w:ascii="Arial" w:hAnsi="Arial" w:cs="Arial"/>
                <w:b/>
                <w:bCs/>
                <w:sz w:val="18"/>
                <w:szCs w:val="18"/>
              </w:rPr>
              <w:t>3,</w:t>
            </w:r>
            <w:r w:rsidR="008722F0" w:rsidRPr="003A176D">
              <w:rPr>
                <w:rFonts w:ascii="Arial" w:hAnsi="Arial" w:cs="Arial"/>
                <w:b/>
                <w:bCs/>
                <w:sz w:val="18"/>
                <w:szCs w:val="18"/>
              </w:rPr>
              <w:t>344,752</w:t>
            </w:r>
          </w:p>
        </w:tc>
        <w:tc>
          <w:tcPr>
            <w:tcW w:w="317" w:type="dxa"/>
            <w:tcBorders>
              <w:bottom w:val="single" w:sz="4" w:space="0" w:color="auto"/>
            </w:tcBorders>
          </w:tcPr>
          <w:p w14:paraId="7DD0E837" w14:textId="77777777" w:rsidR="007409AD" w:rsidRPr="003A176D" w:rsidRDefault="007409AD" w:rsidP="00EC65B6">
            <w:pPr>
              <w:spacing w:after="0" w:line="240" w:lineRule="auto"/>
              <w:jc w:val="right"/>
              <w:rPr>
                <w:rFonts w:ascii="Arial" w:hAnsi="Arial" w:cs="Arial"/>
                <w:b/>
                <w:bCs/>
                <w:sz w:val="18"/>
                <w:szCs w:val="18"/>
              </w:rPr>
            </w:pPr>
          </w:p>
        </w:tc>
        <w:tc>
          <w:tcPr>
            <w:tcW w:w="1359" w:type="dxa"/>
            <w:tcBorders>
              <w:bottom w:val="single" w:sz="4" w:space="0" w:color="auto"/>
            </w:tcBorders>
          </w:tcPr>
          <w:p w14:paraId="52698B80" w14:textId="12C3A738" w:rsidR="007409AD"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(57,500)</w:t>
            </w:r>
          </w:p>
        </w:tc>
      </w:tr>
      <w:tr w:rsidR="00F4053A" w:rsidRPr="003A176D" w14:paraId="2C736B02" w14:textId="77777777" w:rsidTr="00EC65B6">
        <w:trPr>
          <w:trHeight w:val="202"/>
        </w:trPr>
        <w:tc>
          <w:tcPr>
            <w:tcW w:w="5824" w:type="dxa"/>
            <w:gridSpan w:val="2"/>
            <w:tcBorders>
              <w:top w:val="single" w:sz="4" w:space="0" w:color="auto"/>
              <w:bottom w:val="single" w:sz="4" w:space="0" w:color="auto"/>
            </w:tcBorders>
          </w:tcPr>
          <w:p w14:paraId="7D6ECA7C" w14:textId="208EBE08" w:rsidR="00F4053A" w:rsidRPr="003A176D" w:rsidRDefault="00F4053A" w:rsidP="00EC65B6">
            <w:pPr>
              <w:spacing w:after="0" w:line="240" w:lineRule="auto"/>
              <w:rPr>
                <w:rFonts w:ascii="Arial" w:hAnsi="Arial" w:cs="Arial"/>
                <w:b/>
                <w:bCs/>
                <w:sz w:val="18"/>
                <w:szCs w:val="18"/>
              </w:rPr>
            </w:pPr>
            <w:r w:rsidRPr="003A176D">
              <w:rPr>
                <w:rFonts w:ascii="Arial" w:hAnsi="Arial" w:cs="Arial"/>
                <w:b/>
                <w:bCs/>
                <w:sz w:val="18"/>
                <w:szCs w:val="18"/>
              </w:rPr>
              <w:t>Effect of foreign exchange on cash</w:t>
            </w:r>
          </w:p>
        </w:tc>
        <w:tc>
          <w:tcPr>
            <w:tcW w:w="317" w:type="dxa"/>
            <w:tcBorders>
              <w:top w:val="single" w:sz="4" w:space="0" w:color="auto"/>
              <w:bottom w:val="single" w:sz="4" w:space="0" w:color="auto"/>
            </w:tcBorders>
          </w:tcPr>
          <w:p w14:paraId="1E5AF90D" w14:textId="77777777" w:rsidR="00F4053A" w:rsidRPr="003A176D" w:rsidRDefault="00F4053A" w:rsidP="00EC65B6">
            <w:pPr>
              <w:spacing w:after="0" w:line="240" w:lineRule="auto"/>
              <w:jc w:val="right"/>
              <w:rPr>
                <w:rFonts w:ascii="Arial" w:hAnsi="Arial" w:cs="Arial"/>
                <w:b/>
                <w:bCs/>
                <w:sz w:val="18"/>
                <w:szCs w:val="18"/>
              </w:rPr>
            </w:pPr>
          </w:p>
        </w:tc>
        <w:tc>
          <w:tcPr>
            <w:tcW w:w="1970" w:type="dxa"/>
            <w:tcBorders>
              <w:top w:val="single" w:sz="4" w:space="0" w:color="auto"/>
              <w:bottom w:val="single" w:sz="4" w:space="0" w:color="auto"/>
            </w:tcBorders>
          </w:tcPr>
          <w:p w14:paraId="231120E5" w14:textId="1306400A" w:rsidR="00F4053A" w:rsidRPr="003A176D" w:rsidRDefault="008722F0" w:rsidP="00EC65B6">
            <w:pPr>
              <w:spacing w:after="0" w:line="240" w:lineRule="auto"/>
              <w:jc w:val="right"/>
              <w:rPr>
                <w:rFonts w:ascii="Arial" w:hAnsi="Arial" w:cs="Arial"/>
                <w:b/>
                <w:bCs/>
                <w:sz w:val="18"/>
                <w:szCs w:val="18"/>
              </w:rPr>
            </w:pPr>
            <w:r w:rsidRPr="003A176D">
              <w:rPr>
                <w:rFonts w:ascii="Arial" w:hAnsi="Arial" w:cs="Arial"/>
                <w:b/>
                <w:bCs/>
                <w:sz w:val="18"/>
                <w:szCs w:val="18"/>
              </w:rPr>
              <w:t>(2,193)</w:t>
            </w:r>
          </w:p>
        </w:tc>
        <w:tc>
          <w:tcPr>
            <w:tcW w:w="317" w:type="dxa"/>
            <w:tcBorders>
              <w:top w:val="single" w:sz="4" w:space="0" w:color="auto"/>
              <w:bottom w:val="single" w:sz="4" w:space="0" w:color="auto"/>
            </w:tcBorders>
          </w:tcPr>
          <w:p w14:paraId="6327BB5E" w14:textId="77777777" w:rsidR="00F4053A" w:rsidRPr="003A176D" w:rsidRDefault="00F4053A" w:rsidP="00EC65B6">
            <w:pPr>
              <w:spacing w:after="0" w:line="240" w:lineRule="auto"/>
              <w:jc w:val="right"/>
              <w:rPr>
                <w:rFonts w:ascii="Arial" w:hAnsi="Arial" w:cs="Arial"/>
                <w:b/>
                <w:bCs/>
                <w:sz w:val="18"/>
                <w:szCs w:val="18"/>
              </w:rPr>
            </w:pPr>
          </w:p>
        </w:tc>
        <w:tc>
          <w:tcPr>
            <w:tcW w:w="1359" w:type="dxa"/>
            <w:tcBorders>
              <w:top w:val="single" w:sz="4" w:space="0" w:color="auto"/>
              <w:bottom w:val="single" w:sz="4" w:space="0" w:color="auto"/>
            </w:tcBorders>
          </w:tcPr>
          <w:p w14:paraId="064BFE9C" w14:textId="3CAFF1DE" w:rsidR="00F4053A" w:rsidRPr="003A176D" w:rsidRDefault="002A774E" w:rsidP="00EC65B6">
            <w:pPr>
              <w:spacing w:after="0" w:line="240" w:lineRule="auto"/>
              <w:jc w:val="right"/>
              <w:rPr>
                <w:rFonts w:ascii="Arial" w:hAnsi="Arial" w:cs="Arial"/>
                <w:sz w:val="18"/>
                <w:szCs w:val="18"/>
              </w:rPr>
            </w:pPr>
            <w:r w:rsidRPr="003A176D">
              <w:rPr>
                <w:rFonts w:ascii="Arial" w:hAnsi="Arial" w:cs="Arial"/>
                <w:sz w:val="18"/>
                <w:szCs w:val="18"/>
              </w:rPr>
              <w:t>513</w:t>
            </w:r>
          </w:p>
        </w:tc>
      </w:tr>
      <w:tr w:rsidR="007409AD" w:rsidRPr="003A176D" w14:paraId="64636398" w14:textId="77777777" w:rsidTr="00EC65B6">
        <w:trPr>
          <w:trHeight w:val="202"/>
        </w:trPr>
        <w:tc>
          <w:tcPr>
            <w:tcW w:w="264" w:type="dxa"/>
            <w:tcBorders>
              <w:top w:val="single" w:sz="4" w:space="0" w:color="auto"/>
            </w:tcBorders>
          </w:tcPr>
          <w:p w14:paraId="7CEBC735" w14:textId="77777777" w:rsidR="007409AD" w:rsidRPr="003A176D" w:rsidRDefault="007409AD" w:rsidP="00EC65B6">
            <w:pPr>
              <w:spacing w:after="0" w:line="240" w:lineRule="auto"/>
              <w:rPr>
                <w:rFonts w:ascii="Arial" w:hAnsi="Arial" w:cs="Arial"/>
                <w:sz w:val="18"/>
                <w:szCs w:val="18"/>
              </w:rPr>
            </w:pPr>
          </w:p>
        </w:tc>
        <w:tc>
          <w:tcPr>
            <w:tcW w:w="5560" w:type="dxa"/>
            <w:tcBorders>
              <w:top w:val="single" w:sz="4" w:space="0" w:color="auto"/>
            </w:tcBorders>
            <w:vAlign w:val="bottom"/>
          </w:tcPr>
          <w:p w14:paraId="7C46424C" w14:textId="77777777" w:rsidR="007409AD" w:rsidRPr="003A176D" w:rsidRDefault="007409AD" w:rsidP="00EC65B6">
            <w:pPr>
              <w:spacing w:after="0" w:line="240" w:lineRule="auto"/>
              <w:rPr>
                <w:rFonts w:ascii="Arial" w:hAnsi="Arial" w:cs="Arial"/>
                <w:sz w:val="18"/>
                <w:szCs w:val="18"/>
              </w:rPr>
            </w:pPr>
          </w:p>
        </w:tc>
        <w:tc>
          <w:tcPr>
            <w:tcW w:w="317" w:type="dxa"/>
            <w:tcBorders>
              <w:top w:val="single" w:sz="4" w:space="0" w:color="auto"/>
            </w:tcBorders>
          </w:tcPr>
          <w:p w14:paraId="2E6A5C2A" w14:textId="77777777" w:rsidR="007409AD" w:rsidRPr="003A176D" w:rsidRDefault="007409AD" w:rsidP="00EC65B6">
            <w:pPr>
              <w:spacing w:after="0" w:line="240" w:lineRule="auto"/>
              <w:jc w:val="right"/>
              <w:rPr>
                <w:rFonts w:ascii="Arial" w:hAnsi="Arial" w:cs="Arial"/>
                <w:sz w:val="18"/>
                <w:szCs w:val="18"/>
              </w:rPr>
            </w:pPr>
          </w:p>
        </w:tc>
        <w:tc>
          <w:tcPr>
            <w:tcW w:w="1970" w:type="dxa"/>
            <w:tcBorders>
              <w:top w:val="single" w:sz="4" w:space="0" w:color="auto"/>
            </w:tcBorders>
          </w:tcPr>
          <w:p w14:paraId="415E8928" w14:textId="77777777" w:rsidR="007409AD" w:rsidRPr="003A176D" w:rsidRDefault="007409AD" w:rsidP="00EC65B6">
            <w:pPr>
              <w:spacing w:after="0" w:line="240" w:lineRule="auto"/>
              <w:jc w:val="right"/>
              <w:rPr>
                <w:rFonts w:ascii="Arial" w:hAnsi="Arial" w:cs="Arial"/>
                <w:sz w:val="18"/>
                <w:szCs w:val="18"/>
              </w:rPr>
            </w:pPr>
          </w:p>
        </w:tc>
        <w:tc>
          <w:tcPr>
            <w:tcW w:w="317" w:type="dxa"/>
            <w:tcBorders>
              <w:top w:val="single" w:sz="4" w:space="0" w:color="auto"/>
            </w:tcBorders>
          </w:tcPr>
          <w:p w14:paraId="62C08B76" w14:textId="77777777" w:rsidR="007409AD" w:rsidRPr="003A176D" w:rsidRDefault="007409AD" w:rsidP="00EC65B6">
            <w:pPr>
              <w:spacing w:after="0" w:line="240" w:lineRule="auto"/>
              <w:jc w:val="right"/>
              <w:rPr>
                <w:rFonts w:ascii="Arial" w:hAnsi="Arial" w:cs="Arial"/>
                <w:sz w:val="18"/>
                <w:szCs w:val="18"/>
              </w:rPr>
            </w:pPr>
          </w:p>
        </w:tc>
        <w:tc>
          <w:tcPr>
            <w:tcW w:w="1359" w:type="dxa"/>
            <w:tcBorders>
              <w:top w:val="single" w:sz="4" w:space="0" w:color="auto"/>
            </w:tcBorders>
          </w:tcPr>
          <w:p w14:paraId="0FB31619" w14:textId="77777777" w:rsidR="007409AD" w:rsidRPr="003A176D" w:rsidRDefault="007409AD" w:rsidP="00EC65B6">
            <w:pPr>
              <w:spacing w:after="0" w:line="240" w:lineRule="auto"/>
              <w:jc w:val="right"/>
              <w:rPr>
                <w:rFonts w:ascii="Arial" w:hAnsi="Arial" w:cs="Arial"/>
                <w:sz w:val="18"/>
                <w:szCs w:val="18"/>
              </w:rPr>
            </w:pPr>
          </w:p>
        </w:tc>
      </w:tr>
      <w:tr w:rsidR="007409AD" w:rsidRPr="003A176D" w14:paraId="0129BC86" w14:textId="77777777" w:rsidTr="00EC65B6">
        <w:trPr>
          <w:trHeight w:val="202"/>
        </w:trPr>
        <w:tc>
          <w:tcPr>
            <w:tcW w:w="5824" w:type="dxa"/>
            <w:gridSpan w:val="2"/>
          </w:tcPr>
          <w:p w14:paraId="476BA49E" w14:textId="76EB6CA1"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Change in cash</w:t>
            </w:r>
          </w:p>
        </w:tc>
        <w:tc>
          <w:tcPr>
            <w:tcW w:w="317" w:type="dxa"/>
          </w:tcPr>
          <w:p w14:paraId="07971014" w14:textId="77777777" w:rsidR="007409AD" w:rsidRPr="003A176D" w:rsidRDefault="007409AD" w:rsidP="00EC65B6">
            <w:pPr>
              <w:spacing w:after="0" w:line="240" w:lineRule="auto"/>
              <w:jc w:val="right"/>
              <w:rPr>
                <w:rFonts w:ascii="Arial" w:hAnsi="Arial" w:cs="Arial"/>
                <w:sz w:val="18"/>
                <w:szCs w:val="18"/>
              </w:rPr>
            </w:pPr>
          </w:p>
        </w:tc>
        <w:tc>
          <w:tcPr>
            <w:tcW w:w="1970" w:type="dxa"/>
          </w:tcPr>
          <w:p w14:paraId="4950781A" w14:textId="41719243" w:rsidR="007409AD" w:rsidRPr="003A176D" w:rsidRDefault="008722F0" w:rsidP="00EC65B6">
            <w:pPr>
              <w:spacing w:after="0" w:line="240" w:lineRule="auto"/>
              <w:jc w:val="right"/>
              <w:rPr>
                <w:rFonts w:ascii="Arial" w:hAnsi="Arial" w:cs="Arial"/>
                <w:sz w:val="18"/>
                <w:szCs w:val="18"/>
              </w:rPr>
            </w:pPr>
            <w:r w:rsidRPr="003A176D">
              <w:rPr>
                <w:rFonts w:ascii="Arial" w:hAnsi="Arial" w:cs="Arial"/>
                <w:sz w:val="18"/>
                <w:szCs w:val="18"/>
              </w:rPr>
              <w:t>808,553</w:t>
            </w:r>
          </w:p>
        </w:tc>
        <w:tc>
          <w:tcPr>
            <w:tcW w:w="317" w:type="dxa"/>
          </w:tcPr>
          <w:p w14:paraId="2F1C5710" w14:textId="77777777" w:rsidR="007409AD" w:rsidRPr="003A176D" w:rsidRDefault="007409AD" w:rsidP="00EC65B6">
            <w:pPr>
              <w:spacing w:after="0" w:line="240" w:lineRule="auto"/>
              <w:jc w:val="right"/>
              <w:rPr>
                <w:rFonts w:ascii="Arial" w:hAnsi="Arial" w:cs="Arial"/>
                <w:sz w:val="18"/>
                <w:szCs w:val="18"/>
              </w:rPr>
            </w:pPr>
          </w:p>
        </w:tc>
        <w:tc>
          <w:tcPr>
            <w:tcW w:w="1359" w:type="dxa"/>
          </w:tcPr>
          <w:p w14:paraId="6D44BD94" w14:textId="11700099" w:rsidR="007409AD"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w:t>
            </w:r>
            <w:r w:rsidR="002A774E" w:rsidRPr="003A176D">
              <w:rPr>
                <w:rFonts w:ascii="Arial" w:hAnsi="Arial" w:cs="Arial"/>
                <w:sz w:val="18"/>
                <w:szCs w:val="18"/>
              </w:rPr>
              <w:t>233,077</w:t>
            </w:r>
            <w:r w:rsidRPr="003A176D">
              <w:rPr>
                <w:rFonts w:ascii="Arial" w:hAnsi="Arial" w:cs="Arial"/>
                <w:sz w:val="18"/>
                <w:szCs w:val="18"/>
              </w:rPr>
              <w:t>)</w:t>
            </w:r>
          </w:p>
        </w:tc>
      </w:tr>
      <w:tr w:rsidR="007409AD" w:rsidRPr="003A176D" w14:paraId="686E2E0A" w14:textId="77777777" w:rsidTr="00EC65B6">
        <w:trPr>
          <w:trHeight w:val="202"/>
        </w:trPr>
        <w:tc>
          <w:tcPr>
            <w:tcW w:w="5824" w:type="dxa"/>
            <w:gridSpan w:val="2"/>
            <w:tcBorders>
              <w:bottom w:val="single" w:sz="4" w:space="0" w:color="auto"/>
            </w:tcBorders>
            <w:vAlign w:val="bottom"/>
          </w:tcPr>
          <w:p w14:paraId="7E18AE4A" w14:textId="58F88140" w:rsidR="007409AD" w:rsidRPr="003A176D" w:rsidRDefault="007409AD" w:rsidP="00EC65B6">
            <w:pPr>
              <w:spacing w:after="0" w:line="240" w:lineRule="auto"/>
              <w:rPr>
                <w:rFonts w:ascii="Arial" w:hAnsi="Arial" w:cs="Arial"/>
                <w:sz w:val="18"/>
                <w:szCs w:val="18"/>
              </w:rPr>
            </w:pPr>
            <w:r w:rsidRPr="003A176D">
              <w:rPr>
                <w:rFonts w:ascii="Arial" w:hAnsi="Arial" w:cs="Arial"/>
                <w:sz w:val="18"/>
                <w:szCs w:val="18"/>
              </w:rPr>
              <w:t>Cash, beginning</w:t>
            </w:r>
          </w:p>
        </w:tc>
        <w:tc>
          <w:tcPr>
            <w:tcW w:w="317" w:type="dxa"/>
            <w:tcBorders>
              <w:bottom w:val="single" w:sz="4" w:space="0" w:color="auto"/>
            </w:tcBorders>
          </w:tcPr>
          <w:p w14:paraId="13E33B41" w14:textId="77777777" w:rsidR="007409AD" w:rsidRPr="003A176D" w:rsidRDefault="007409AD" w:rsidP="00EC65B6">
            <w:pPr>
              <w:spacing w:after="0" w:line="240" w:lineRule="auto"/>
              <w:jc w:val="right"/>
              <w:rPr>
                <w:rFonts w:ascii="Arial" w:hAnsi="Arial" w:cs="Arial"/>
                <w:sz w:val="18"/>
                <w:szCs w:val="18"/>
              </w:rPr>
            </w:pPr>
          </w:p>
        </w:tc>
        <w:tc>
          <w:tcPr>
            <w:tcW w:w="1970" w:type="dxa"/>
            <w:tcBorders>
              <w:bottom w:val="single" w:sz="4" w:space="0" w:color="auto"/>
            </w:tcBorders>
          </w:tcPr>
          <w:p w14:paraId="0F64F586" w14:textId="38826DDA" w:rsidR="007409AD" w:rsidRPr="003A176D" w:rsidRDefault="0029481C" w:rsidP="00EC65B6">
            <w:pPr>
              <w:spacing w:after="0" w:line="240" w:lineRule="auto"/>
              <w:jc w:val="right"/>
              <w:rPr>
                <w:rFonts w:ascii="Arial" w:hAnsi="Arial" w:cs="Arial"/>
                <w:sz w:val="18"/>
                <w:szCs w:val="18"/>
              </w:rPr>
            </w:pPr>
            <w:r w:rsidRPr="003A176D">
              <w:rPr>
                <w:rFonts w:ascii="Arial" w:hAnsi="Arial" w:cs="Arial"/>
                <w:sz w:val="18"/>
                <w:szCs w:val="18"/>
              </w:rPr>
              <w:t>84,058</w:t>
            </w:r>
          </w:p>
        </w:tc>
        <w:tc>
          <w:tcPr>
            <w:tcW w:w="317" w:type="dxa"/>
            <w:tcBorders>
              <w:bottom w:val="single" w:sz="4" w:space="0" w:color="auto"/>
            </w:tcBorders>
          </w:tcPr>
          <w:p w14:paraId="2F2BBF0B" w14:textId="77777777" w:rsidR="007409AD" w:rsidRPr="003A176D" w:rsidRDefault="007409AD" w:rsidP="00EC65B6">
            <w:pPr>
              <w:spacing w:after="0" w:line="240" w:lineRule="auto"/>
              <w:jc w:val="right"/>
              <w:rPr>
                <w:rFonts w:ascii="Arial" w:hAnsi="Arial" w:cs="Arial"/>
                <w:sz w:val="18"/>
                <w:szCs w:val="18"/>
              </w:rPr>
            </w:pPr>
          </w:p>
        </w:tc>
        <w:tc>
          <w:tcPr>
            <w:tcW w:w="1359" w:type="dxa"/>
            <w:tcBorders>
              <w:bottom w:val="single" w:sz="4" w:space="0" w:color="auto"/>
            </w:tcBorders>
          </w:tcPr>
          <w:p w14:paraId="3C4CC6AA" w14:textId="40D7EB84" w:rsidR="007409AD" w:rsidRPr="003A176D" w:rsidRDefault="00CE6FDF" w:rsidP="00EC65B6">
            <w:pPr>
              <w:spacing w:after="0" w:line="240" w:lineRule="auto"/>
              <w:jc w:val="right"/>
              <w:rPr>
                <w:rFonts w:ascii="Arial" w:hAnsi="Arial" w:cs="Arial"/>
                <w:sz w:val="18"/>
                <w:szCs w:val="18"/>
              </w:rPr>
            </w:pPr>
            <w:r w:rsidRPr="003A176D">
              <w:rPr>
                <w:rFonts w:ascii="Arial" w:hAnsi="Arial" w:cs="Arial"/>
                <w:sz w:val="18"/>
                <w:szCs w:val="18"/>
              </w:rPr>
              <w:t>973,320</w:t>
            </w:r>
          </w:p>
        </w:tc>
      </w:tr>
      <w:tr w:rsidR="007409AD" w:rsidRPr="003A176D" w14:paraId="26A29EA2" w14:textId="77777777" w:rsidTr="00EC65B6">
        <w:trPr>
          <w:trHeight w:val="202"/>
        </w:trPr>
        <w:tc>
          <w:tcPr>
            <w:tcW w:w="5824" w:type="dxa"/>
            <w:gridSpan w:val="2"/>
            <w:tcBorders>
              <w:top w:val="single" w:sz="4" w:space="0" w:color="auto"/>
              <w:bottom w:val="double" w:sz="4" w:space="0" w:color="auto"/>
            </w:tcBorders>
            <w:vAlign w:val="bottom"/>
          </w:tcPr>
          <w:p w14:paraId="17030140" w14:textId="4C428856" w:rsidR="007409AD" w:rsidRPr="003A176D" w:rsidRDefault="007409AD" w:rsidP="00EC65B6">
            <w:pPr>
              <w:spacing w:after="0" w:line="240" w:lineRule="auto"/>
              <w:rPr>
                <w:rFonts w:ascii="Arial" w:hAnsi="Arial" w:cs="Arial"/>
                <w:b/>
                <w:bCs/>
                <w:sz w:val="18"/>
                <w:szCs w:val="18"/>
              </w:rPr>
            </w:pPr>
            <w:r w:rsidRPr="003A176D">
              <w:rPr>
                <w:rFonts w:ascii="Arial" w:hAnsi="Arial" w:cs="Arial"/>
                <w:b/>
                <w:bCs/>
                <w:sz w:val="18"/>
                <w:szCs w:val="18"/>
              </w:rPr>
              <w:t>Cash, ending</w:t>
            </w:r>
          </w:p>
        </w:tc>
        <w:tc>
          <w:tcPr>
            <w:tcW w:w="317" w:type="dxa"/>
            <w:tcBorders>
              <w:top w:val="single" w:sz="4" w:space="0" w:color="auto"/>
              <w:bottom w:val="double" w:sz="4" w:space="0" w:color="auto"/>
            </w:tcBorders>
            <w:vAlign w:val="bottom"/>
          </w:tcPr>
          <w:p w14:paraId="6953B968" w14:textId="6418F133" w:rsidR="007409AD" w:rsidRPr="003A176D" w:rsidRDefault="007409AD" w:rsidP="00EC65B6">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970" w:type="dxa"/>
            <w:tcBorders>
              <w:top w:val="single" w:sz="4" w:space="0" w:color="auto"/>
              <w:bottom w:val="double" w:sz="4" w:space="0" w:color="auto"/>
            </w:tcBorders>
            <w:vAlign w:val="bottom"/>
          </w:tcPr>
          <w:p w14:paraId="4BFCBDB9" w14:textId="6818F2C2" w:rsidR="007409AD" w:rsidRPr="003A176D" w:rsidRDefault="008722F0" w:rsidP="00EC65B6">
            <w:pPr>
              <w:spacing w:after="0" w:line="240" w:lineRule="auto"/>
              <w:jc w:val="right"/>
              <w:rPr>
                <w:rFonts w:ascii="Arial" w:hAnsi="Arial" w:cs="Arial"/>
                <w:b/>
                <w:bCs/>
                <w:sz w:val="18"/>
                <w:szCs w:val="18"/>
              </w:rPr>
            </w:pPr>
            <w:r w:rsidRPr="003A176D">
              <w:rPr>
                <w:rFonts w:ascii="Arial" w:hAnsi="Arial" w:cs="Arial"/>
                <w:b/>
                <w:bCs/>
                <w:sz w:val="18"/>
                <w:szCs w:val="18"/>
              </w:rPr>
              <w:t>892,611</w:t>
            </w:r>
          </w:p>
        </w:tc>
        <w:tc>
          <w:tcPr>
            <w:tcW w:w="317" w:type="dxa"/>
            <w:tcBorders>
              <w:top w:val="single" w:sz="4" w:space="0" w:color="auto"/>
              <w:bottom w:val="double" w:sz="4" w:space="0" w:color="auto"/>
            </w:tcBorders>
            <w:vAlign w:val="bottom"/>
          </w:tcPr>
          <w:p w14:paraId="3A072E1C" w14:textId="2BEA2AC3" w:rsidR="007409AD" w:rsidRPr="003A176D" w:rsidRDefault="007409AD" w:rsidP="00EC65B6">
            <w:pPr>
              <w:spacing w:after="0" w:line="240" w:lineRule="auto"/>
              <w:jc w:val="right"/>
              <w:rPr>
                <w:rFonts w:ascii="Arial" w:hAnsi="Arial" w:cs="Arial"/>
                <w:b/>
                <w:bCs/>
                <w:sz w:val="18"/>
                <w:szCs w:val="18"/>
              </w:rPr>
            </w:pPr>
            <w:r w:rsidRPr="003A176D">
              <w:rPr>
                <w:rFonts w:ascii="Arial" w:hAnsi="Arial" w:cs="Arial"/>
                <w:b/>
                <w:bCs/>
                <w:sz w:val="18"/>
                <w:szCs w:val="18"/>
              </w:rPr>
              <w:t>$</w:t>
            </w:r>
          </w:p>
        </w:tc>
        <w:tc>
          <w:tcPr>
            <w:tcW w:w="1359" w:type="dxa"/>
            <w:tcBorders>
              <w:top w:val="single" w:sz="4" w:space="0" w:color="auto"/>
              <w:bottom w:val="double" w:sz="4" w:space="0" w:color="auto"/>
            </w:tcBorders>
            <w:vAlign w:val="bottom"/>
          </w:tcPr>
          <w:p w14:paraId="4080C216" w14:textId="3F859ACC" w:rsidR="007409AD" w:rsidRPr="003A176D" w:rsidRDefault="002A774E" w:rsidP="00EC65B6">
            <w:pPr>
              <w:spacing w:after="0" w:line="240" w:lineRule="auto"/>
              <w:jc w:val="right"/>
              <w:rPr>
                <w:rFonts w:ascii="Arial" w:hAnsi="Arial" w:cs="Arial"/>
                <w:b/>
                <w:bCs/>
                <w:sz w:val="18"/>
                <w:szCs w:val="18"/>
              </w:rPr>
            </w:pPr>
            <w:r w:rsidRPr="003A176D">
              <w:rPr>
                <w:rFonts w:ascii="Arial" w:hAnsi="Arial" w:cs="Arial"/>
                <w:b/>
                <w:bCs/>
                <w:sz w:val="18"/>
                <w:szCs w:val="18"/>
              </w:rPr>
              <w:t>740,243</w:t>
            </w:r>
          </w:p>
        </w:tc>
      </w:tr>
    </w:tbl>
    <w:p w14:paraId="284792F1" w14:textId="0D1DCA8B" w:rsidR="00245363" w:rsidRPr="003A176D" w:rsidRDefault="00245363" w:rsidP="003B2EA6">
      <w:pPr>
        <w:spacing w:after="120" w:line="240" w:lineRule="auto"/>
        <w:rPr>
          <w:rFonts w:ascii="Arial" w:hAnsi="Arial" w:cs="Arial"/>
          <w:sz w:val="18"/>
          <w:szCs w:val="18"/>
        </w:rPr>
        <w:sectPr w:rsidR="00245363" w:rsidRPr="003A176D" w:rsidSect="008A7ED6">
          <w:headerReference w:type="default" r:id="rId17"/>
          <w:type w:val="continuous"/>
          <w:pgSz w:w="12240" w:h="15840"/>
          <w:pgMar w:top="720" w:right="1260" w:bottom="1440" w:left="1183" w:header="450" w:footer="720" w:gutter="0"/>
          <w:cols w:space="720"/>
          <w:docGrid w:linePitch="360"/>
        </w:sectPr>
      </w:pPr>
    </w:p>
    <w:p w14:paraId="6F262827" w14:textId="2686D80B" w:rsidR="0080661F" w:rsidRPr="003A176D" w:rsidRDefault="0080661F" w:rsidP="004A394F">
      <w:pPr>
        <w:pStyle w:val="ListParagraph"/>
        <w:numPr>
          <w:ilvl w:val="0"/>
          <w:numId w:val="4"/>
        </w:numPr>
        <w:autoSpaceDE w:val="0"/>
        <w:autoSpaceDN w:val="0"/>
        <w:adjustRightInd w:val="0"/>
        <w:spacing w:after="0" w:line="240" w:lineRule="auto"/>
        <w:rPr>
          <w:rFonts w:cs="Calibri"/>
          <w:b/>
          <w:bCs/>
          <w:sz w:val="20"/>
          <w:szCs w:val="20"/>
        </w:rPr>
      </w:pPr>
      <w:r w:rsidRPr="003A176D">
        <w:rPr>
          <w:rFonts w:cs="Calibri"/>
          <w:b/>
          <w:bCs/>
          <w:sz w:val="20"/>
          <w:szCs w:val="20"/>
        </w:rPr>
        <w:lastRenderedPageBreak/>
        <w:t xml:space="preserve">Nature of </w:t>
      </w:r>
      <w:r w:rsidR="00B926BF" w:rsidRPr="003A176D">
        <w:rPr>
          <w:rFonts w:cs="Calibri"/>
          <w:b/>
          <w:bCs/>
          <w:sz w:val="20"/>
          <w:szCs w:val="20"/>
        </w:rPr>
        <w:t>O</w:t>
      </w:r>
      <w:r w:rsidRPr="003A176D">
        <w:rPr>
          <w:rFonts w:cs="Calibri"/>
          <w:b/>
          <w:bCs/>
          <w:sz w:val="20"/>
          <w:szCs w:val="20"/>
        </w:rPr>
        <w:t>perations</w:t>
      </w:r>
      <w:r w:rsidR="00031FBA" w:rsidRPr="003A176D">
        <w:rPr>
          <w:rFonts w:cs="Calibri"/>
          <w:b/>
          <w:bCs/>
          <w:sz w:val="20"/>
          <w:szCs w:val="20"/>
        </w:rPr>
        <w:t xml:space="preserve"> and </w:t>
      </w:r>
      <w:r w:rsidR="00B926BF" w:rsidRPr="003A176D">
        <w:rPr>
          <w:rFonts w:cs="Calibri"/>
          <w:b/>
          <w:bCs/>
          <w:sz w:val="20"/>
          <w:szCs w:val="20"/>
        </w:rPr>
        <w:t>G</w:t>
      </w:r>
      <w:r w:rsidR="00031FBA" w:rsidRPr="003A176D">
        <w:rPr>
          <w:rFonts w:cs="Calibri"/>
          <w:b/>
          <w:bCs/>
          <w:sz w:val="20"/>
          <w:szCs w:val="20"/>
        </w:rPr>
        <w:t xml:space="preserve">oing </w:t>
      </w:r>
      <w:r w:rsidR="00B926BF" w:rsidRPr="003A176D">
        <w:rPr>
          <w:rFonts w:cs="Calibri"/>
          <w:b/>
          <w:bCs/>
          <w:sz w:val="20"/>
          <w:szCs w:val="20"/>
        </w:rPr>
        <w:t>C</w:t>
      </w:r>
      <w:r w:rsidR="00031FBA" w:rsidRPr="003A176D">
        <w:rPr>
          <w:rFonts w:cs="Calibri"/>
          <w:b/>
          <w:bCs/>
          <w:sz w:val="20"/>
          <w:szCs w:val="20"/>
        </w:rPr>
        <w:t>oncern</w:t>
      </w:r>
    </w:p>
    <w:p w14:paraId="25DF6312" w14:textId="77777777" w:rsidR="0080661F" w:rsidRPr="003A176D" w:rsidRDefault="0080661F" w:rsidP="0080661F">
      <w:pPr>
        <w:autoSpaceDE w:val="0"/>
        <w:autoSpaceDN w:val="0"/>
        <w:adjustRightInd w:val="0"/>
        <w:spacing w:after="0" w:line="240" w:lineRule="auto"/>
        <w:rPr>
          <w:rFonts w:cs="Calibri"/>
          <w:b/>
          <w:bCs/>
          <w:sz w:val="20"/>
          <w:szCs w:val="20"/>
        </w:rPr>
      </w:pPr>
    </w:p>
    <w:p w14:paraId="66C06CB8" w14:textId="44347F0F" w:rsidR="00031FBA" w:rsidRPr="003A176D" w:rsidRDefault="00C07EAB" w:rsidP="00C07EAB">
      <w:pPr>
        <w:spacing w:after="0" w:line="240" w:lineRule="auto"/>
        <w:ind w:left="360"/>
        <w:jc w:val="both"/>
        <w:rPr>
          <w:rFonts w:cs="Calibri"/>
          <w:sz w:val="20"/>
          <w:szCs w:val="20"/>
        </w:rPr>
      </w:pPr>
      <w:r w:rsidRPr="003A176D">
        <w:rPr>
          <w:rFonts w:cs="Calibri"/>
          <w:sz w:val="20"/>
          <w:szCs w:val="20"/>
        </w:rPr>
        <w:t xml:space="preserve">FansUnite Entertainment Inc. </w:t>
      </w:r>
      <w:r w:rsidR="00D623AE" w:rsidRPr="003A176D">
        <w:rPr>
          <w:rFonts w:cs="Calibri"/>
          <w:sz w:val="20"/>
          <w:szCs w:val="20"/>
        </w:rPr>
        <w:t>(the “Company”)</w:t>
      </w:r>
      <w:r w:rsidRPr="003A176D">
        <w:rPr>
          <w:rFonts w:cs="Calibri"/>
          <w:sz w:val="20"/>
          <w:szCs w:val="20"/>
        </w:rPr>
        <w:t xml:space="preserve"> was incorporated under the Business Corporations Act of British Columbia on November 9, 2018 under the name HIC Horizon Investments Capital Ltd.  </w:t>
      </w:r>
      <w:r w:rsidR="00962D8B" w:rsidRPr="003A176D">
        <w:rPr>
          <w:rFonts w:cs="Calibri"/>
          <w:sz w:val="20"/>
          <w:szCs w:val="20"/>
        </w:rPr>
        <w:t xml:space="preserve">On </w:t>
      </w:r>
      <w:r w:rsidR="008D11CC" w:rsidRPr="003A176D">
        <w:rPr>
          <w:rFonts w:cs="Calibri"/>
          <w:sz w:val="20"/>
          <w:szCs w:val="20"/>
        </w:rPr>
        <w:t xml:space="preserve">March </w:t>
      </w:r>
      <w:r w:rsidRPr="003A176D">
        <w:rPr>
          <w:rFonts w:cs="Calibri"/>
          <w:sz w:val="20"/>
          <w:szCs w:val="20"/>
        </w:rPr>
        <w:t>2</w:t>
      </w:r>
      <w:r w:rsidR="008D11CC" w:rsidRPr="003A176D">
        <w:rPr>
          <w:rFonts w:cs="Calibri"/>
          <w:sz w:val="20"/>
          <w:szCs w:val="20"/>
        </w:rPr>
        <w:t>6, 20</w:t>
      </w:r>
      <w:r w:rsidRPr="003A176D">
        <w:rPr>
          <w:rFonts w:cs="Calibri"/>
          <w:sz w:val="20"/>
          <w:szCs w:val="20"/>
        </w:rPr>
        <w:t>20</w:t>
      </w:r>
      <w:r w:rsidR="00962D8B" w:rsidRPr="003A176D">
        <w:rPr>
          <w:rFonts w:cs="Calibri"/>
          <w:sz w:val="20"/>
          <w:szCs w:val="20"/>
        </w:rPr>
        <w:t xml:space="preserve">, the Company </w:t>
      </w:r>
      <w:r w:rsidR="00586BDC" w:rsidRPr="003A176D">
        <w:rPr>
          <w:rFonts w:cs="Calibri"/>
          <w:sz w:val="20"/>
          <w:szCs w:val="20"/>
        </w:rPr>
        <w:t>changed its name</w:t>
      </w:r>
      <w:r w:rsidR="00962D8B" w:rsidRPr="003A176D">
        <w:rPr>
          <w:rFonts w:cs="Calibri"/>
          <w:sz w:val="20"/>
          <w:szCs w:val="20"/>
        </w:rPr>
        <w:t xml:space="preserve"> to </w:t>
      </w:r>
      <w:r w:rsidR="008D11CC" w:rsidRPr="003A176D">
        <w:rPr>
          <w:rFonts w:cs="Calibri"/>
          <w:sz w:val="20"/>
          <w:szCs w:val="20"/>
        </w:rPr>
        <w:t>FansUnite Entertainment Inc</w:t>
      </w:r>
      <w:r w:rsidR="00962D8B" w:rsidRPr="003A176D">
        <w:rPr>
          <w:rFonts w:cs="Calibri"/>
          <w:sz w:val="20"/>
          <w:szCs w:val="20"/>
        </w:rPr>
        <w:t xml:space="preserve">. </w:t>
      </w:r>
      <w:r w:rsidR="001C5F98" w:rsidRPr="003A176D">
        <w:rPr>
          <w:rFonts w:cs="Calibri"/>
          <w:sz w:val="20"/>
          <w:szCs w:val="20"/>
        </w:rPr>
        <w:t xml:space="preserve">The Company is a </w:t>
      </w:r>
      <w:r w:rsidRPr="003A176D">
        <w:rPr>
          <w:rFonts w:cs="Calibri"/>
          <w:sz w:val="20"/>
          <w:szCs w:val="20"/>
        </w:rPr>
        <w:t>Sports and Entertainment company, focusing on technology related to regulated and lawful online sports betting, casino and other related products.</w:t>
      </w:r>
      <w:r w:rsidRPr="003A176D">
        <w:rPr>
          <w:rFonts w:ascii="Avenir" w:hAnsi="Avenir"/>
          <w:i/>
          <w:iCs/>
          <w:color w:val="000000"/>
          <w:shd w:val="clear" w:color="auto" w:fill="FFFFFF"/>
        </w:rPr>
        <w:t> </w:t>
      </w:r>
    </w:p>
    <w:p w14:paraId="770CD3FA" w14:textId="77777777" w:rsidR="00F62D71" w:rsidRPr="003A176D" w:rsidRDefault="00F62D71" w:rsidP="00D623AE">
      <w:pPr>
        <w:autoSpaceDE w:val="0"/>
        <w:autoSpaceDN w:val="0"/>
        <w:adjustRightInd w:val="0"/>
        <w:spacing w:after="0" w:line="240" w:lineRule="auto"/>
        <w:ind w:left="360"/>
        <w:jc w:val="both"/>
        <w:rPr>
          <w:rFonts w:cs="Calibri"/>
          <w:sz w:val="20"/>
          <w:szCs w:val="20"/>
        </w:rPr>
      </w:pPr>
    </w:p>
    <w:p w14:paraId="3150FC9D" w14:textId="77777777" w:rsidR="00884D7F" w:rsidRPr="003A176D" w:rsidRDefault="00D623AE" w:rsidP="00D623AE">
      <w:pPr>
        <w:autoSpaceDE w:val="0"/>
        <w:autoSpaceDN w:val="0"/>
        <w:adjustRightInd w:val="0"/>
        <w:spacing w:after="0" w:line="240" w:lineRule="auto"/>
        <w:ind w:left="360"/>
        <w:jc w:val="both"/>
        <w:rPr>
          <w:rFonts w:cs="Calibri"/>
          <w:sz w:val="20"/>
          <w:szCs w:val="20"/>
        </w:rPr>
      </w:pPr>
      <w:r w:rsidRPr="003A176D">
        <w:rPr>
          <w:rFonts w:cs="Calibri"/>
          <w:sz w:val="20"/>
          <w:szCs w:val="20"/>
        </w:rPr>
        <w:t xml:space="preserve">The Company’s </w:t>
      </w:r>
      <w:r w:rsidR="00C07EAB" w:rsidRPr="003A176D">
        <w:rPr>
          <w:rFonts w:cs="Calibri"/>
          <w:sz w:val="20"/>
          <w:szCs w:val="20"/>
        </w:rPr>
        <w:t xml:space="preserve">head office and </w:t>
      </w:r>
      <w:r w:rsidRPr="003A176D">
        <w:rPr>
          <w:rFonts w:cs="Calibri"/>
          <w:sz w:val="20"/>
          <w:szCs w:val="20"/>
        </w:rPr>
        <w:t xml:space="preserve">registered office is at Suite </w:t>
      </w:r>
      <w:r w:rsidR="00B733DE" w:rsidRPr="003A176D">
        <w:rPr>
          <w:rFonts w:cs="Calibri"/>
          <w:sz w:val="20"/>
          <w:szCs w:val="20"/>
        </w:rPr>
        <w:t>1080</w:t>
      </w:r>
      <w:r w:rsidR="004A63DC" w:rsidRPr="003A176D">
        <w:rPr>
          <w:rFonts w:cs="Calibri"/>
          <w:sz w:val="20"/>
          <w:szCs w:val="20"/>
        </w:rPr>
        <w:t>,</w:t>
      </w:r>
      <w:r w:rsidRPr="003A176D">
        <w:rPr>
          <w:rFonts w:cs="Calibri"/>
          <w:sz w:val="20"/>
          <w:szCs w:val="20"/>
        </w:rPr>
        <w:t xml:space="preserve"> </w:t>
      </w:r>
      <w:r w:rsidR="00A20CE6" w:rsidRPr="003A176D">
        <w:rPr>
          <w:rFonts w:cs="Calibri"/>
          <w:sz w:val="20"/>
          <w:szCs w:val="20"/>
        </w:rPr>
        <w:t>7</w:t>
      </w:r>
      <w:r w:rsidR="00B733DE" w:rsidRPr="003A176D">
        <w:rPr>
          <w:rFonts w:cs="Calibri"/>
          <w:sz w:val="20"/>
          <w:szCs w:val="20"/>
        </w:rPr>
        <w:t>89</w:t>
      </w:r>
      <w:r w:rsidRPr="003A176D">
        <w:rPr>
          <w:rFonts w:cs="Calibri"/>
          <w:sz w:val="20"/>
          <w:szCs w:val="20"/>
        </w:rPr>
        <w:t xml:space="preserve"> West </w:t>
      </w:r>
      <w:r w:rsidR="00A20CE6" w:rsidRPr="003A176D">
        <w:rPr>
          <w:rFonts w:cs="Calibri"/>
          <w:sz w:val="20"/>
          <w:szCs w:val="20"/>
        </w:rPr>
        <w:t>Pender</w:t>
      </w:r>
      <w:r w:rsidRPr="003A176D">
        <w:rPr>
          <w:rFonts w:cs="Calibri"/>
          <w:sz w:val="20"/>
          <w:szCs w:val="20"/>
        </w:rPr>
        <w:t xml:space="preserve"> Street, Vancouver, British Columbia, V6C </w:t>
      </w:r>
      <w:r w:rsidR="00A20CE6" w:rsidRPr="003A176D">
        <w:rPr>
          <w:rFonts w:cs="Calibri"/>
          <w:sz w:val="20"/>
          <w:szCs w:val="20"/>
        </w:rPr>
        <w:t>1</w:t>
      </w:r>
      <w:r w:rsidR="00B733DE" w:rsidRPr="003A176D">
        <w:rPr>
          <w:rFonts w:cs="Calibri"/>
          <w:sz w:val="20"/>
          <w:szCs w:val="20"/>
        </w:rPr>
        <w:t>H2</w:t>
      </w:r>
      <w:r w:rsidRPr="003A176D">
        <w:rPr>
          <w:rFonts w:cs="Calibri"/>
          <w:sz w:val="20"/>
          <w:szCs w:val="20"/>
        </w:rPr>
        <w:t xml:space="preserve">. </w:t>
      </w:r>
      <w:r w:rsidR="004A63DC" w:rsidRPr="003A176D">
        <w:rPr>
          <w:rFonts w:cs="Calibri"/>
          <w:sz w:val="20"/>
          <w:szCs w:val="20"/>
        </w:rPr>
        <w:t xml:space="preserve"> </w:t>
      </w:r>
      <w:r w:rsidR="00B42F1A" w:rsidRPr="003A176D">
        <w:rPr>
          <w:rFonts w:cs="Calibri"/>
          <w:sz w:val="20"/>
          <w:szCs w:val="20"/>
        </w:rPr>
        <w:t xml:space="preserve"> </w:t>
      </w:r>
    </w:p>
    <w:p w14:paraId="60FCE4F0" w14:textId="60E7B6C8" w:rsidR="00884D7F" w:rsidRPr="003A176D" w:rsidRDefault="00884D7F" w:rsidP="00D623AE">
      <w:pPr>
        <w:autoSpaceDE w:val="0"/>
        <w:autoSpaceDN w:val="0"/>
        <w:adjustRightInd w:val="0"/>
        <w:spacing w:after="0" w:line="240" w:lineRule="auto"/>
        <w:ind w:left="360"/>
        <w:jc w:val="both"/>
        <w:rPr>
          <w:rFonts w:cs="Calibri"/>
          <w:sz w:val="20"/>
          <w:szCs w:val="20"/>
        </w:rPr>
      </w:pPr>
    </w:p>
    <w:p w14:paraId="345C1091" w14:textId="2B0B725A" w:rsidR="00884D7F" w:rsidRPr="003A176D" w:rsidRDefault="00884D7F" w:rsidP="00D623AE">
      <w:pPr>
        <w:autoSpaceDE w:val="0"/>
        <w:autoSpaceDN w:val="0"/>
        <w:adjustRightInd w:val="0"/>
        <w:spacing w:after="0" w:line="240" w:lineRule="auto"/>
        <w:ind w:left="360"/>
        <w:jc w:val="both"/>
        <w:rPr>
          <w:rFonts w:cs="Calibri"/>
          <w:sz w:val="20"/>
          <w:szCs w:val="20"/>
        </w:rPr>
      </w:pPr>
      <w:r w:rsidRPr="003A176D">
        <w:rPr>
          <w:rFonts w:cs="Calibri"/>
          <w:sz w:val="20"/>
          <w:szCs w:val="20"/>
        </w:rPr>
        <w:t>On March 26, 2020 the Company completed an amalgamation with FansUnite Holdings Inc. (formerly FansUnite Entertainment Inc.)</w:t>
      </w:r>
      <w:r w:rsidR="00277AEE" w:rsidRPr="003A176D">
        <w:rPr>
          <w:rFonts w:cs="Calibri"/>
          <w:sz w:val="20"/>
          <w:szCs w:val="20"/>
        </w:rPr>
        <w:t xml:space="preserve">, a Company existing under the laws of British Columbia with its head office in Vancouver, British Columbia. </w:t>
      </w:r>
    </w:p>
    <w:p w14:paraId="0A31F746" w14:textId="77777777" w:rsidR="00277AEE" w:rsidRPr="003A176D" w:rsidRDefault="00277AEE" w:rsidP="00D623AE">
      <w:pPr>
        <w:autoSpaceDE w:val="0"/>
        <w:autoSpaceDN w:val="0"/>
        <w:adjustRightInd w:val="0"/>
        <w:spacing w:after="0" w:line="240" w:lineRule="auto"/>
        <w:ind w:left="360"/>
        <w:jc w:val="both"/>
        <w:rPr>
          <w:rFonts w:cs="Calibri"/>
          <w:sz w:val="20"/>
          <w:szCs w:val="20"/>
        </w:rPr>
      </w:pPr>
    </w:p>
    <w:p w14:paraId="0F294DE4" w14:textId="4C110D59" w:rsidR="00D623AE" w:rsidRPr="003A176D" w:rsidRDefault="00B42F1A" w:rsidP="00D623AE">
      <w:pPr>
        <w:autoSpaceDE w:val="0"/>
        <w:autoSpaceDN w:val="0"/>
        <w:adjustRightInd w:val="0"/>
        <w:spacing w:after="0" w:line="240" w:lineRule="auto"/>
        <w:ind w:left="360"/>
        <w:jc w:val="both"/>
        <w:rPr>
          <w:rFonts w:cs="Calibri"/>
          <w:sz w:val="20"/>
          <w:szCs w:val="20"/>
        </w:rPr>
      </w:pPr>
      <w:r w:rsidRPr="003A176D">
        <w:rPr>
          <w:rFonts w:cs="Calibri"/>
          <w:sz w:val="20"/>
          <w:szCs w:val="20"/>
        </w:rPr>
        <w:t xml:space="preserve">The Company’s shares </w:t>
      </w:r>
      <w:r w:rsidR="00884D7F" w:rsidRPr="003A176D">
        <w:rPr>
          <w:rFonts w:cs="Calibri"/>
          <w:sz w:val="20"/>
          <w:szCs w:val="20"/>
        </w:rPr>
        <w:t xml:space="preserve">commenced </w:t>
      </w:r>
      <w:r w:rsidR="00BA19E3" w:rsidRPr="003A176D">
        <w:rPr>
          <w:rFonts w:cs="Calibri"/>
          <w:sz w:val="20"/>
          <w:szCs w:val="20"/>
        </w:rPr>
        <w:t>trad</w:t>
      </w:r>
      <w:r w:rsidR="00884D7F" w:rsidRPr="003A176D">
        <w:rPr>
          <w:rFonts w:cs="Calibri"/>
          <w:sz w:val="20"/>
          <w:szCs w:val="20"/>
        </w:rPr>
        <w:t>ing</w:t>
      </w:r>
      <w:r w:rsidR="00BA19E3" w:rsidRPr="003A176D">
        <w:rPr>
          <w:rFonts w:cs="Calibri"/>
          <w:sz w:val="20"/>
          <w:szCs w:val="20"/>
        </w:rPr>
        <w:t xml:space="preserve"> on the Canadian Securities Exchange </w:t>
      </w:r>
      <w:r w:rsidR="00884D7F" w:rsidRPr="003A176D">
        <w:rPr>
          <w:rFonts w:cs="Calibri"/>
          <w:sz w:val="20"/>
          <w:szCs w:val="20"/>
        </w:rPr>
        <w:t>(“CSE”) on May 5, 2020 under the symbol FANS (note 12)</w:t>
      </w:r>
      <w:r w:rsidR="008D11CC" w:rsidRPr="003A176D">
        <w:rPr>
          <w:rFonts w:cs="Calibri"/>
          <w:sz w:val="20"/>
          <w:szCs w:val="20"/>
        </w:rPr>
        <w:t>.</w:t>
      </w:r>
    </w:p>
    <w:p w14:paraId="323664DB" w14:textId="6BC7EF36" w:rsidR="00884D7F" w:rsidRPr="003A176D" w:rsidRDefault="00884D7F" w:rsidP="00D623AE">
      <w:pPr>
        <w:autoSpaceDE w:val="0"/>
        <w:autoSpaceDN w:val="0"/>
        <w:adjustRightInd w:val="0"/>
        <w:spacing w:after="0" w:line="240" w:lineRule="auto"/>
        <w:ind w:left="360"/>
        <w:jc w:val="both"/>
        <w:rPr>
          <w:rFonts w:cs="Calibri"/>
          <w:sz w:val="20"/>
          <w:szCs w:val="20"/>
        </w:rPr>
      </w:pPr>
    </w:p>
    <w:p w14:paraId="16F1A635" w14:textId="3B8898EC" w:rsidR="00863E14" w:rsidRPr="003A176D" w:rsidRDefault="00D3795B" w:rsidP="0073356E">
      <w:pPr>
        <w:spacing w:after="0" w:line="240" w:lineRule="auto"/>
        <w:ind w:left="360"/>
        <w:jc w:val="both"/>
        <w:rPr>
          <w:rFonts w:cs="Calibri"/>
          <w:sz w:val="20"/>
          <w:szCs w:val="20"/>
        </w:rPr>
      </w:pPr>
      <w:r w:rsidRPr="003A176D">
        <w:rPr>
          <w:rFonts w:cs="Calibri"/>
          <w:sz w:val="20"/>
          <w:szCs w:val="20"/>
        </w:rPr>
        <w:t>These consolidated financial statements have been prepared on a going concern basis</w:t>
      </w:r>
      <w:r w:rsidR="004912B0" w:rsidRPr="003A176D">
        <w:rPr>
          <w:rFonts w:cs="Calibri"/>
          <w:sz w:val="20"/>
          <w:szCs w:val="20"/>
        </w:rPr>
        <w:t xml:space="preserve"> </w:t>
      </w:r>
      <w:r w:rsidRPr="003A176D">
        <w:rPr>
          <w:rFonts w:cs="Calibri"/>
          <w:sz w:val="20"/>
          <w:szCs w:val="20"/>
        </w:rPr>
        <w:t>which assumes that the Company will be able to realize its assets and discharge its liabilities in the normal course of business</w:t>
      </w:r>
      <w:r w:rsidR="00712986" w:rsidRPr="003A176D">
        <w:rPr>
          <w:rFonts w:cs="Calibri"/>
          <w:sz w:val="20"/>
          <w:szCs w:val="20"/>
        </w:rPr>
        <w:t xml:space="preserve"> for the foreseeable future</w:t>
      </w:r>
      <w:r w:rsidRPr="003A176D">
        <w:rPr>
          <w:rFonts w:cs="Calibri"/>
          <w:sz w:val="20"/>
          <w:szCs w:val="20"/>
        </w:rPr>
        <w:t xml:space="preserve">.  As at </w:t>
      </w:r>
      <w:r w:rsidR="002A774E" w:rsidRPr="003A176D">
        <w:rPr>
          <w:rFonts w:cs="Calibri"/>
          <w:sz w:val="20"/>
          <w:szCs w:val="20"/>
        </w:rPr>
        <w:t>June 30</w:t>
      </w:r>
      <w:r w:rsidR="00BA19E3" w:rsidRPr="003A176D">
        <w:rPr>
          <w:rFonts w:cs="Calibri"/>
          <w:sz w:val="20"/>
          <w:szCs w:val="20"/>
        </w:rPr>
        <w:t>, 2020</w:t>
      </w:r>
      <w:r w:rsidRPr="003A176D">
        <w:rPr>
          <w:rFonts w:cs="Calibri"/>
          <w:sz w:val="20"/>
          <w:szCs w:val="20"/>
        </w:rPr>
        <w:t xml:space="preserve">, the Company had </w:t>
      </w:r>
      <w:r w:rsidR="001E6711" w:rsidRPr="003A176D">
        <w:rPr>
          <w:rFonts w:cs="Calibri"/>
          <w:sz w:val="20"/>
          <w:szCs w:val="20"/>
        </w:rPr>
        <w:t xml:space="preserve">net </w:t>
      </w:r>
      <w:r w:rsidR="00C66E91" w:rsidRPr="003A176D">
        <w:rPr>
          <w:rFonts w:cs="Calibri"/>
          <w:sz w:val="20"/>
          <w:szCs w:val="20"/>
        </w:rPr>
        <w:t xml:space="preserve">working </w:t>
      </w:r>
      <w:r w:rsidR="00BA19E3" w:rsidRPr="003A176D">
        <w:rPr>
          <w:rFonts w:cs="Calibri"/>
          <w:sz w:val="20"/>
          <w:szCs w:val="20"/>
        </w:rPr>
        <w:t>capital</w:t>
      </w:r>
      <w:r w:rsidR="00C66E91" w:rsidRPr="003A176D">
        <w:rPr>
          <w:rFonts w:cs="Calibri"/>
          <w:sz w:val="20"/>
          <w:szCs w:val="20"/>
        </w:rPr>
        <w:t xml:space="preserve"> </w:t>
      </w:r>
      <w:r w:rsidRPr="003A176D">
        <w:rPr>
          <w:rFonts w:cs="Calibri"/>
          <w:sz w:val="20"/>
          <w:szCs w:val="20"/>
        </w:rPr>
        <w:t>of $</w:t>
      </w:r>
      <w:r w:rsidR="00BA19E3" w:rsidRPr="003A176D">
        <w:rPr>
          <w:rFonts w:cs="Calibri"/>
          <w:sz w:val="20"/>
          <w:szCs w:val="20"/>
        </w:rPr>
        <w:t>2,</w:t>
      </w:r>
      <w:r w:rsidR="002A774E" w:rsidRPr="003A176D">
        <w:rPr>
          <w:rFonts w:cs="Calibri"/>
          <w:sz w:val="20"/>
          <w:szCs w:val="20"/>
        </w:rPr>
        <w:t>173,718</w:t>
      </w:r>
      <w:r w:rsidR="00C66E91" w:rsidRPr="003A176D">
        <w:rPr>
          <w:rFonts w:cs="Calibri"/>
          <w:sz w:val="20"/>
          <w:szCs w:val="20"/>
        </w:rPr>
        <w:t xml:space="preserve"> </w:t>
      </w:r>
      <w:r w:rsidRPr="003A176D">
        <w:rPr>
          <w:rFonts w:cs="Calibri"/>
          <w:sz w:val="20"/>
          <w:szCs w:val="20"/>
        </w:rPr>
        <w:t>(</w:t>
      </w:r>
      <w:r w:rsidR="00C66E91" w:rsidRPr="003A176D">
        <w:rPr>
          <w:rFonts w:cs="Calibri"/>
          <w:sz w:val="20"/>
          <w:szCs w:val="20"/>
        </w:rPr>
        <w:t xml:space="preserve">December 31, </w:t>
      </w:r>
      <w:r w:rsidRPr="003A176D">
        <w:rPr>
          <w:rFonts w:cs="Calibri"/>
          <w:sz w:val="20"/>
          <w:szCs w:val="20"/>
        </w:rPr>
        <w:t>201</w:t>
      </w:r>
      <w:r w:rsidR="00277AEE" w:rsidRPr="003A176D">
        <w:rPr>
          <w:rFonts w:cs="Calibri"/>
          <w:sz w:val="20"/>
          <w:szCs w:val="20"/>
        </w:rPr>
        <w:t>9</w:t>
      </w:r>
      <w:r w:rsidRPr="003A176D">
        <w:rPr>
          <w:rFonts w:cs="Calibri"/>
          <w:sz w:val="20"/>
          <w:szCs w:val="20"/>
        </w:rPr>
        <w:t xml:space="preserve"> </w:t>
      </w:r>
      <w:r w:rsidR="00B414A0" w:rsidRPr="003A176D">
        <w:rPr>
          <w:rFonts w:cs="Calibri"/>
          <w:sz w:val="20"/>
          <w:szCs w:val="20"/>
        </w:rPr>
        <w:t>–</w:t>
      </w:r>
      <w:r w:rsidR="00C66E91" w:rsidRPr="003A176D">
        <w:rPr>
          <w:rFonts w:cs="Calibri"/>
          <w:sz w:val="20"/>
          <w:szCs w:val="20"/>
        </w:rPr>
        <w:t xml:space="preserve"> working capital </w:t>
      </w:r>
      <w:r w:rsidR="00BA19E3" w:rsidRPr="003A176D">
        <w:rPr>
          <w:rFonts w:cs="Calibri"/>
          <w:sz w:val="20"/>
          <w:szCs w:val="20"/>
        </w:rPr>
        <w:t xml:space="preserve">deficit </w:t>
      </w:r>
      <w:r w:rsidR="00C66E91" w:rsidRPr="003A176D">
        <w:rPr>
          <w:rFonts w:cs="Calibri"/>
          <w:sz w:val="20"/>
          <w:szCs w:val="20"/>
        </w:rPr>
        <w:t xml:space="preserve">of </w:t>
      </w:r>
      <w:r w:rsidR="008B0590" w:rsidRPr="003A176D">
        <w:rPr>
          <w:rFonts w:cs="Calibri"/>
          <w:sz w:val="20"/>
          <w:szCs w:val="20"/>
        </w:rPr>
        <w:t>$</w:t>
      </w:r>
      <w:r w:rsidR="00BA19E3" w:rsidRPr="003A176D">
        <w:rPr>
          <w:rFonts w:cs="Calibri"/>
          <w:sz w:val="20"/>
          <w:szCs w:val="20"/>
        </w:rPr>
        <w:t>556,637</w:t>
      </w:r>
      <w:r w:rsidRPr="003A176D">
        <w:rPr>
          <w:rFonts w:cs="Calibri"/>
          <w:sz w:val="20"/>
          <w:szCs w:val="20"/>
        </w:rPr>
        <w:t>)</w:t>
      </w:r>
      <w:r w:rsidR="003B2E2D" w:rsidRPr="003A176D">
        <w:rPr>
          <w:rFonts w:cs="Calibri"/>
          <w:sz w:val="20"/>
          <w:szCs w:val="20"/>
        </w:rPr>
        <w:t xml:space="preserve"> and </w:t>
      </w:r>
      <w:r w:rsidR="001E6711" w:rsidRPr="003A176D">
        <w:rPr>
          <w:rFonts w:cs="Calibri"/>
          <w:sz w:val="20"/>
          <w:szCs w:val="20"/>
        </w:rPr>
        <w:t xml:space="preserve">has </w:t>
      </w:r>
      <w:r w:rsidR="003B2E2D" w:rsidRPr="003A176D">
        <w:rPr>
          <w:rFonts w:cs="Calibri"/>
          <w:sz w:val="20"/>
          <w:szCs w:val="20"/>
        </w:rPr>
        <w:t>an accumulated deficit of $</w:t>
      </w:r>
      <w:r w:rsidR="002A774E" w:rsidRPr="003A176D">
        <w:rPr>
          <w:rFonts w:cs="Calibri"/>
          <w:sz w:val="20"/>
          <w:szCs w:val="20"/>
        </w:rPr>
        <w:t>15,442,958</w:t>
      </w:r>
      <w:r w:rsidR="00277AEE" w:rsidRPr="003A176D">
        <w:rPr>
          <w:rFonts w:cs="Calibri"/>
          <w:sz w:val="20"/>
          <w:szCs w:val="20"/>
        </w:rPr>
        <w:t xml:space="preserve"> (December 31, 2019 - $6,759,823)</w:t>
      </w:r>
      <w:r w:rsidR="003B2E2D" w:rsidRPr="003A176D">
        <w:rPr>
          <w:rFonts w:cs="Calibri"/>
          <w:sz w:val="20"/>
          <w:szCs w:val="20"/>
        </w:rPr>
        <w:t>.</w:t>
      </w:r>
      <w:r w:rsidRPr="003A176D">
        <w:rPr>
          <w:rFonts w:cs="Calibri"/>
          <w:sz w:val="20"/>
          <w:szCs w:val="20"/>
        </w:rPr>
        <w:t xml:space="preserve"> These financial statements do not reflect any adjustments that may be necessary if the Company is unable to continue as a going concern.</w:t>
      </w:r>
      <w:r w:rsidR="004E5261" w:rsidRPr="003A176D">
        <w:rPr>
          <w:rFonts w:cs="Calibri"/>
          <w:sz w:val="20"/>
          <w:szCs w:val="20"/>
        </w:rPr>
        <w:t xml:space="preserve"> </w:t>
      </w:r>
    </w:p>
    <w:p w14:paraId="7D177EF8" w14:textId="0CA0C786" w:rsidR="004A35BA" w:rsidRPr="003A176D" w:rsidRDefault="004A35BA" w:rsidP="008F2272">
      <w:pPr>
        <w:autoSpaceDE w:val="0"/>
        <w:autoSpaceDN w:val="0"/>
        <w:adjustRightInd w:val="0"/>
        <w:spacing w:after="0" w:line="240" w:lineRule="auto"/>
        <w:jc w:val="both"/>
        <w:rPr>
          <w:rFonts w:cs="Calibri"/>
          <w:sz w:val="20"/>
          <w:szCs w:val="20"/>
        </w:rPr>
      </w:pPr>
    </w:p>
    <w:p w14:paraId="79C8744B" w14:textId="12902A90" w:rsidR="00B414A0" w:rsidRPr="003A176D" w:rsidRDefault="00A82098" w:rsidP="00B414A0">
      <w:pPr>
        <w:pStyle w:val="ListParagraph"/>
        <w:numPr>
          <w:ilvl w:val="0"/>
          <w:numId w:val="4"/>
        </w:numPr>
        <w:autoSpaceDE w:val="0"/>
        <w:autoSpaceDN w:val="0"/>
        <w:adjustRightInd w:val="0"/>
        <w:spacing w:after="0" w:line="240" w:lineRule="auto"/>
        <w:rPr>
          <w:rFonts w:cs="Calibri"/>
          <w:b/>
          <w:bCs/>
          <w:sz w:val="20"/>
          <w:szCs w:val="20"/>
        </w:rPr>
      </w:pPr>
      <w:r w:rsidRPr="003A176D">
        <w:rPr>
          <w:rFonts w:cs="Calibri"/>
          <w:b/>
          <w:bCs/>
          <w:sz w:val="20"/>
          <w:szCs w:val="20"/>
        </w:rPr>
        <w:t>Basis of Presentation</w:t>
      </w:r>
    </w:p>
    <w:p w14:paraId="1A22669F" w14:textId="77777777" w:rsidR="00B414A0" w:rsidRPr="003A176D" w:rsidRDefault="00B414A0" w:rsidP="00B414A0">
      <w:pPr>
        <w:pStyle w:val="ListParagraph"/>
        <w:autoSpaceDE w:val="0"/>
        <w:autoSpaceDN w:val="0"/>
        <w:adjustRightInd w:val="0"/>
        <w:spacing w:after="0" w:line="240" w:lineRule="auto"/>
        <w:ind w:left="360"/>
        <w:rPr>
          <w:rFonts w:cs="Calibri"/>
          <w:b/>
          <w:bCs/>
          <w:sz w:val="20"/>
          <w:szCs w:val="20"/>
        </w:rPr>
      </w:pPr>
    </w:p>
    <w:p w14:paraId="34C7A187" w14:textId="77777777" w:rsidR="00B414A0" w:rsidRPr="003A176D" w:rsidRDefault="00B414A0" w:rsidP="00B414A0">
      <w:pPr>
        <w:pStyle w:val="ListParagraph"/>
        <w:autoSpaceDE w:val="0"/>
        <w:autoSpaceDN w:val="0"/>
        <w:adjustRightInd w:val="0"/>
        <w:spacing w:after="0" w:line="240" w:lineRule="auto"/>
        <w:ind w:left="360"/>
        <w:rPr>
          <w:rFonts w:cs="Calibri"/>
          <w:bCs/>
          <w:sz w:val="20"/>
          <w:szCs w:val="20"/>
        </w:rPr>
      </w:pPr>
      <w:r w:rsidRPr="003A176D">
        <w:rPr>
          <w:rFonts w:cs="Calibri"/>
          <w:bCs/>
          <w:sz w:val="20"/>
          <w:szCs w:val="20"/>
        </w:rPr>
        <w:t>a)</w:t>
      </w:r>
      <w:r w:rsidRPr="003A176D">
        <w:rPr>
          <w:rFonts w:cs="Calibri"/>
          <w:bCs/>
          <w:sz w:val="20"/>
          <w:szCs w:val="20"/>
        </w:rPr>
        <w:tab/>
        <w:t>Statement of Compliance</w:t>
      </w:r>
    </w:p>
    <w:p w14:paraId="698C819F" w14:textId="77777777" w:rsidR="00B414A0" w:rsidRPr="003A176D" w:rsidRDefault="00B414A0" w:rsidP="00B414A0">
      <w:pPr>
        <w:pStyle w:val="ListParagraph"/>
        <w:autoSpaceDE w:val="0"/>
        <w:autoSpaceDN w:val="0"/>
        <w:adjustRightInd w:val="0"/>
        <w:spacing w:after="0" w:line="240" w:lineRule="auto"/>
        <w:ind w:left="360"/>
        <w:rPr>
          <w:rFonts w:cs="Calibri"/>
          <w:bCs/>
          <w:sz w:val="20"/>
          <w:szCs w:val="20"/>
        </w:rPr>
      </w:pPr>
    </w:p>
    <w:p w14:paraId="10F19809" w14:textId="7581C829" w:rsidR="00BC148B" w:rsidRPr="003A176D" w:rsidRDefault="00C74D45" w:rsidP="00C74D45">
      <w:pPr>
        <w:autoSpaceDE w:val="0"/>
        <w:autoSpaceDN w:val="0"/>
        <w:adjustRightInd w:val="0"/>
        <w:spacing w:after="0" w:line="240" w:lineRule="auto"/>
        <w:ind w:left="360"/>
        <w:jc w:val="both"/>
        <w:rPr>
          <w:rFonts w:cs="Calibri"/>
          <w:sz w:val="20"/>
          <w:szCs w:val="20"/>
        </w:rPr>
      </w:pPr>
      <w:r w:rsidRPr="003A176D">
        <w:rPr>
          <w:rFonts w:cs="Calibri"/>
          <w:sz w:val="20"/>
          <w:szCs w:val="20"/>
        </w:rPr>
        <w:t>These condensed consolidated interim unaudited financial statements have been prepared in accordance with International Accounting Standard 34, Interim Financial Reporting (“IAS 34”) using accounting policies consistent with International Financial Reporting Standards (“IFRS”) as issued by the International Accounting Standards Board (“IASB”) and interpretations of the International Financial Reporting Interpretations Committee (“IFRIC”). The accounting policies and methods of computation applied by the Company in these condensed consolidated interim unaudited financial statements are the same as those applied in the Company’s annual financial statements as at and for the year ended December 31, 201</w:t>
      </w:r>
      <w:r w:rsidR="00BA19E3" w:rsidRPr="003A176D">
        <w:rPr>
          <w:rFonts w:cs="Calibri"/>
          <w:sz w:val="20"/>
          <w:szCs w:val="20"/>
        </w:rPr>
        <w:t>9</w:t>
      </w:r>
      <w:r w:rsidRPr="003A176D">
        <w:rPr>
          <w:rFonts w:cs="Calibri"/>
          <w:sz w:val="20"/>
          <w:szCs w:val="20"/>
        </w:rPr>
        <w:t>. The condensed consolidated interim unaudited financial statements do not include all of the information and note disclosures required for full annual financial statements and should be read in conjunction with the Company’s annual financial statements as at and for the year ended December 31, 201</w:t>
      </w:r>
      <w:r w:rsidR="00BA19E3" w:rsidRPr="003A176D">
        <w:rPr>
          <w:rFonts w:cs="Calibri"/>
          <w:sz w:val="20"/>
          <w:szCs w:val="20"/>
        </w:rPr>
        <w:t>9</w:t>
      </w:r>
      <w:r w:rsidRPr="003A176D">
        <w:rPr>
          <w:rFonts w:cs="Calibri"/>
          <w:sz w:val="20"/>
          <w:szCs w:val="20"/>
        </w:rPr>
        <w:t>.</w:t>
      </w:r>
    </w:p>
    <w:p w14:paraId="1756246A" w14:textId="77777777" w:rsidR="00C74D45" w:rsidRPr="003A176D" w:rsidRDefault="00C74D45" w:rsidP="00C74D45">
      <w:pPr>
        <w:autoSpaceDE w:val="0"/>
        <w:autoSpaceDN w:val="0"/>
        <w:adjustRightInd w:val="0"/>
        <w:spacing w:after="0" w:line="240" w:lineRule="auto"/>
        <w:ind w:left="360"/>
        <w:jc w:val="both"/>
        <w:rPr>
          <w:rFonts w:cs="Calibri"/>
          <w:sz w:val="20"/>
          <w:szCs w:val="20"/>
        </w:rPr>
      </w:pPr>
    </w:p>
    <w:p w14:paraId="1B2D1FF2" w14:textId="054ABD71" w:rsidR="00BC148B" w:rsidRPr="003A176D" w:rsidRDefault="00BC148B" w:rsidP="00BC148B">
      <w:pPr>
        <w:pStyle w:val="ListParagraph"/>
        <w:autoSpaceDE w:val="0"/>
        <w:autoSpaceDN w:val="0"/>
        <w:adjustRightInd w:val="0"/>
        <w:spacing w:after="0" w:line="240" w:lineRule="auto"/>
        <w:ind w:left="360"/>
        <w:rPr>
          <w:rFonts w:cs="Calibri"/>
          <w:bCs/>
          <w:sz w:val="20"/>
          <w:szCs w:val="20"/>
        </w:rPr>
      </w:pPr>
      <w:r w:rsidRPr="003A176D">
        <w:rPr>
          <w:rFonts w:cs="Calibri"/>
          <w:bCs/>
          <w:sz w:val="20"/>
          <w:szCs w:val="20"/>
        </w:rPr>
        <w:t>b)</w:t>
      </w:r>
      <w:r w:rsidRPr="003A176D">
        <w:rPr>
          <w:rFonts w:cs="Calibri"/>
          <w:bCs/>
          <w:sz w:val="20"/>
          <w:szCs w:val="20"/>
        </w:rPr>
        <w:tab/>
        <w:t>Principles of Consolidation</w:t>
      </w:r>
    </w:p>
    <w:p w14:paraId="2D2F4076" w14:textId="1F5250C6" w:rsidR="00BC148B" w:rsidRPr="003A176D" w:rsidRDefault="00BC148B" w:rsidP="008F2272">
      <w:pPr>
        <w:autoSpaceDE w:val="0"/>
        <w:autoSpaceDN w:val="0"/>
        <w:adjustRightInd w:val="0"/>
        <w:spacing w:after="0" w:line="240" w:lineRule="auto"/>
        <w:rPr>
          <w:rFonts w:cs="Calibri"/>
          <w:bCs/>
          <w:sz w:val="20"/>
          <w:szCs w:val="20"/>
        </w:rPr>
      </w:pPr>
    </w:p>
    <w:p w14:paraId="5ECDD9A6" w14:textId="77573026" w:rsidR="003D241E" w:rsidRPr="003A176D" w:rsidRDefault="00BC148B" w:rsidP="008F2272">
      <w:pPr>
        <w:pStyle w:val="ListParagraph"/>
        <w:autoSpaceDE w:val="0"/>
        <w:autoSpaceDN w:val="0"/>
        <w:adjustRightInd w:val="0"/>
        <w:spacing w:after="0" w:line="240" w:lineRule="auto"/>
        <w:ind w:left="360"/>
        <w:jc w:val="both"/>
        <w:rPr>
          <w:rFonts w:cs="Calibri"/>
          <w:bCs/>
          <w:sz w:val="20"/>
          <w:szCs w:val="20"/>
        </w:rPr>
      </w:pPr>
      <w:r w:rsidRPr="003A176D">
        <w:rPr>
          <w:rFonts w:cs="Calibri"/>
          <w:bCs/>
          <w:sz w:val="20"/>
          <w:szCs w:val="20"/>
        </w:rPr>
        <w:t>The</w:t>
      </w:r>
      <w:r w:rsidR="007346F1" w:rsidRPr="003A176D">
        <w:rPr>
          <w:rFonts w:cs="Calibri"/>
          <w:bCs/>
          <w:sz w:val="20"/>
          <w:szCs w:val="20"/>
        </w:rPr>
        <w:t>se</w:t>
      </w:r>
      <w:r w:rsidRPr="003A176D">
        <w:rPr>
          <w:rFonts w:cs="Calibri"/>
          <w:bCs/>
          <w:sz w:val="20"/>
          <w:szCs w:val="20"/>
        </w:rPr>
        <w:t xml:space="preserve"> consolidated financial statements comprise the financial statements of the Company and its wholly-owned subsidiaries </w:t>
      </w:r>
      <w:r w:rsidR="00BA19E3" w:rsidRPr="003A176D">
        <w:rPr>
          <w:rFonts w:cs="Calibri"/>
          <w:bCs/>
          <w:sz w:val="20"/>
          <w:szCs w:val="20"/>
        </w:rPr>
        <w:t>FansUnite Holdings Inc.,</w:t>
      </w:r>
      <w:r w:rsidR="00C07EAB" w:rsidRPr="003A176D">
        <w:rPr>
          <w:rFonts w:cs="Calibri"/>
          <w:bCs/>
          <w:sz w:val="20"/>
          <w:szCs w:val="20"/>
        </w:rPr>
        <w:t xml:space="preserve"> </w:t>
      </w:r>
      <w:r w:rsidR="008D11CC" w:rsidRPr="003A176D">
        <w:rPr>
          <w:rFonts w:cs="Calibri"/>
          <w:bCs/>
          <w:sz w:val="20"/>
          <w:szCs w:val="20"/>
        </w:rPr>
        <w:t xml:space="preserve">FansUnite Media </w:t>
      </w:r>
      <w:r w:rsidR="00A82098" w:rsidRPr="003A176D">
        <w:rPr>
          <w:rFonts w:cs="Calibri"/>
          <w:bCs/>
          <w:sz w:val="20"/>
          <w:szCs w:val="20"/>
        </w:rPr>
        <w:t>Inc.</w:t>
      </w:r>
      <w:r w:rsidR="00BA19E3" w:rsidRPr="003A176D">
        <w:rPr>
          <w:rFonts w:cs="Calibri"/>
          <w:bCs/>
          <w:sz w:val="20"/>
          <w:szCs w:val="20"/>
        </w:rPr>
        <w:t>,</w:t>
      </w:r>
      <w:r w:rsidR="00A82098" w:rsidRPr="003A176D">
        <w:rPr>
          <w:rFonts w:cs="Calibri"/>
          <w:bCs/>
          <w:sz w:val="20"/>
          <w:szCs w:val="20"/>
        </w:rPr>
        <w:t xml:space="preserve"> </w:t>
      </w:r>
      <w:r w:rsidR="008D11CC" w:rsidRPr="003A176D">
        <w:rPr>
          <w:rFonts w:cs="Calibri"/>
          <w:bCs/>
          <w:sz w:val="20"/>
          <w:szCs w:val="20"/>
        </w:rPr>
        <w:t>FansUnite L</w:t>
      </w:r>
      <w:r w:rsidR="00E0521A" w:rsidRPr="003A176D">
        <w:rPr>
          <w:rFonts w:cs="Calibri"/>
          <w:bCs/>
          <w:sz w:val="20"/>
          <w:szCs w:val="20"/>
        </w:rPr>
        <w:t>imi</w:t>
      </w:r>
      <w:r w:rsidR="008D11CC" w:rsidRPr="003A176D">
        <w:rPr>
          <w:rFonts w:cs="Calibri"/>
          <w:bCs/>
          <w:sz w:val="20"/>
          <w:szCs w:val="20"/>
        </w:rPr>
        <w:t>t</w:t>
      </w:r>
      <w:r w:rsidR="00E0521A" w:rsidRPr="003A176D">
        <w:rPr>
          <w:rFonts w:cs="Calibri"/>
          <w:bCs/>
          <w:sz w:val="20"/>
          <w:szCs w:val="20"/>
        </w:rPr>
        <w:t>e</w:t>
      </w:r>
      <w:r w:rsidR="008D11CC" w:rsidRPr="003A176D">
        <w:rPr>
          <w:rFonts w:cs="Calibri"/>
          <w:bCs/>
          <w:sz w:val="20"/>
          <w:szCs w:val="20"/>
        </w:rPr>
        <w:t>d</w:t>
      </w:r>
      <w:r w:rsidR="00BA19E3" w:rsidRPr="003A176D">
        <w:rPr>
          <w:rFonts w:cs="Calibri"/>
          <w:bCs/>
          <w:sz w:val="20"/>
          <w:szCs w:val="20"/>
        </w:rPr>
        <w:t>, McBookie Ltd</w:t>
      </w:r>
      <w:r w:rsidR="008D11CC" w:rsidRPr="003A176D">
        <w:rPr>
          <w:rFonts w:cs="Calibri"/>
          <w:bCs/>
          <w:sz w:val="20"/>
          <w:szCs w:val="20"/>
        </w:rPr>
        <w:t>.</w:t>
      </w:r>
      <w:r w:rsidRPr="003A176D">
        <w:rPr>
          <w:rFonts w:cs="Calibri"/>
          <w:bCs/>
          <w:sz w:val="20"/>
          <w:szCs w:val="20"/>
        </w:rPr>
        <w:t xml:space="preserve"> </w:t>
      </w:r>
      <w:r w:rsidR="003C5C84" w:rsidRPr="003A176D">
        <w:rPr>
          <w:rFonts w:cs="Calibri"/>
          <w:bCs/>
          <w:sz w:val="20"/>
          <w:szCs w:val="20"/>
        </w:rPr>
        <w:t>(“McBookie”).</w:t>
      </w:r>
      <w:r w:rsidRPr="003A176D">
        <w:rPr>
          <w:rFonts w:cs="Calibri"/>
          <w:bCs/>
          <w:sz w:val="20"/>
          <w:szCs w:val="20"/>
        </w:rPr>
        <w:t xml:space="preserve"> Intercompany transactions, balances, income and expenses, and gains or losses are eliminated on consolidation. </w:t>
      </w:r>
    </w:p>
    <w:p w14:paraId="1F374BA3" w14:textId="77777777" w:rsidR="008D11CC" w:rsidRPr="003A176D" w:rsidRDefault="008D11CC" w:rsidP="008F2272">
      <w:pPr>
        <w:pStyle w:val="ListParagraph"/>
        <w:autoSpaceDE w:val="0"/>
        <w:autoSpaceDN w:val="0"/>
        <w:adjustRightInd w:val="0"/>
        <w:spacing w:after="0" w:line="240" w:lineRule="auto"/>
        <w:ind w:left="360"/>
        <w:jc w:val="both"/>
        <w:rPr>
          <w:rFonts w:cs="Calibri"/>
          <w:bCs/>
          <w:sz w:val="20"/>
          <w:szCs w:val="20"/>
        </w:rPr>
      </w:pPr>
    </w:p>
    <w:p w14:paraId="6BC75065" w14:textId="77777777" w:rsidR="007B2F98" w:rsidRPr="003A176D" w:rsidRDefault="007B2F98" w:rsidP="00BC148B">
      <w:pPr>
        <w:pStyle w:val="ListParagraph"/>
        <w:autoSpaceDE w:val="0"/>
        <w:autoSpaceDN w:val="0"/>
        <w:adjustRightInd w:val="0"/>
        <w:spacing w:after="0" w:line="240" w:lineRule="auto"/>
        <w:ind w:left="360"/>
        <w:rPr>
          <w:rFonts w:cs="Calibri"/>
          <w:bCs/>
          <w:sz w:val="20"/>
          <w:szCs w:val="20"/>
        </w:rPr>
      </w:pPr>
    </w:p>
    <w:p w14:paraId="132199A2" w14:textId="77777777" w:rsidR="007B2F98" w:rsidRPr="003A176D" w:rsidRDefault="007B2F98" w:rsidP="00BC148B">
      <w:pPr>
        <w:pStyle w:val="ListParagraph"/>
        <w:autoSpaceDE w:val="0"/>
        <w:autoSpaceDN w:val="0"/>
        <w:adjustRightInd w:val="0"/>
        <w:spacing w:after="0" w:line="240" w:lineRule="auto"/>
        <w:ind w:left="360"/>
        <w:rPr>
          <w:rFonts w:cs="Calibri"/>
          <w:bCs/>
          <w:sz w:val="20"/>
          <w:szCs w:val="20"/>
        </w:rPr>
      </w:pPr>
    </w:p>
    <w:p w14:paraId="7158DFE6" w14:textId="2CB30A68" w:rsidR="007B2F98" w:rsidRPr="003A176D" w:rsidRDefault="007B2F98" w:rsidP="00BC148B">
      <w:pPr>
        <w:pStyle w:val="ListParagraph"/>
        <w:autoSpaceDE w:val="0"/>
        <w:autoSpaceDN w:val="0"/>
        <w:adjustRightInd w:val="0"/>
        <w:spacing w:after="0" w:line="240" w:lineRule="auto"/>
        <w:ind w:left="360"/>
        <w:rPr>
          <w:rFonts w:cs="Calibri"/>
          <w:bCs/>
          <w:sz w:val="20"/>
          <w:szCs w:val="20"/>
        </w:rPr>
      </w:pPr>
    </w:p>
    <w:p w14:paraId="6BA309FA" w14:textId="77777777" w:rsidR="002B5620" w:rsidRPr="003A176D" w:rsidRDefault="002B5620" w:rsidP="00BC148B">
      <w:pPr>
        <w:pStyle w:val="ListParagraph"/>
        <w:autoSpaceDE w:val="0"/>
        <w:autoSpaceDN w:val="0"/>
        <w:adjustRightInd w:val="0"/>
        <w:spacing w:after="0" w:line="240" w:lineRule="auto"/>
        <w:ind w:left="360"/>
        <w:rPr>
          <w:rFonts w:cs="Calibri"/>
          <w:bCs/>
          <w:sz w:val="20"/>
          <w:szCs w:val="20"/>
        </w:rPr>
      </w:pPr>
    </w:p>
    <w:p w14:paraId="3AD1E874" w14:textId="77777777" w:rsidR="007B2F98" w:rsidRPr="003A176D" w:rsidRDefault="007B2F98" w:rsidP="007D0666">
      <w:pPr>
        <w:pStyle w:val="ListParagraph"/>
        <w:numPr>
          <w:ilvl w:val="0"/>
          <w:numId w:val="6"/>
        </w:numPr>
        <w:autoSpaceDE w:val="0"/>
        <w:autoSpaceDN w:val="0"/>
        <w:adjustRightInd w:val="0"/>
        <w:spacing w:after="0" w:line="240" w:lineRule="auto"/>
        <w:rPr>
          <w:rFonts w:cs="Calibri"/>
          <w:b/>
          <w:bCs/>
          <w:sz w:val="20"/>
          <w:szCs w:val="20"/>
        </w:rPr>
      </w:pPr>
      <w:r w:rsidRPr="003A176D">
        <w:rPr>
          <w:rFonts w:cs="Calibri"/>
          <w:b/>
          <w:bCs/>
          <w:sz w:val="20"/>
          <w:szCs w:val="20"/>
        </w:rPr>
        <w:lastRenderedPageBreak/>
        <w:t>Basis of Presentation (continued)</w:t>
      </w:r>
    </w:p>
    <w:p w14:paraId="2233DDD5" w14:textId="77777777" w:rsidR="007B2F98" w:rsidRPr="003A176D" w:rsidRDefault="007B2F98" w:rsidP="00BC148B">
      <w:pPr>
        <w:pStyle w:val="ListParagraph"/>
        <w:autoSpaceDE w:val="0"/>
        <w:autoSpaceDN w:val="0"/>
        <w:adjustRightInd w:val="0"/>
        <w:spacing w:after="0" w:line="240" w:lineRule="auto"/>
        <w:ind w:left="360"/>
        <w:rPr>
          <w:rFonts w:cs="Calibri"/>
          <w:bCs/>
          <w:sz w:val="20"/>
          <w:szCs w:val="20"/>
        </w:rPr>
      </w:pPr>
    </w:p>
    <w:p w14:paraId="7948DFF9" w14:textId="2150575A" w:rsidR="00BC148B" w:rsidRPr="003A176D" w:rsidRDefault="00BC148B" w:rsidP="00BC148B">
      <w:pPr>
        <w:pStyle w:val="ListParagraph"/>
        <w:autoSpaceDE w:val="0"/>
        <w:autoSpaceDN w:val="0"/>
        <w:adjustRightInd w:val="0"/>
        <w:spacing w:after="0" w:line="240" w:lineRule="auto"/>
        <w:ind w:left="360"/>
        <w:rPr>
          <w:rFonts w:cs="Calibri"/>
          <w:bCs/>
          <w:sz w:val="20"/>
          <w:szCs w:val="20"/>
        </w:rPr>
      </w:pPr>
      <w:r w:rsidRPr="003A176D">
        <w:rPr>
          <w:rFonts w:cs="Calibri"/>
          <w:bCs/>
          <w:sz w:val="20"/>
          <w:szCs w:val="20"/>
        </w:rPr>
        <w:t>c)</w:t>
      </w:r>
      <w:r w:rsidRPr="003A176D">
        <w:rPr>
          <w:rFonts w:cs="Calibri"/>
          <w:bCs/>
          <w:sz w:val="20"/>
          <w:szCs w:val="20"/>
        </w:rPr>
        <w:tab/>
        <w:t>Basis of Preparation</w:t>
      </w:r>
    </w:p>
    <w:p w14:paraId="7BC55B39" w14:textId="77777777" w:rsidR="00BC148B" w:rsidRPr="003A176D" w:rsidRDefault="00BC148B" w:rsidP="00BC148B">
      <w:pPr>
        <w:pStyle w:val="ListParagraph"/>
        <w:autoSpaceDE w:val="0"/>
        <w:autoSpaceDN w:val="0"/>
        <w:adjustRightInd w:val="0"/>
        <w:spacing w:after="0" w:line="240" w:lineRule="auto"/>
        <w:ind w:left="360"/>
        <w:rPr>
          <w:rFonts w:cs="Calibri"/>
          <w:bCs/>
          <w:sz w:val="20"/>
          <w:szCs w:val="20"/>
        </w:rPr>
      </w:pPr>
    </w:p>
    <w:p w14:paraId="5D499F01" w14:textId="51DE17C5" w:rsidR="00BC148B" w:rsidRPr="003A176D" w:rsidRDefault="00BC148B" w:rsidP="00BC148B">
      <w:pPr>
        <w:pStyle w:val="ListParagraph"/>
        <w:autoSpaceDE w:val="0"/>
        <w:autoSpaceDN w:val="0"/>
        <w:adjustRightInd w:val="0"/>
        <w:spacing w:after="0" w:line="240" w:lineRule="auto"/>
        <w:ind w:left="360"/>
        <w:jc w:val="both"/>
        <w:rPr>
          <w:rFonts w:cs="Calibri"/>
          <w:bCs/>
          <w:sz w:val="20"/>
          <w:szCs w:val="20"/>
        </w:rPr>
      </w:pPr>
      <w:r w:rsidRPr="003A176D">
        <w:rPr>
          <w:rFonts w:cs="Calibri"/>
          <w:bCs/>
          <w:sz w:val="20"/>
          <w:szCs w:val="20"/>
        </w:rPr>
        <w:t>The</w:t>
      </w:r>
      <w:r w:rsidR="00EE7491" w:rsidRPr="003A176D">
        <w:rPr>
          <w:rFonts w:cs="Calibri"/>
          <w:bCs/>
          <w:sz w:val="20"/>
          <w:szCs w:val="20"/>
        </w:rPr>
        <w:t>se</w:t>
      </w:r>
      <w:r w:rsidRPr="003A176D">
        <w:rPr>
          <w:rFonts w:cs="Calibri"/>
          <w:bCs/>
          <w:sz w:val="20"/>
          <w:szCs w:val="20"/>
        </w:rPr>
        <w:t xml:space="preserve"> consolidated financial statements have been prepared on a historical cost basis and are presented in Canadian dollars.  Under IFRS, the Canadian dollar is the functional currency of the Company</w:t>
      </w:r>
      <w:r w:rsidR="00C07EAB" w:rsidRPr="003A176D">
        <w:rPr>
          <w:rFonts w:cs="Calibri"/>
          <w:bCs/>
          <w:sz w:val="20"/>
          <w:szCs w:val="20"/>
        </w:rPr>
        <w:t>, FansUnite Holdings</w:t>
      </w:r>
      <w:r w:rsidR="008D11CC" w:rsidRPr="003A176D">
        <w:rPr>
          <w:rFonts w:cs="Calibri"/>
          <w:bCs/>
          <w:sz w:val="20"/>
          <w:szCs w:val="20"/>
        </w:rPr>
        <w:t xml:space="preserve"> and</w:t>
      </w:r>
      <w:r w:rsidRPr="003A176D">
        <w:rPr>
          <w:rFonts w:cs="Calibri"/>
          <w:bCs/>
          <w:sz w:val="20"/>
          <w:szCs w:val="20"/>
        </w:rPr>
        <w:t xml:space="preserve"> FansUnite</w:t>
      </w:r>
      <w:r w:rsidR="008D11CC" w:rsidRPr="003A176D">
        <w:rPr>
          <w:rFonts w:cs="Calibri"/>
          <w:bCs/>
          <w:sz w:val="20"/>
          <w:szCs w:val="20"/>
        </w:rPr>
        <w:t xml:space="preserve"> Media</w:t>
      </w:r>
      <w:r w:rsidRPr="003A176D">
        <w:rPr>
          <w:rFonts w:cs="Calibri"/>
          <w:bCs/>
          <w:sz w:val="20"/>
          <w:szCs w:val="20"/>
        </w:rPr>
        <w:t xml:space="preserve">.  The functional currency of </w:t>
      </w:r>
      <w:r w:rsidR="008D11CC" w:rsidRPr="003A176D">
        <w:rPr>
          <w:rFonts w:cs="Calibri"/>
          <w:bCs/>
          <w:sz w:val="20"/>
          <w:szCs w:val="20"/>
        </w:rPr>
        <w:t>FansUnite L</w:t>
      </w:r>
      <w:r w:rsidR="00E0521A" w:rsidRPr="003A176D">
        <w:rPr>
          <w:rFonts w:cs="Calibri"/>
          <w:bCs/>
          <w:sz w:val="20"/>
          <w:szCs w:val="20"/>
        </w:rPr>
        <w:t>imi</w:t>
      </w:r>
      <w:r w:rsidR="008D11CC" w:rsidRPr="003A176D">
        <w:rPr>
          <w:rFonts w:cs="Calibri"/>
          <w:bCs/>
          <w:sz w:val="20"/>
          <w:szCs w:val="20"/>
        </w:rPr>
        <w:t>t</w:t>
      </w:r>
      <w:r w:rsidR="00E0521A" w:rsidRPr="003A176D">
        <w:rPr>
          <w:rFonts w:cs="Calibri"/>
          <w:bCs/>
          <w:sz w:val="20"/>
          <w:szCs w:val="20"/>
        </w:rPr>
        <w:t>e</w:t>
      </w:r>
      <w:r w:rsidR="008D11CC" w:rsidRPr="003A176D">
        <w:rPr>
          <w:rFonts w:cs="Calibri"/>
          <w:bCs/>
          <w:sz w:val="20"/>
          <w:szCs w:val="20"/>
        </w:rPr>
        <w:t>d</w:t>
      </w:r>
      <w:r w:rsidRPr="003A176D">
        <w:rPr>
          <w:rFonts w:cs="Calibri"/>
          <w:bCs/>
          <w:sz w:val="20"/>
          <w:szCs w:val="20"/>
        </w:rPr>
        <w:t xml:space="preserve"> </w:t>
      </w:r>
      <w:r w:rsidR="00C07EAB" w:rsidRPr="003A176D">
        <w:rPr>
          <w:rFonts w:cs="Calibri"/>
          <w:bCs/>
          <w:sz w:val="20"/>
          <w:szCs w:val="20"/>
        </w:rPr>
        <w:t xml:space="preserve">and McBookie Ltd. </w:t>
      </w:r>
      <w:r w:rsidRPr="003A176D">
        <w:rPr>
          <w:rFonts w:cs="Calibri"/>
          <w:bCs/>
          <w:sz w:val="20"/>
          <w:szCs w:val="20"/>
        </w:rPr>
        <w:t xml:space="preserve">is the </w:t>
      </w:r>
      <w:r w:rsidR="008D11CC" w:rsidRPr="003A176D">
        <w:rPr>
          <w:rFonts w:cs="Calibri"/>
          <w:bCs/>
          <w:sz w:val="20"/>
          <w:szCs w:val="20"/>
        </w:rPr>
        <w:t>British Pound</w:t>
      </w:r>
      <w:r w:rsidRPr="003A176D">
        <w:rPr>
          <w:rFonts w:cs="Calibri"/>
          <w:bCs/>
          <w:sz w:val="20"/>
          <w:szCs w:val="20"/>
        </w:rPr>
        <w:t>.</w:t>
      </w:r>
    </w:p>
    <w:p w14:paraId="4B33F729" w14:textId="5042D12F" w:rsidR="00D92EFF" w:rsidRPr="003A176D" w:rsidRDefault="00D92EFF" w:rsidP="00BC148B">
      <w:pPr>
        <w:pStyle w:val="ListParagraph"/>
        <w:autoSpaceDE w:val="0"/>
        <w:autoSpaceDN w:val="0"/>
        <w:adjustRightInd w:val="0"/>
        <w:spacing w:after="0" w:line="240" w:lineRule="auto"/>
        <w:ind w:left="360"/>
        <w:jc w:val="both"/>
        <w:rPr>
          <w:rFonts w:cs="Calibri"/>
          <w:bCs/>
          <w:sz w:val="20"/>
          <w:szCs w:val="20"/>
        </w:rPr>
      </w:pPr>
    </w:p>
    <w:p w14:paraId="37CEFB2B" w14:textId="5CF85B4E" w:rsidR="005E5A3F" w:rsidRPr="003A176D" w:rsidRDefault="00A82098" w:rsidP="005E5A3F">
      <w:pPr>
        <w:pStyle w:val="ListParagraph"/>
        <w:autoSpaceDE w:val="0"/>
        <w:autoSpaceDN w:val="0"/>
        <w:adjustRightInd w:val="0"/>
        <w:spacing w:after="0" w:line="240" w:lineRule="auto"/>
        <w:ind w:hanging="360"/>
        <w:jc w:val="both"/>
        <w:rPr>
          <w:rFonts w:cs="Calibri"/>
          <w:bCs/>
          <w:sz w:val="20"/>
          <w:szCs w:val="20"/>
        </w:rPr>
      </w:pPr>
      <w:r w:rsidRPr="003A176D">
        <w:rPr>
          <w:rFonts w:cs="Calibri"/>
          <w:bCs/>
          <w:sz w:val="20"/>
          <w:szCs w:val="20"/>
        </w:rPr>
        <w:t>d</w:t>
      </w:r>
      <w:r w:rsidR="005E5A3F" w:rsidRPr="003A176D">
        <w:rPr>
          <w:rFonts w:cs="Calibri"/>
          <w:bCs/>
          <w:sz w:val="20"/>
          <w:szCs w:val="20"/>
        </w:rPr>
        <w:t xml:space="preserve">) </w:t>
      </w:r>
      <w:r w:rsidR="005E5A3F" w:rsidRPr="003A176D">
        <w:rPr>
          <w:rFonts w:cs="Calibri"/>
          <w:bCs/>
          <w:sz w:val="20"/>
          <w:szCs w:val="20"/>
        </w:rPr>
        <w:tab/>
        <w:t>Recent Accounting Pronouncements</w:t>
      </w:r>
    </w:p>
    <w:p w14:paraId="1A8681CE" w14:textId="77777777" w:rsidR="005E5A3F" w:rsidRPr="003A176D" w:rsidRDefault="005E5A3F" w:rsidP="005E5A3F">
      <w:pPr>
        <w:pStyle w:val="ListParagraph"/>
        <w:autoSpaceDE w:val="0"/>
        <w:autoSpaceDN w:val="0"/>
        <w:adjustRightInd w:val="0"/>
        <w:spacing w:after="0" w:line="240" w:lineRule="auto"/>
        <w:ind w:left="360"/>
        <w:jc w:val="both"/>
        <w:rPr>
          <w:rFonts w:cs="Calibri"/>
          <w:bCs/>
          <w:sz w:val="20"/>
          <w:szCs w:val="20"/>
        </w:rPr>
      </w:pPr>
    </w:p>
    <w:p w14:paraId="0F9E8253" w14:textId="77777777" w:rsidR="00C66E91" w:rsidRPr="003A176D" w:rsidRDefault="00C66E91" w:rsidP="00C66E91">
      <w:pPr>
        <w:spacing w:after="0" w:line="240" w:lineRule="auto"/>
        <w:ind w:left="360"/>
        <w:jc w:val="both"/>
        <w:rPr>
          <w:rFonts w:cs="Calibri"/>
          <w:i/>
          <w:sz w:val="20"/>
          <w:szCs w:val="20"/>
        </w:rPr>
      </w:pPr>
      <w:r w:rsidRPr="003A176D">
        <w:rPr>
          <w:rFonts w:cs="Calibri"/>
          <w:i/>
          <w:sz w:val="20"/>
          <w:szCs w:val="20"/>
        </w:rPr>
        <w:t>Agenda Paper 12 – Holdings of Cryptocurrencies</w:t>
      </w:r>
    </w:p>
    <w:p w14:paraId="4EFA7262" w14:textId="35ED7698" w:rsidR="00C66E91" w:rsidRPr="003A176D" w:rsidRDefault="00C66E91" w:rsidP="00C66E91">
      <w:pPr>
        <w:spacing w:after="0" w:line="240" w:lineRule="auto"/>
        <w:ind w:left="360"/>
        <w:jc w:val="both"/>
        <w:rPr>
          <w:rFonts w:cs="Calibri"/>
          <w:sz w:val="20"/>
          <w:szCs w:val="20"/>
        </w:rPr>
      </w:pPr>
      <w:r w:rsidRPr="003A176D">
        <w:rPr>
          <w:rFonts w:cs="Calibri"/>
          <w:sz w:val="20"/>
          <w:szCs w:val="20"/>
        </w:rPr>
        <w:t xml:space="preserve">On </w:t>
      </w:r>
      <w:r w:rsidR="003526DB" w:rsidRPr="003A176D">
        <w:rPr>
          <w:rFonts w:cs="Calibri"/>
          <w:sz w:val="20"/>
          <w:szCs w:val="20"/>
        </w:rPr>
        <w:t>September</w:t>
      </w:r>
      <w:r w:rsidRPr="003A176D">
        <w:rPr>
          <w:rFonts w:cs="Calibri"/>
          <w:sz w:val="20"/>
          <w:szCs w:val="20"/>
        </w:rPr>
        <w:t xml:space="preserve"> 21, 2019, the IFRS Interpretations Committee released its decision on the holding of cryptocurrencies and concluded that a cryptocurrency meets the definition of an intangible asset to be accounted for in accordance with IAS 38, unless the asset is held for sale in the ordinary course of business, in which case it is to be classified as inventory under IAS 2. </w:t>
      </w:r>
      <w:r w:rsidR="00A82098" w:rsidRPr="003A176D">
        <w:rPr>
          <w:rFonts w:cs="Calibri"/>
          <w:sz w:val="20"/>
          <w:szCs w:val="20"/>
        </w:rPr>
        <w:t>The Agenda Paper had no impact on the company’s accounting treatment of cryptocurrencies.</w:t>
      </w:r>
      <w:r w:rsidRPr="003A176D">
        <w:rPr>
          <w:rFonts w:cs="Calibri"/>
          <w:sz w:val="20"/>
          <w:szCs w:val="20"/>
        </w:rPr>
        <w:t xml:space="preserve"> </w:t>
      </w:r>
    </w:p>
    <w:p w14:paraId="0C1C3C95" w14:textId="77777777" w:rsidR="00C66E91" w:rsidRPr="003A176D" w:rsidRDefault="00C66E91" w:rsidP="003747FE">
      <w:pPr>
        <w:pStyle w:val="ListParagraph"/>
        <w:autoSpaceDE w:val="0"/>
        <w:autoSpaceDN w:val="0"/>
        <w:adjustRightInd w:val="0"/>
        <w:spacing w:after="0" w:line="240" w:lineRule="auto"/>
        <w:ind w:hanging="360"/>
        <w:jc w:val="both"/>
        <w:rPr>
          <w:rFonts w:cs="Calibri"/>
          <w:bCs/>
          <w:sz w:val="20"/>
          <w:szCs w:val="20"/>
        </w:rPr>
      </w:pPr>
    </w:p>
    <w:p w14:paraId="6CAACE82" w14:textId="77777777" w:rsidR="002014F6" w:rsidRPr="003A176D" w:rsidRDefault="002014F6" w:rsidP="002014F6">
      <w:pPr>
        <w:spacing w:after="0" w:line="240" w:lineRule="auto"/>
        <w:ind w:left="360"/>
        <w:jc w:val="both"/>
        <w:rPr>
          <w:rFonts w:cs="Calibri"/>
          <w:i/>
          <w:sz w:val="20"/>
          <w:szCs w:val="20"/>
        </w:rPr>
      </w:pPr>
      <w:r w:rsidRPr="003A176D">
        <w:rPr>
          <w:rFonts w:cs="Calibri"/>
          <w:i/>
          <w:sz w:val="20"/>
          <w:szCs w:val="20"/>
        </w:rPr>
        <w:t>IFRS 16 – Leases</w:t>
      </w:r>
    </w:p>
    <w:p w14:paraId="62A2DE58" w14:textId="30F08603" w:rsidR="002014F6" w:rsidRPr="003A176D" w:rsidRDefault="002014F6" w:rsidP="002014F6">
      <w:pPr>
        <w:spacing w:after="0" w:line="240" w:lineRule="auto"/>
        <w:ind w:left="360"/>
        <w:jc w:val="both"/>
        <w:rPr>
          <w:rFonts w:cs="Calibri"/>
          <w:sz w:val="20"/>
          <w:szCs w:val="20"/>
        </w:rPr>
      </w:pPr>
      <w:r w:rsidRPr="003A176D">
        <w:rPr>
          <w:rFonts w:cs="Calibri"/>
          <w:sz w:val="20"/>
          <w:szCs w:val="20"/>
        </w:rPr>
        <w:t xml:space="preserve">In January 2016, the IASB released IFRS 16, Leases, replacing IAS 17, Leases, and related interpretations. The new standard eliminates the classification of leases as either operating or finance leases and requires the recognition of assets and liabilities for all leases, unless the lease term is twelve months or less or the underlying asset has a low value. IFRS 16 is effective for reporting periods beginning on or after January 1, 2019. The Company’s management has determined IFRS 16 will have no material effect on the financial statements.  </w:t>
      </w:r>
    </w:p>
    <w:p w14:paraId="1DF8B8D0" w14:textId="77777777" w:rsidR="00A82098" w:rsidRPr="003A176D" w:rsidRDefault="00A82098" w:rsidP="00086DD7">
      <w:pPr>
        <w:autoSpaceDE w:val="0"/>
        <w:autoSpaceDN w:val="0"/>
        <w:adjustRightInd w:val="0"/>
        <w:spacing w:after="0" w:line="240" w:lineRule="auto"/>
        <w:jc w:val="both"/>
        <w:rPr>
          <w:rFonts w:cs="Calibri"/>
          <w:b/>
          <w:bCs/>
          <w:sz w:val="20"/>
          <w:szCs w:val="20"/>
        </w:rPr>
      </w:pPr>
      <w:bookmarkStart w:id="30" w:name="_Hlk512708344"/>
    </w:p>
    <w:p w14:paraId="7628BE0C" w14:textId="7E79A07A" w:rsidR="00017E23" w:rsidRPr="003A176D" w:rsidRDefault="007C1226" w:rsidP="006925A7">
      <w:pPr>
        <w:pStyle w:val="ListParagraph"/>
        <w:numPr>
          <w:ilvl w:val="0"/>
          <w:numId w:val="6"/>
        </w:numPr>
        <w:autoSpaceDE w:val="0"/>
        <w:autoSpaceDN w:val="0"/>
        <w:adjustRightInd w:val="0"/>
        <w:spacing w:after="0" w:line="240" w:lineRule="auto"/>
        <w:jc w:val="both"/>
        <w:rPr>
          <w:rFonts w:cs="Calibri"/>
          <w:b/>
          <w:bCs/>
          <w:sz w:val="20"/>
          <w:szCs w:val="20"/>
        </w:rPr>
      </w:pPr>
      <w:r w:rsidRPr="003A176D">
        <w:rPr>
          <w:rFonts w:cs="Calibri"/>
          <w:b/>
          <w:bCs/>
          <w:sz w:val="20"/>
          <w:szCs w:val="20"/>
        </w:rPr>
        <w:t>Intangible Asset</w:t>
      </w:r>
    </w:p>
    <w:p w14:paraId="46C7EA70" w14:textId="77777777" w:rsidR="006925A7" w:rsidRPr="003A176D" w:rsidRDefault="006925A7" w:rsidP="006925A7">
      <w:pPr>
        <w:pStyle w:val="ListParagraph"/>
        <w:autoSpaceDE w:val="0"/>
        <w:autoSpaceDN w:val="0"/>
        <w:adjustRightInd w:val="0"/>
        <w:spacing w:after="0" w:line="240" w:lineRule="auto"/>
        <w:ind w:left="360"/>
        <w:jc w:val="both"/>
        <w:rPr>
          <w:rFonts w:cs="Calibri"/>
          <w:b/>
          <w:bCs/>
          <w:sz w:val="20"/>
          <w:szCs w:val="20"/>
        </w:rPr>
      </w:pPr>
    </w:p>
    <w:tbl>
      <w:tblPr>
        <w:tblStyle w:val="TableGrid"/>
        <w:tblW w:w="90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318"/>
        <w:gridCol w:w="1124"/>
        <w:gridCol w:w="318"/>
        <w:gridCol w:w="1160"/>
        <w:gridCol w:w="318"/>
        <w:gridCol w:w="1076"/>
        <w:gridCol w:w="353"/>
        <w:gridCol w:w="1124"/>
        <w:gridCol w:w="1270"/>
      </w:tblGrid>
      <w:tr w:rsidR="00191779" w:rsidRPr="003A176D" w14:paraId="61C4E47D" w14:textId="77777777" w:rsidTr="006925A7">
        <w:trPr>
          <w:trHeight w:val="70"/>
        </w:trPr>
        <w:tc>
          <w:tcPr>
            <w:tcW w:w="1944" w:type="dxa"/>
            <w:tcBorders>
              <w:top w:val="single" w:sz="4" w:space="0" w:color="auto"/>
              <w:bottom w:val="double" w:sz="4" w:space="0" w:color="auto"/>
            </w:tcBorders>
          </w:tcPr>
          <w:p w14:paraId="23844EF1" w14:textId="77777777" w:rsidR="003F55D7" w:rsidRPr="003A176D" w:rsidRDefault="003F55D7" w:rsidP="007E68A5">
            <w:pPr>
              <w:autoSpaceDE w:val="0"/>
              <w:autoSpaceDN w:val="0"/>
              <w:adjustRightInd w:val="0"/>
              <w:spacing w:after="0" w:line="240" w:lineRule="auto"/>
              <w:rPr>
                <w:rFonts w:cs="Calibri"/>
                <w:b/>
                <w:bCs/>
              </w:rPr>
            </w:pPr>
          </w:p>
        </w:tc>
        <w:tc>
          <w:tcPr>
            <w:tcW w:w="1442" w:type="dxa"/>
            <w:gridSpan w:val="2"/>
            <w:tcBorders>
              <w:top w:val="single" w:sz="4" w:space="0" w:color="auto"/>
              <w:bottom w:val="double" w:sz="4" w:space="0" w:color="auto"/>
            </w:tcBorders>
          </w:tcPr>
          <w:p w14:paraId="1F3A73A0" w14:textId="7699F5A8" w:rsidR="003F55D7" w:rsidRPr="003A176D" w:rsidRDefault="003F55D7" w:rsidP="007E68A5">
            <w:pPr>
              <w:autoSpaceDE w:val="0"/>
              <w:autoSpaceDN w:val="0"/>
              <w:adjustRightInd w:val="0"/>
              <w:spacing w:after="0" w:line="240" w:lineRule="auto"/>
              <w:jc w:val="right"/>
              <w:rPr>
                <w:rFonts w:cs="Calibri"/>
                <w:b/>
                <w:bCs/>
              </w:rPr>
            </w:pPr>
            <w:r w:rsidRPr="003A176D">
              <w:rPr>
                <w:rFonts w:cs="Calibri"/>
                <w:b/>
                <w:bCs/>
              </w:rPr>
              <w:t>Sabercruncher Website</w:t>
            </w:r>
          </w:p>
        </w:tc>
        <w:tc>
          <w:tcPr>
            <w:tcW w:w="318" w:type="dxa"/>
            <w:tcBorders>
              <w:top w:val="single" w:sz="4" w:space="0" w:color="auto"/>
              <w:bottom w:val="double" w:sz="4" w:space="0" w:color="auto"/>
            </w:tcBorders>
          </w:tcPr>
          <w:p w14:paraId="20728709" w14:textId="77777777" w:rsidR="003F55D7" w:rsidRPr="003A176D" w:rsidRDefault="003F55D7" w:rsidP="007E68A5">
            <w:pPr>
              <w:autoSpaceDE w:val="0"/>
              <w:autoSpaceDN w:val="0"/>
              <w:adjustRightInd w:val="0"/>
              <w:spacing w:after="0" w:line="240" w:lineRule="auto"/>
              <w:jc w:val="right"/>
              <w:rPr>
                <w:rFonts w:cs="Calibri"/>
                <w:b/>
                <w:bCs/>
              </w:rPr>
            </w:pPr>
          </w:p>
        </w:tc>
        <w:tc>
          <w:tcPr>
            <w:tcW w:w="1160" w:type="dxa"/>
            <w:tcBorders>
              <w:top w:val="single" w:sz="4" w:space="0" w:color="auto"/>
              <w:bottom w:val="double" w:sz="4" w:space="0" w:color="auto"/>
            </w:tcBorders>
          </w:tcPr>
          <w:p w14:paraId="64B329CD" w14:textId="4689F2A6" w:rsidR="003F55D7" w:rsidRPr="003A176D" w:rsidRDefault="00191779" w:rsidP="007E68A5">
            <w:pPr>
              <w:autoSpaceDE w:val="0"/>
              <w:autoSpaceDN w:val="0"/>
              <w:adjustRightInd w:val="0"/>
              <w:spacing w:after="0" w:line="240" w:lineRule="auto"/>
              <w:jc w:val="right"/>
              <w:rPr>
                <w:rFonts w:cs="Calibri"/>
                <w:b/>
                <w:bCs/>
              </w:rPr>
            </w:pPr>
            <w:r w:rsidRPr="003A176D">
              <w:rPr>
                <w:rFonts w:cs="Calibri"/>
                <w:b/>
                <w:bCs/>
              </w:rPr>
              <w:t>Betting Platform</w:t>
            </w:r>
            <w:r w:rsidR="00212533" w:rsidRPr="003A176D">
              <w:rPr>
                <w:rFonts w:cs="Calibri"/>
                <w:b/>
                <w:bCs/>
              </w:rPr>
              <w:t xml:space="preserve"> IP</w:t>
            </w:r>
          </w:p>
        </w:tc>
        <w:tc>
          <w:tcPr>
            <w:tcW w:w="318" w:type="dxa"/>
            <w:tcBorders>
              <w:top w:val="single" w:sz="4" w:space="0" w:color="auto"/>
              <w:bottom w:val="double" w:sz="4" w:space="0" w:color="auto"/>
            </w:tcBorders>
          </w:tcPr>
          <w:p w14:paraId="02082EC9" w14:textId="77777777" w:rsidR="003F55D7" w:rsidRPr="003A176D" w:rsidRDefault="003F55D7" w:rsidP="007E68A5">
            <w:pPr>
              <w:autoSpaceDE w:val="0"/>
              <w:autoSpaceDN w:val="0"/>
              <w:adjustRightInd w:val="0"/>
              <w:spacing w:after="0" w:line="240" w:lineRule="auto"/>
              <w:jc w:val="right"/>
              <w:rPr>
                <w:rFonts w:cs="Calibri"/>
                <w:b/>
                <w:bCs/>
              </w:rPr>
            </w:pPr>
          </w:p>
        </w:tc>
        <w:tc>
          <w:tcPr>
            <w:tcW w:w="1076" w:type="dxa"/>
            <w:tcBorders>
              <w:top w:val="single" w:sz="4" w:space="0" w:color="auto"/>
              <w:bottom w:val="double" w:sz="4" w:space="0" w:color="auto"/>
            </w:tcBorders>
          </w:tcPr>
          <w:p w14:paraId="10777AD6" w14:textId="3A297BB3" w:rsidR="003F55D7" w:rsidRPr="003A176D" w:rsidRDefault="003F55D7" w:rsidP="007E68A5">
            <w:pPr>
              <w:autoSpaceDE w:val="0"/>
              <w:autoSpaceDN w:val="0"/>
              <w:adjustRightInd w:val="0"/>
              <w:spacing w:after="0" w:line="240" w:lineRule="auto"/>
              <w:jc w:val="right"/>
              <w:rPr>
                <w:rFonts w:cs="Calibri"/>
                <w:b/>
                <w:bCs/>
              </w:rPr>
            </w:pPr>
            <w:r w:rsidRPr="003A176D">
              <w:rPr>
                <w:rFonts w:cs="Calibri"/>
                <w:b/>
                <w:bCs/>
              </w:rPr>
              <w:t>McBookie Website</w:t>
            </w:r>
          </w:p>
        </w:tc>
        <w:tc>
          <w:tcPr>
            <w:tcW w:w="353" w:type="dxa"/>
            <w:tcBorders>
              <w:top w:val="single" w:sz="4" w:space="0" w:color="auto"/>
              <w:bottom w:val="double" w:sz="4" w:space="0" w:color="auto"/>
            </w:tcBorders>
          </w:tcPr>
          <w:p w14:paraId="39C1D3D4" w14:textId="702E0102" w:rsidR="003F55D7" w:rsidRPr="003A176D" w:rsidRDefault="003F55D7" w:rsidP="007E68A5">
            <w:pPr>
              <w:autoSpaceDE w:val="0"/>
              <w:autoSpaceDN w:val="0"/>
              <w:adjustRightInd w:val="0"/>
              <w:spacing w:after="0" w:line="240" w:lineRule="auto"/>
              <w:jc w:val="right"/>
              <w:rPr>
                <w:rFonts w:cs="Calibri"/>
                <w:b/>
                <w:bCs/>
              </w:rPr>
            </w:pPr>
          </w:p>
        </w:tc>
        <w:tc>
          <w:tcPr>
            <w:tcW w:w="1124" w:type="dxa"/>
            <w:tcBorders>
              <w:top w:val="single" w:sz="4" w:space="0" w:color="auto"/>
              <w:bottom w:val="double" w:sz="4" w:space="0" w:color="auto"/>
            </w:tcBorders>
          </w:tcPr>
          <w:p w14:paraId="5085D8F5" w14:textId="2FE99C12" w:rsidR="003F55D7" w:rsidRPr="003A176D" w:rsidRDefault="003F55D7" w:rsidP="007E68A5">
            <w:pPr>
              <w:autoSpaceDE w:val="0"/>
              <w:autoSpaceDN w:val="0"/>
              <w:adjustRightInd w:val="0"/>
              <w:spacing w:after="0" w:line="240" w:lineRule="auto"/>
              <w:jc w:val="right"/>
              <w:rPr>
                <w:rFonts w:cs="Calibri"/>
                <w:b/>
                <w:bCs/>
              </w:rPr>
            </w:pPr>
            <w:r w:rsidRPr="003A176D">
              <w:rPr>
                <w:rFonts w:cs="Calibri"/>
                <w:b/>
                <w:bCs/>
              </w:rPr>
              <w:t>McBookie IP</w:t>
            </w:r>
          </w:p>
        </w:tc>
        <w:tc>
          <w:tcPr>
            <w:tcW w:w="1270" w:type="dxa"/>
            <w:tcBorders>
              <w:top w:val="single" w:sz="4" w:space="0" w:color="auto"/>
              <w:bottom w:val="double" w:sz="4" w:space="0" w:color="auto"/>
            </w:tcBorders>
          </w:tcPr>
          <w:p w14:paraId="48578CE4" w14:textId="5BE73916" w:rsidR="003F55D7" w:rsidRPr="003A176D" w:rsidRDefault="003F55D7" w:rsidP="007E68A5">
            <w:pPr>
              <w:autoSpaceDE w:val="0"/>
              <w:autoSpaceDN w:val="0"/>
              <w:adjustRightInd w:val="0"/>
              <w:spacing w:after="0" w:line="240" w:lineRule="auto"/>
              <w:jc w:val="right"/>
              <w:rPr>
                <w:rFonts w:cs="Calibri"/>
                <w:b/>
                <w:bCs/>
              </w:rPr>
            </w:pPr>
            <w:r w:rsidRPr="003A176D">
              <w:rPr>
                <w:rFonts w:cs="Calibri"/>
                <w:b/>
                <w:bCs/>
              </w:rPr>
              <w:t>Total</w:t>
            </w:r>
          </w:p>
        </w:tc>
      </w:tr>
      <w:tr w:rsidR="003F55D7" w:rsidRPr="003A176D" w14:paraId="21A7950D" w14:textId="77777777" w:rsidTr="002B5620">
        <w:tc>
          <w:tcPr>
            <w:tcW w:w="1944" w:type="dxa"/>
            <w:tcBorders>
              <w:top w:val="double" w:sz="4" w:space="0" w:color="auto"/>
            </w:tcBorders>
          </w:tcPr>
          <w:p w14:paraId="597E6B32" w14:textId="1773AF3A" w:rsidR="003F55D7" w:rsidRPr="003A176D" w:rsidRDefault="003F55D7" w:rsidP="007E68A5">
            <w:pPr>
              <w:autoSpaceDE w:val="0"/>
              <w:autoSpaceDN w:val="0"/>
              <w:adjustRightInd w:val="0"/>
              <w:spacing w:after="0" w:line="240" w:lineRule="auto"/>
              <w:rPr>
                <w:rFonts w:cs="Calibri"/>
              </w:rPr>
            </w:pPr>
            <w:r w:rsidRPr="003A176D">
              <w:rPr>
                <w:rFonts w:cs="Calibri"/>
              </w:rPr>
              <w:t>Balance, January 1, 2019</w:t>
            </w:r>
          </w:p>
        </w:tc>
        <w:tc>
          <w:tcPr>
            <w:tcW w:w="318" w:type="dxa"/>
            <w:tcBorders>
              <w:top w:val="double" w:sz="4" w:space="0" w:color="auto"/>
            </w:tcBorders>
          </w:tcPr>
          <w:p w14:paraId="24AFF05B" w14:textId="262A262E" w:rsidR="003F55D7" w:rsidRPr="003A176D" w:rsidRDefault="003F55D7" w:rsidP="007E68A5">
            <w:pPr>
              <w:tabs>
                <w:tab w:val="center" w:pos="1062"/>
                <w:tab w:val="right" w:pos="2125"/>
              </w:tabs>
              <w:autoSpaceDE w:val="0"/>
              <w:autoSpaceDN w:val="0"/>
              <w:adjustRightInd w:val="0"/>
              <w:spacing w:after="0" w:line="240" w:lineRule="auto"/>
              <w:jc w:val="right"/>
              <w:rPr>
                <w:rFonts w:cs="Calibri"/>
              </w:rPr>
            </w:pPr>
            <w:r w:rsidRPr="003A176D">
              <w:rPr>
                <w:rFonts w:cs="Calibri"/>
              </w:rPr>
              <w:t xml:space="preserve">$                </w:t>
            </w:r>
          </w:p>
        </w:tc>
        <w:tc>
          <w:tcPr>
            <w:tcW w:w="1124" w:type="dxa"/>
            <w:tcBorders>
              <w:top w:val="double" w:sz="4" w:space="0" w:color="auto"/>
            </w:tcBorders>
          </w:tcPr>
          <w:p w14:paraId="6D5F6F1F" w14:textId="3A076F54" w:rsidR="003F55D7" w:rsidRPr="003A176D" w:rsidRDefault="003F55D7" w:rsidP="007E68A5">
            <w:pPr>
              <w:tabs>
                <w:tab w:val="center" w:pos="1062"/>
                <w:tab w:val="right" w:pos="2125"/>
              </w:tabs>
              <w:autoSpaceDE w:val="0"/>
              <w:autoSpaceDN w:val="0"/>
              <w:adjustRightInd w:val="0"/>
              <w:spacing w:after="0" w:line="240" w:lineRule="auto"/>
              <w:jc w:val="right"/>
              <w:rPr>
                <w:rFonts w:cs="Calibri"/>
              </w:rPr>
            </w:pPr>
            <w:r w:rsidRPr="003A176D">
              <w:rPr>
                <w:rFonts w:cs="Calibri"/>
              </w:rPr>
              <w:t>-</w:t>
            </w:r>
          </w:p>
        </w:tc>
        <w:tc>
          <w:tcPr>
            <w:tcW w:w="318" w:type="dxa"/>
            <w:tcBorders>
              <w:top w:val="double" w:sz="4" w:space="0" w:color="auto"/>
            </w:tcBorders>
          </w:tcPr>
          <w:p w14:paraId="0136DB8C" w14:textId="77777777"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1160" w:type="dxa"/>
            <w:tcBorders>
              <w:top w:val="double" w:sz="4" w:space="0" w:color="auto"/>
            </w:tcBorders>
          </w:tcPr>
          <w:p w14:paraId="309130E6" w14:textId="4D96434A" w:rsidR="003F55D7" w:rsidRPr="003A176D" w:rsidRDefault="003F55D7" w:rsidP="007E68A5">
            <w:pPr>
              <w:tabs>
                <w:tab w:val="center" w:pos="581"/>
                <w:tab w:val="right" w:pos="1162"/>
              </w:tabs>
              <w:autoSpaceDE w:val="0"/>
              <w:autoSpaceDN w:val="0"/>
              <w:adjustRightInd w:val="0"/>
              <w:spacing w:after="0" w:line="240" w:lineRule="auto"/>
              <w:jc w:val="right"/>
              <w:rPr>
                <w:rFonts w:cs="Calibri"/>
              </w:rPr>
            </w:pPr>
            <w:r w:rsidRPr="003A176D">
              <w:rPr>
                <w:rFonts w:cs="Calibri"/>
              </w:rPr>
              <w:t>1,113,308</w:t>
            </w:r>
          </w:p>
        </w:tc>
        <w:tc>
          <w:tcPr>
            <w:tcW w:w="318" w:type="dxa"/>
            <w:tcBorders>
              <w:top w:val="double" w:sz="4" w:space="0" w:color="auto"/>
            </w:tcBorders>
          </w:tcPr>
          <w:p w14:paraId="47C3B2C1" w14:textId="647B62AF" w:rsidR="003F55D7" w:rsidRPr="003A176D" w:rsidRDefault="003F55D7" w:rsidP="007E68A5">
            <w:pPr>
              <w:tabs>
                <w:tab w:val="right" w:pos="963"/>
              </w:tabs>
              <w:autoSpaceDE w:val="0"/>
              <w:autoSpaceDN w:val="0"/>
              <w:adjustRightInd w:val="0"/>
              <w:spacing w:after="0" w:line="240" w:lineRule="auto"/>
              <w:rPr>
                <w:rFonts w:cs="Calibri"/>
              </w:rPr>
            </w:pPr>
            <w:r w:rsidRPr="003A176D">
              <w:rPr>
                <w:rFonts w:cs="Calibri"/>
              </w:rPr>
              <w:t>$</w:t>
            </w:r>
          </w:p>
        </w:tc>
        <w:tc>
          <w:tcPr>
            <w:tcW w:w="1076" w:type="dxa"/>
            <w:tcBorders>
              <w:top w:val="double" w:sz="4" w:space="0" w:color="auto"/>
            </w:tcBorders>
          </w:tcPr>
          <w:p w14:paraId="4AE47515" w14:textId="13654A1F" w:rsidR="003F55D7" w:rsidRPr="003A176D" w:rsidRDefault="003F55D7" w:rsidP="007E68A5">
            <w:pPr>
              <w:tabs>
                <w:tab w:val="right" w:pos="963"/>
              </w:tabs>
              <w:autoSpaceDE w:val="0"/>
              <w:autoSpaceDN w:val="0"/>
              <w:adjustRightInd w:val="0"/>
              <w:spacing w:after="0" w:line="240" w:lineRule="auto"/>
              <w:jc w:val="right"/>
              <w:rPr>
                <w:rFonts w:cs="Calibri"/>
              </w:rPr>
            </w:pPr>
            <w:r w:rsidRPr="003A176D">
              <w:rPr>
                <w:rFonts w:cs="Calibri"/>
              </w:rPr>
              <w:t>-</w:t>
            </w:r>
          </w:p>
        </w:tc>
        <w:tc>
          <w:tcPr>
            <w:tcW w:w="353" w:type="dxa"/>
            <w:tcBorders>
              <w:top w:val="double" w:sz="4" w:space="0" w:color="auto"/>
            </w:tcBorders>
          </w:tcPr>
          <w:p w14:paraId="771D87A0" w14:textId="5E733474" w:rsidR="003F55D7" w:rsidRPr="003A176D" w:rsidRDefault="003F55D7" w:rsidP="003F55D7">
            <w:pPr>
              <w:tabs>
                <w:tab w:val="right" w:pos="963"/>
              </w:tabs>
              <w:autoSpaceDE w:val="0"/>
              <w:autoSpaceDN w:val="0"/>
              <w:adjustRightInd w:val="0"/>
              <w:spacing w:after="0" w:line="240" w:lineRule="auto"/>
              <w:jc w:val="right"/>
              <w:rPr>
                <w:rFonts w:cs="Calibri"/>
              </w:rPr>
            </w:pPr>
            <w:r w:rsidRPr="003A176D">
              <w:rPr>
                <w:rFonts w:cs="Calibri"/>
              </w:rPr>
              <w:t>$</w:t>
            </w:r>
          </w:p>
        </w:tc>
        <w:tc>
          <w:tcPr>
            <w:tcW w:w="1124" w:type="dxa"/>
            <w:tcBorders>
              <w:top w:val="double" w:sz="4" w:space="0" w:color="auto"/>
            </w:tcBorders>
          </w:tcPr>
          <w:p w14:paraId="0A8747D9" w14:textId="634635C8" w:rsidR="003F55D7" w:rsidRPr="003A176D" w:rsidRDefault="003F55D7" w:rsidP="003F55D7">
            <w:pPr>
              <w:tabs>
                <w:tab w:val="right" w:pos="963"/>
              </w:tabs>
              <w:autoSpaceDE w:val="0"/>
              <w:autoSpaceDN w:val="0"/>
              <w:adjustRightInd w:val="0"/>
              <w:spacing w:after="0" w:line="240" w:lineRule="auto"/>
              <w:jc w:val="right"/>
              <w:rPr>
                <w:rFonts w:cs="Calibri"/>
              </w:rPr>
            </w:pPr>
            <w:r w:rsidRPr="003A176D">
              <w:rPr>
                <w:rFonts w:cs="Calibri"/>
              </w:rPr>
              <w:t>-</w:t>
            </w:r>
          </w:p>
        </w:tc>
        <w:tc>
          <w:tcPr>
            <w:tcW w:w="1270" w:type="dxa"/>
            <w:tcBorders>
              <w:top w:val="double" w:sz="4" w:space="0" w:color="auto"/>
            </w:tcBorders>
          </w:tcPr>
          <w:p w14:paraId="4D0DB362" w14:textId="39E11249" w:rsidR="003F55D7" w:rsidRPr="003A176D" w:rsidRDefault="003F55D7" w:rsidP="003F55D7">
            <w:pPr>
              <w:tabs>
                <w:tab w:val="right" w:pos="963"/>
              </w:tabs>
              <w:autoSpaceDE w:val="0"/>
              <w:autoSpaceDN w:val="0"/>
              <w:adjustRightInd w:val="0"/>
              <w:spacing w:after="0" w:line="240" w:lineRule="auto"/>
              <w:jc w:val="right"/>
              <w:rPr>
                <w:rFonts w:cs="Calibri"/>
              </w:rPr>
            </w:pPr>
            <w:r w:rsidRPr="003A176D">
              <w:rPr>
                <w:rFonts w:cs="Calibri"/>
              </w:rPr>
              <w:t>$</w:t>
            </w:r>
            <w:r w:rsidRPr="003A176D">
              <w:rPr>
                <w:rFonts w:cs="Calibri"/>
              </w:rPr>
              <w:tab/>
              <w:t>1,113,308</w:t>
            </w:r>
          </w:p>
        </w:tc>
      </w:tr>
      <w:tr w:rsidR="00191779" w:rsidRPr="003A176D" w14:paraId="5EDEFAF3" w14:textId="77777777" w:rsidTr="00191779">
        <w:tc>
          <w:tcPr>
            <w:tcW w:w="1944" w:type="dxa"/>
          </w:tcPr>
          <w:p w14:paraId="350DD8CF" w14:textId="67798A66" w:rsidR="003F55D7" w:rsidRPr="003A176D" w:rsidRDefault="003F55D7" w:rsidP="007E68A5">
            <w:pPr>
              <w:autoSpaceDE w:val="0"/>
              <w:autoSpaceDN w:val="0"/>
              <w:adjustRightInd w:val="0"/>
              <w:spacing w:after="0" w:line="240" w:lineRule="auto"/>
              <w:rPr>
                <w:rFonts w:cs="Calibri"/>
              </w:rPr>
            </w:pPr>
            <w:r w:rsidRPr="003A176D">
              <w:rPr>
                <w:rFonts w:cs="Calibri"/>
              </w:rPr>
              <w:t>Additions</w:t>
            </w:r>
          </w:p>
        </w:tc>
        <w:tc>
          <w:tcPr>
            <w:tcW w:w="1442" w:type="dxa"/>
            <w:gridSpan w:val="2"/>
          </w:tcPr>
          <w:p w14:paraId="3D28973F" w14:textId="6ECCA45B" w:rsidR="003F55D7" w:rsidRPr="003A176D" w:rsidRDefault="003F55D7" w:rsidP="007E68A5">
            <w:pPr>
              <w:autoSpaceDE w:val="0"/>
              <w:autoSpaceDN w:val="0"/>
              <w:adjustRightInd w:val="0"/>
              <w:spacing w:after="0" w:line="240" w:lineRule="auto"/>
              <w:jc w:val="right"/>
              <w:rPr>
                <w:rFonts w:cs="Calibri"/>
              </w:rPr>
            </w:pPr>
            <w:r w:rsidRPr="003A176D">
              <w:rPr>
                <w:rFonts w:cs="Calibri"/>
              </w:rPr>
              <w:t>150,000</w:t>
            </w:r>
          </w:p>
        </w:tc>
        <w:tc>
          <w:tcPr>
            <w:tcW w:w="318" w:type="dxa"/>
          </w:tcPr>
          <w:p w14:paraId="593F280D" w14:textId="77777777" w:rsidR="003F55D7" w:rsidRPr="003A176D" w:rsidRDefault="003F55D7" w:rsidP="007E68A5">
            <w:pPr>
              <w:autoSpaceDE w:val="0"/>
              <w:autoSpaceDN w:val="0"/>
              <w:adjustRightInd w:val="0"/>
              <w:spacing w:after="0" w:line="240" w:lineRule="auto"/>
              <w:jc w:val="right"/>
              <w:rPr>
                <w:rFonts w:cs="Calibri"/>
              </w:rPr>
            </w:pPr>
          </w:p>
        </w:tc>
        <w:tc>
          <w:tcPr>
            <w:tcW w:w="1160" w:type="dxa"/>
          </w:tcPr>
          <w:p w14:paraId="66F0553C" w14:textId="229C5BDC"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318" w:type="dxa"/>
          </w:tcPr>
          <w:p w14:paraId="4BB88BD1" w14:textId="77777777" w:rsidR="003F55D7" w:rsidRPr="003A176D" w:rsidRDefault="003F55D7" w:rsidP="007E68A5">
            <w:pPr>
              <w:autoSpaceDE w:val="0"/>
              <w:autoSpaceDN w:val="0"/>
              <w:adjustRightInd w:val="0"/>
              <w:spacing w:after="0" w:line="240" w:lineRule="auto"/>
              <w:jc w:val="right"/>
              <w:rPr>
                <w:rFonts w:cs="Calibri"/>
              </w:rPr>
            </w:pPr>
          </w:p>
        </w:tc>
        <w:tc>
          <w:tcPr>
            <w:tcW w:w="1076" w:type="dxa"/>
          </w:tcPr>
          <w:p w14:paraId="114D1B7F" w14:textId="2FD932CC"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353" w:type="dxa"/>
          </w:tcPr>
          <w:p w14:paraId="0113B28B" w14:textId="77777777" w:rsidR="003F55D7" w:rsidRPr="003A176D" w:rsidRDefault="003F55D7" w:rsidP="007E68A5">
            <w:pPr>
              <w:autoSpaceDE w:val="0"/>
              <w:autoSpaceDN w:val="0"/>
              <w:adjustRightInd w:val="0"/>
              <w:spacing w:after="0" w:line="240" w:lineRule="auto"/>
              <w:jc w:val="right"/>
              <w:rPr>
                <w:rFonts w:cs="Calibri"/>
              </w:rPr>
            </w:pPr>
          </w:p>
        </w:tc>
        <w:tc>
          <w:tcPr>
            <w:tcW w:w="1124" w:type="dxa"/>
          </w:tcPr>
          <w:p w14:paraId="5012A15E" w14:textId="178A209C" w:rsidR="003F55D7" w:rsidRPr="003A176D" w:rsidRDefault="003F55D7" w:rsidP="003F55D7">
            <w:pPr>
              <w:autoSpaceDE w:val="0"/>
              <w:autoSpaceDN w:val="0"/>
              <w:adjustRightInd w:val="0"/>
              <w:spacing w:after="0" w:line="240" w:lineRule="auto"/>
              <w:jc w:val="right"/>
              <w:rPr>
                <w:rFonts w:cs="Calibri"/>
              </w:rPr>
            </w:pPr>
            <w:r w:rsidRPr="003A176D">
              <w:rPr>
                <w:rFonts w:cs="Calibri"/>
              </w:rPr>
              <w:t>-</w:t>
            </w:r>
          </w:p>
        </w:tc>
        <w:tc>
          <w:tcPr>
            <w:tcW w:w="1270" w:type="dxa"/>
          </w:tcPr>
          <w:p w14:paraId="2D02C8D2" w14:textId="02DC14B2" w:rsidR="003F55D7" w:rsidRPr="003A176D" w:rsidRDefault="003F55D7" w:rsidP="007E68A5">
            <w:pPr>
              <w:autoSpaceDE w:val="0"/>
              <w:autoSpaceDN w:val="0"/>
              <w:adjustRightInd w:val="0"/>
              <w:spacing w:after="0" w:line="240" w:lineRule="auto"/>
              <w:jc w:val="right"/>
              <w:rPr>
                <w:rFonts w:cs="Calibri"/>
              </w:rPr>
            </w:pPr>
            <w:r w:rsidRPr="003A176D">
              <w:rPr>
                <w:rFonts w:cs="Calibri"/>
              </w:rPr>
              <w:t>150,000</w:t>
            </w:r>
          </w:p>
        </w:tc>
      </w:tr>
      <w:tr w:rsidR="00191779" w:rsidRPr="003A176D" w14:paraId="44272E47" w14:textId="77777777" w:rsidTr="008B32C5">
        <w:tc>
          <w:tcPr>
            <w:tcW w:w="1944" w:type="dxa"/>
            <w:tcBorders>
              <w:bottom w:val="single" w:sz="4" w:space="0" w:color="auto"/>
            </w:tcBorders>
          </w:tcPr>
          <w:p w14:paraId="2B4E343D" w14:textId="77777777" w:rsidR="003F55D7" w:rsidRPr="003A176D" w:rsidRDefault="003F55D7" w:rsidP="007E68A5">
            <w:pPr>
              <w:autoSpaceDE w:val="0"/>
              <w:autoSpaceDN w:val="0"/>
              <w:adjustRightInd w:val="0"/>
              <w:spacing w:after="0" w:line="240" w:lineRule="auto"/>
              <w:rPr>
                <w:rFonts w:cs="Calibri"/>
              </w:rPr>
            </w:pPr>
            <w:r w:rsidRPr="003A176D">
              <w:rPr>
                <w:rFonts w:cs="Calibri"/>
              </w:rPr>
              <w:t>Amortization</w:t>
            </w:r>
          </w:p>
        </w:tc>
        <w:tc>
          <w:tcPr>
            <w:tcW w:w="1442" w:type="dxa"/>
            <w:gridSpan w:val="2"/>
            <w:tcBorders>
              <w:bottom w:val="single" w:sz="4" w:space="0" w:color="auto"/>
            </w:tcBorders>
          </w:tcPr>
          <w:p w14:paraId="008B0BC7" w14:textId="65091074" w:rsidR="003F55D7" w:rsidRPr="003A176D" w:rsidRDefault="003F55D7" w:rsidP="007E68A5">
            <w:pPr>
              <w:autoSpaceDE w:val="0"/>
              <w:autoSpaceDN w:val="0"/>
              <w:adjustRightInd w:val="0"/>
              <w:spacing w:after="0" w:line="240" w:lineRule="auto"/>
              <w:jc w:val="right"/>
              <w:rPr>
                <w:rFonts w:cs="Calibri"/>
              </w:rPr>
            </w:pPr>
            <w:r w:rsidRPr="003A176D">
              <w:rPr>
                <w:rFonts w:cs="Calibri"/>
              </w:rPr>
              <w:t>75,000</w:t>
            </w:r>
          </w:p>
        </w:tc>
        <w:tc>
          <w:tcPr>
            <w:tcW w:w="318" w:type="dxa"/>
            <w:tcBorders>
              <w:bottom w:val="single" w:sz="4" w:space="0" w:color="auto"/>
            </w:tcBorders>
          </w:tcPr>
          <w:p w14:paraId="714F8165" w14:textId="77777777" w:rsidR="003F55D7" w:rsidRPr="003A176D" w:rsidRDefault="003F55D7" w:rsidP="007E68A5">
            <w:pPr>
              <w:autoSpaceDE w:val="0"/>
              <w:autoSpaceDN w:val="0"/>
              <w:adjustRightInd w:val="0"/>
              <w:spacing w:after="0" w:line="240" w:lineRule="auto"/>
              <w:jc w:val="right"/>
              <w:rPr>
                <w:rFonts w:cs="Calibri"/>
              </w:rPr>
            </w:pPr>
          </w:p>
        </w:tc>
        <w:tc>
          <w:tcPr>
            <w:tcW w:w="1160" w:type="dxa"/>
            <w:tcBorders>
              <w:bottom w:val="single" w:sz="4" w:space="0" w:color="auto"/>
            </w:tcBorders>
          </w:tcPr>
          <w:p w14:paraId="1223F110" w14:textId="307E8F8D" w:rsidR="003F55D7" w:rsidRPr="003A176D" w:rsidRDefault="003F55D7" w:rsidP="007E68A5">
            <w:pPr>
              <w:autoSpaceDE w:val="0"/>
              <w:autoSpaceDN w:val="0"/>
              <w:adjustRightInd w:val="0"/>
              <w:spacing w:after="0" w:line="240" w:lineRule="auto"/>
              <w:jc w:val="right"/>
              <w:rPr>
                <w:rFonts w:cs="Calibri"/>
              </w:rPr>
            </w:pPr>
            <w:r w:rsidRPr="003A176D">
              <w:rPr>
                <w:rFonts w:cs="Calibri"/>
              </w:rPr>
              <w:t>265,420</w:t>
            </w:r>
          </w:p>
        </w:tc>
        <w:tc>
          <w:tcPr>
            <w:tcW w:w="318" w:type="dxa"/>
            <w:tcBorders>
              <w:bottom w:val="single" w:sz="4" w:space="0" w:color="auto"/>
            </w:tcBorders>
          </w:tcPr>
          <w:p w14:paraId="6E448815" w14:textId="77777777" w:rsidR="003F55D7" w:rsidRPr="003A176D" w:rsidRDefault="003F55D7" w:rsidP="007E68A5">
            <w:pPr>
              <w:autoSpaceDE w:val="0"/>
              <w:autoSpaceDN w:val="0"/>
              <w:adjustRightInd w:val="0"/>
              <w:spacing w:after="0" w:line="240" w:lineRule="auto"/>
              <w:jc w:val="right"/>
              <w:rPr>
                <w:rFonts w:cs="Calibri"/>
              </w:rPr>
            </w:pPr>
          </w:p>
        </w:tc>
        <w:tc>
          <w:tcPr>
            <w:tcW w:w="1076" w:type="dxa"/>
            <w:tcBorders>
              <w:bottom w:val="single" w:sz="4" w:space="0" w:color="auto"/>
            </w:tcBorders>
          </w:tcPr>
          <w:p w14:paraId="51C707A4" w14:textId="3A7E840B"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353" w:type="dxa"/>
            <w:tcBorders>
              <w:bottom w:val="single" w:sz="4" w:space="0" w:color="auto"/>
            </w:tcBorders>
          </w:tcPr>
          <w:p w14:paraId="1EE6AAAE" w14:textId="77777777" w:rsidR="003F55D7" w:rsidRPr="003A176D" w:rsidRDefault="003F55D7" w:rsidP="007E68A5">
            <w:pPr>
              <w:autoSpaceDE w:val="0"/>
              <w:autoSpaceDN w:val="0"/>
              <w:adjustRightInd w:val="0"/>
              <w:spacing w:after="0" w:line="240" w:lineRule="auto"/>
              <w:jc w:val="right"/>
              <w:rPr>
                <w:rFonts w:cs="Calibri"/>
              </w:rPr>
            </w:pPr>
          </w:p>
        </w:tc>
        <w:tc>
          <w:tcPr>
            <w:tcW w:w="1124" w:type="dxa"/>
            <w:tcBorders>
              <w:bottom w:val="single" w:sz="4" w:space="0" w:color="auto"/>
            </w:tcBorders>
          </w:tcPr>
          <w:p w14:paraId="3254CA30" w14:textId="2911CA2E" w:rsidR="003F55D7" w:rsidRPr="003A176D" w:rsidRDefault="003F55D7" w:rsidP="003F55D7">
            <w:pPr>
              <w:autoSpaceDE w:val="0"/>
              <w:autoSpaceDN w:val="0"/>
              <w:adjustRightInd w:val="0"/>
              <w:spacing w:after="0" w:line="240" w:lineRule="auto"/>
              <w:jc w:val="right"/>
              <w:rPr>
                <w:rFonts w:cs="Calibri"/>
              </w:rPr>
            </w:pPr>
            <w:r w:rsidRPr="003A176D">
              <w:rPr>
                <w:rFonts w:cs="Calibri"/>
              </w:rPr>
              <w:t>-</w:t>
            </w:r>
          </w:p>
        </w:tc>
        <w:tc>
          <w:tcPr>
            <w:tcW w:w="1270" w:type="dxa"/>
            <w:tcBorders>
              <w:bottom w:val="single" w:sz="4" w:space="0" w:color="auto"/>
            </w:tcBorders>
          </w:tcPr>
          <w:p w14:paraId="07E3AB16" w14:textId="75C56F89" w:rsidR="003F55D7" w:rsidRPr="003A176D" w:rsidRDefault="003F55D7" w:rsidP="007E68A5">
            <w:pPr>
              <w:autoSpaceDE w:val="0"/>
              <w:autoSpaceDN w:val="0"/>
              <w:adjustRightInd w:val="0"/>
              <w:spacing w:after="0" w:line="240" w:lineRule="auto"/>
              <w:jc w:val="right"/>
              <w:rPr>
                <w:rFonts w:cs="Calibri"/>
              </w:rPr>
            </w:pPr>
            <w:r w:rsidRPr="003A176D">
              <w:rPr>
                <w:rFonts w:cs="Calibri"/>
              </w:rPr>
              <w:t>340,420</w:t>
            </w:r>
          </w:p>
        </w:tc>
      </w:tr>
      <w:tr w:rsidR="003F55D7" w:rsidRPr="003A176D" w14:paraId="1EA11496" w14:textId="77777777" w:rsidTr="008B32C5">
        <w:tc>
          <w:tcPr>
            <w:tcW w:w="1944" w:type="dxa"/>
            <w:tcBorders>
              <w:top w:val="single" w:sz="4" w:space="0" w:color="auto"/>
            </w:tcBorders>
          </w:tcPr>
          <w:p w14:paraId="2E2737FB" w14:textId="0122AEE8" w:rsidR="003F55D7" w:rsidRPr="003A176D" w:rsidRDefault="003F55D7" w:rsidP="007E68A5">
            <w:pPr>
              <w:autoSpaceDE w:val="0"/>
              <w:autoSpaceDN w:val="0"/>
              <w:adjustRightInd w:val="0"/>
              <w:spacing w:after="0" w:line="240" w:lineRule="auto"/>
              <w:rPr>
                <w:rFonts w:cs="Calibri"/>
              </w:rPr>
            </w:pPr>
            <w:r w:rsidRPr="003A176D">
              <w:rPr>
                <w:rFonts w:cs="Calibri"/>
              </w:rPr>
              <w:t>Balance, December 31, 2019</w:t>
            </w:r>
          </w:p>
        </w:tc>
        <w:tc>
          <w:tcPr>
            <w:tcW w:w="318" w:type="dxa"/>
            <w:tcBorders>
              <w:top w:val="single" w:sz="4" w:space="0" w:color="auto"/>
            </w:tcBorders>
          </w:tcPr>
          <w:p w14:paraId="4317F986" w14:textId="68C29F9F" w:rsidR="003F55D7" w:rsidRPr="003A176D" w:rsidRDefault="003F55D7" w:rsidP="007E68A5">
            <w:pPr>
              <w:autoSpaceDE w:val="0"/>
              <w:autoSpaceDN w:val="0"/>
              <w:adjustRightInd w:val="0"/>
              <w:spacing w:after="0" w:line="240" w:lineRule="auto"/>
              <w:jc w:val="right"/>
              <w:rPr>
                <w:rFonts w:cs="Calibri"/>
              </w:rPr>
            </w:pPr>
          </w:p>
        </w:tc>
        <w:tc>
          <w:tcPr>
            <w:tcW w:w="1124" w:type="dxa"/>
            <w:tcBorders>
              <w:top w:val="single" w:sz="4" w:space="0" w:color="auto"/>
            </w:tcBorders>
          </w:tcPr>
          <w:p w14:paraId="09CC6F5C" w14:textId="00C06875" w:rsidR="003F55D7" w:rsidRPr="003A176D" w:rsidRDefault="003F55D7" w:rsidP="007E68A5">
            <w:pPr>
              <w:autoSpaceDE w:val="0"/>
              <w:autoSpaceDN w:val="0"/>
              <w:adjustRightInd w:val="0"/>
              <w:spacing w:after="0" w:line="240" w:lineRule="auto"/>
              <w:jc w:val="right"/>
              <w:rPr>
                <w:rFonts w:cs="Calibri"/>
              </w:rPr>
            </w:pPr>
            <w:r w:rsidRPr="003A176D">
              <w:rPr>
                <w:rFonts w:cs="Calibri"/>
              </w:rPr>
              <w:t>75,000</w:t>
            </w:r>
          </w:p>
        </w:tc>
        <w:tc>
          <w:tcPr>
            <w:tcW w:w="318" w:type="dxa"/>
            <w:tcBorders>
              <w:top w:val="single" w:sz="4" w:space="0" w:color="auto"/>
            </w:tcBorders>
          </w:tcPr>
          <w:p w14:paraId="02D8E28F" w14:textId="0D7294DF" w:rsidR="003F55D7" w:rsidRPr="003A176D" w:rsidRDefault="003F55D7" w:rsidP="007E68A5">
            <w:pPr>
              <w:autoSpaceDE w:val="0"/>
              <w:autoSpaceDN w:val="0"/>
              <w:adjustRightInd w:val="0"/>
              <w:spacing w:after="0" w:line="240" w:lineRule="auto"/>
              <w:jc w:val="right"/>
              <w:rPr>
                <w:rFonts w:cs="Calibri"/>
              </w:rPr>
            </w:pPr>
          </w:p>
        </w:tc>
        <w:tc>
          <w:tcPr>
            <w:tcW w:w="1160" w:type="dxa"/>
            <w:tcBorders>
              <w:top w:val="single" w:sz="4" w:space="0" w:color="auto"/>
            </w:tcBorders>
          </w:tcPr>
          <w:p w14:paraId="55783C06" w14:textId="5B4FEFE9" w:rsidR="003F55D7" w:rsidRPr="003A176D" w:rsidRDefault="003F55D7" w:rsidP="007E68A5">
            <w:pPr>
              <w:autoSpaceDE w:val="0"/>
              <w:autoSpaceDN w:val="0"/>
              <w:adjustRightInd w:val="0"/>
              <w:spacing w:after="0" w:line="240" w:lineRule="auto"/>
              <w:jc w:val="right"/>
              <w:rPr>
                <w:rFonts w:cs="Calibri"/>
              </w:rPr>
            </w:pPr>
            <w:r w:rsidRPr="003A176D">
              <w:rPr>
                <w:rFonts w:cs="Calibri"/>
              </w:rPr>
              <w:t>847,888</w:t>
            </w:r>
          </w:p>
        </w:tc>
        <w:tc>
          <w:tcPr>
            <w:tcW w:w="318" w:type="dxa"/>
            <w:tcBorders>
              <w:top w:val="single" w:sz="4" w:space="0" w:color="auto"/>
            </w:tcBorders>
          </w:tcPr>
          <w:p w14:paraId="777A672D" w14:textId="7FC5D705" w:rsidR="003F55D7" w:rsidRPr="003A176D" w:rsidRDefault="003F55D7" w:rsidP="007E68A5">
            <w:pPr>
              <w:autoSpaceDE w:val="0"/>
              <w:autoSpaceDN w:val="0"/>
              <w:adjustRightInd w:val="0"/>
              <w:spacing w:after="0" w:line="240" w:lineRule="auto"/>
              <w:jc w:val="right"/>
              <w:rPr>
                <w:rFonts w:cs="Calibri"/>
              </w:rPr>
            </w:pPr>
          </w:p>
        </w:tc>
        <w:tc>
          <w:tcPr>
            <w:tcW w:w="1076" w:type="dxa"/>
            <w:tcBorders>
              <w:top w:val="single" w:sz="4" w:space="0" w:color="auto"/>
            </w:tcBorders>
          </w:tcPr>
          <w:p w14:paraId="62C64463" w14:textId="46D620E3"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353" w:type="dxa"/>
            <w:tcBorders>
              <w:top w:val="single" w:sz="4" w:space="0" w:color="auto"/>
            </w:tcBorders>
          </w:tcPr>
          <w:p w14:paraId="1F3B8E3B" w14:textId="63D6DADE" w:rsidR="003F55D7" w:rsidRPr="003A176D" w:rsidRDefault="003F55D7" w:rsidP="007E68A5">
            <w:pPr>
              <w:autoSpaceDE w:val="0"/>
              <w:autoSpaceDN w:val="0"/>
              <w:adjustRightInd w:val="0"/>
              <w:spacing w:after="0" w:line="240" w:lineRule="auto"/>
              <w:jc w:val="right"/>
              <w:rPr>
                <w:rFonts w:cs="Calibri"/>
              </w:rPr>
            </w:pPr>
          </w:p>
        </w:tc>
        <w:tc>
          <w:tcPr>
            <w:tcW w:w="1124" w:type="dxa"/>
            <w:tcBorders>
              <w:top w:val="single" w:sz="4" w:space="0" w:color="auto"/>
            </w:tcBorders>
          </w:tcPr>
          <w:p w14:paraId="3F4B87BE" w14:textId="2A860175" w:rsidR="003F55D7" w:rsidRPr="003A176D" w:rsidRDefault="003F55D7" w:rsidP="003F55D7">
            <w:pPr>
              <w:autoSpaceDE w:val="0"/>
              <w:autoSpaceDN w:val="0"/>
              <w:adjustRightInd w:val="0"/>
              <w:spacing w:after="0" w:line="240" w:lineRule="auto"/>
              <w:jc w:val="right"/>
              <w:rPr>
                <w:rFonts w:cs="Calibri"/>
              </w:rPr>
            </w:pPr>
            <w:r w:rsidRPr="003A176D">
              <w:rPr>
                <w:rFonts w:cs="Calibri"/>
              </w:rPr>
              <w:t>-</w:t>
            </w:r>
          </w:p>
        </w:tc>
        <w:tc>
          <w:tcPr>
            <w:tcW w:w="1270" w:type="dxa"/>
            <w:tcBorders>
              <w:top w:val="single" w:sz="4" w:space="0" w:color="auto"/>
            </w:tcBorders>
          </w:tcPr>
          <w:p w14:paraId="00A3953E" w14:textId="79DD712B" w:rsidR="003F55D7" w:rsidRPr="003A176D" w:rsidRDefault="003F55D7" w:rsidP="007E68A5">
            <w:pPr>
              <w:autoSpaceDE w:val="0"/>
              <w:autoSpaceDN w:val="0"/>
              <w:adjustRightInd w:val="0"/>
              <w:spacing w:after="0" w:line="240" w:lineRule="auto"/>
              <w:jc w:val="right"/>
              <w:rPr>
                <w:rFonts w:cs="Calibri"/>
              </w:rPr>
            </w:pPr>
            <w:r w:rsidRPr="003A176D">
              <w:rPr>
                <w:rFonts w:cs="Calibri"/>
              </w:rPr>
              <w:t>922,888</w:t>
            </w:r>
          </w:p>
        </w:tc>
      </w:tr>
      <w:tr w:rsidR="00191779" w:rsidRPr="003A176D" w14:paraId="342AEA2F" w14:textId="77777777" w:rsidTr="00191779">
        <w:tc>
          <w:tcPr>
            <w:tcW w:w="1944" w:type="dxa"/>
          </w:tcPr>
          <w:p w14:paraId="249F86A7" w14:textId="7EE73124" w:rsidR="003F55D7" w:rsidRPr="003A176D" w:rsidRDefault="003F55D7" w:rsidP="007E68A5">
            <w:pPr>
              <w:autoSpaceDE w:val="0"/>
              <w:autoSpaceDN w:val="0"/>
              <w:adjustRightInd w:val="0"/>
              <w:spacing w:after="0" w:line="240" w:lineRule="auto"/>
              <w:rPr>
                <w:rFonts w:cs="Calibri"/>
              </w:rPr>
            </w:pPr>
            <w:r w:rsidRPr="003A176D">
              <w:rPr>
                <w:rFonts w:cs="Calibri"/>
              </w:rPr>
              <w:t>Additions (Note 4)</w:t>
            </w:r>
          </w:p>
        </w:tc>
        <w:tc>
          <w:tcPr>
            <w:tcW w:w="1442" w:type="dxa"/>
            <w:gridSpan w:val="2"/>
          </w:tcPr>
          <w:p w14:paraId="5B3B2B9F" w14:textId="637CD3CC"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318" w:type="dxa"/>
          </w:tcPr>
          <w:p w14:paraId="08056B23" w14:textId="77777777" w:rsidR="003F55D7" w:rsidRPr="003A176D" w:rsidRDefault="003F55D7" w:rsidP="007E68A5">
            <w:pPr>
              <w:autoSpaceDE w:val="0"/>
              <w:autoSpaceDN w:val="0"/>
              <w:adjustRightInd w:val="0"/>
              <w:spacing w:after="0" w:line="240" w:lineRule="auto"/>
              <w:jc w:val="right"/>
              <w:rPr>
                <w:rFonts w:cs="Calibri"/>
              </w:rPr>
            </w:pPr>
          </w:p>
        </w:tc>
        <w:tc>
          <w:tcPr>
            <w:tcW w:w="1160" w:type="dxa"/>
          </w:tcPr>
          <w:p w14:paraId="52EBDCF4" w14:textId="77777777" w:rsidR="003F55D7" w:rsidRPr="003A176D" w:rsidRDefault="003F55D7" w:rsidP="007E68A5">
            <w:pPr>
              <w:autoSpaceDE w:val="0"/>
              <w:autoSpaceDN w:val="0"/>
              <w:adjustRightInd w:val="0"/>
              <w:spacing w:after="0" w:line="240" w:lineRule="auto"/>
              <w:jc w:val="right"/>
              <w:rPr>
                <w:rFonts w:cs="Calibri"/>
              </w:rPr>
            </w:pPr>
            <w:r w:rsidRPr="003A176D">
              <w:rPr>
                <w:rFonts w:cs="Calibri"/>
              </w:rPr>
              <w:t>-</w:t>
            </w:r>
          </w:p>
        </w:tc>
        <w:tc>
          <w:tcPr>
            <w:tcW w:w="318" w:type="dxa"/>
          </w:tcPr>
          <w:p w14:paraId="62801C62" w14:textId="77777777" w:rsidR="003F55D7" w:rsidRPr="003A176D" w:rsidRDefault="003F55D7" w:rsidP="007E68A5">
            <w:pPr>
              <w:autoSpaceDE w:val="0"/>
              <w:autoSpaceDN w:val="0"/>
              <w:adjustRightInd w:val="0"/>
              <w:spacing w:after="0" w:line="240" w:lineRule="auto"/>
              <w:jc w:val="right"/>
              <w:rPr>
                <w:rFonts w:cs="Calibri"/>
              </w:rPr>
            </w:pPr>
          </w:p>
        </w:tc>
        <w:tc>
          <w:tcPr>
            <w:tcW w:w="1076" w:type="dxa"/>
          </w:tcPr>
          <w:p w14:paraId="3EBF71B5" w14:textId="530C84D4" w:rsidR="003F55D7" w:rsidRPr="003A176D" w:rsidRDefault="003F55D7" w:rsidP="007E68A5">
            <w:pPr>
              <w:autoSpaceDE w:val="0"/>
              <w:autoSpaceDN w:val="0"/>
              <w:adjustRightInd w:val="0"/>
              <w:spacing w:after="0" w:line="240" w:lineRule="auto"/>
              <w:jc w:val="right"/>
              <w:rPr>
                <w:rFonts w:cs="Calibri"/>
              </w:rPr>
            </w:pPr>
            <w:r w:rsidRPr="003A176D">
              <w:rPr>
                <w:rFonts w:cs="Calibri"/>
              </w:rPr>
              <w:t>37,420</w:t>
            </w:r>
          </w:p>
        </w:tc>
        <w:tc>
          <w:tcPr>
            <w:tcW w:w="353" w:type="dxa"/>
          </w:tcPr>
          <w:p w14:paraId="172AF8E2" w14:textId="77777777" w:rsidR="003F55D7" w:rsidRPr="003A176D" w:rsidRDefault="003F55D7" w:rsidP="007E68A5">
            <w:pPr>
              <w:autoSpaceDE w:val="0"/>
              <w:autoSpaceDN w:val="0"/>
              <w:adjustRightInd w:val="0"/>
              <w:spacing w:after="0" w:line="240" w:lineRule="auto"/>
              <w:jc w:val="right"/>
              <w:rPr>
                <w:rFonts w:cs="Calibri"/>
              </w:rPr>
            </w:pPr>
          </w:p>
        </w:tc>
        <w:tc>
          <w:tcPr>
            <w:tcW w:w="1124" w:type="dxa"/>
          </w:tcPr>
          <w:p w14:paraId="45EAE046" w14:textId="024CABB1" w:rsidR="003F55D7" w:rsidRPr="003A176D" w:rsidRDefault="003F55D7" w:rsidP="003F55D7">
            <w:pPr>
              <w:autoSpaceDE w:val="0"/>
              <w:autoSpaceDN w:val="0"/>
              <w:adjustRightInd w:val="0"/>
              <w:spacing w:after="0" w:line="240" w:lineRule="auto"/>
              <w:jc w:val="right"/>
              <w:rPr>
                <w:rFonts w:cs="Calibri"/>
              </w:rPr>
            </w:pPr>
            <w:r w:rsidRPr="003A176D">
              <w:rPr>
                <w:rFonts w:cs="Calibri"/>
              </w:rPr>
              <w:t>1,</w:t>
            </w:r>
            <w:r w:rsidR="00ED6513" w:rsidRPr="003A176D">
              <w:rPr>
                <w:rFonts w:cs="Calibri"/>
              </w:rPr>
              <w:t>069,866</w:t>
            </w:r>
          </w:p>
        </w:tc>
        <w:tc>
          <w:tcPr>
            <w:tcW w:w="1270" w:type="dxa"/>
          </w:tcPr>
          <w:p w14:paraId="3D88622B" w14:textId="5E55FEB0" w:rsidR="003F55D7" w:rsidRPr="003A176D" w:rsidRDefault="00191779" w:rsidP="007E68A5">
            <w:pPr>
              <w:autoSpaceDE w:val="0"/>
              <w:autoSpaceDN w:val="0"/>
              <w:adjustRightInd w:val="0"/>
              <w:spacing w:after="0" w:line="240" w:lineRule="auto"/>
              <w:jc w:val="right"/>
              <w:rPr>
                <w:rFonts w:cs="Calibri"/>
              </w:rPr>
            </w:pPr>
            <w:r w:rsidRPr="003A176D">
              <w:rPr>
                <w:rFonts w:cs="Calibri"/>
              </w:rPr>
              <w:t>1,</w:t>
            </w:r>
            <w:r w:rsidR="00ED6513" w:rsidRPr="003A176D">
              <w:rPr>
                <w:rFonts w:cs="Calibri"/>
              </w:rPr>
              <w:t>107,286</w:t>
            </w:r>
          </w:p>
        </w:tc>
      </w:tr>
      <w:tr w:rsidR="00191779" w:rsidRPr="003A176D" w14:paraId="7D8330E5" w14:textId="77777777" w:rsidTr="008B32C5">
        <w:tc>
          <w:tcPr>
            <w:tcW w:w="1944" w:type="dxa"/>
            <w:tcBorders>
              <w:bottom w:val="single" w:sz="4" w:space="0" w:color="auto"/>
            </w:tcBorders>
          </w:tcPr>
          <w:p w14:paraId="6D66C964" w14:textId="77777777" w:rsidR="003F55D7" w:rsidRPr="003A176D" w:rsidRDefault="003F55D7" w:rsidP="007E68A5">
            <w:pPr>
              <w:autoSpaceDE w:val="0"/>
              <w:autoSpaceDN w:val="0"/>
              <w:adjustRightInd w:val="0"/>
              <w:spacing w:after="0" w:line="240" w:lineRule="auto"/>
              <w:rPr>
                <w:rFonts w:cs="Calibri"/>
              </w:rPr>
            </w:pPr>
            <w:r w:rsidRPr="003A176D">
              <w:rPr>
                <w:rFonts w:cs="Calibri"/>
              </w:rPr>
              <w:t>Amortization</w:t>
            </w:r>
          </w:p>
        </w:tc>
        <w:tc>
          <w:tcPr>
            <w:tcW w:w="1442" w:type="dxa"/>
            <w:gridSpan w:val="2"/>
            <w:tcBorders>
              <w:bottom w:val="single" w:sz="4" w:space="0" w:color="auto"/>
            </w:tcBorders>
          </w:tcPr>
          <w:p w14:paraId="15011E49" w14:textId="31F909B4" w:rsidR="003F55D7" w:rsidRPr="003A176D" w:rsidRDefault="002A774E" w:rsidP="007E68A5">
            <w:pPr>
              <w:autoSpaceDE w:val="0"/>
              <w:autoSpaceDN w:val="0"/>
              <w:adjustRightInd w:val="0"/>
              <w:spacing w:after="0" w:line="240" w:lineRule="auto"/>
              <w:jc w:val="right"/>
              <w:rPr>
                <w:rFonts w:cs="Calibri"/>
              </w:rPr>
            </w:pPr>
            <w:r w:rsidRPr="003A176D">
              <w:rPr>
                <w:rFonts w:cs="Calibri"/>
              </w:rPr>
              <w:t>37,500</w:t>
            </w:r>
          </w:p>
        </w:tc>
        <w:tc>
          <w:tcPr>
            <w:tcW w:w="318" w:type="dxa"/>
            <w:tcBorders>
              <w:bottom w:val="single" w:sz="4" w:space="0" w:color="auto"/>
            </w:tcBorders>
          </w:tcPr>
          <w:p w14:paraId="66F3825A" w14:textId="77777777" w:rsidR="003F55D7" w:rsidRPr="003A176D" w:rsidRDefault="003F55D7" w:rsidP="007E68A5">
            <w:pPr>
              <w:autoSpaceDE w:val="0"/>
              <w:autoSpaceDN w:val="0"/>
              <w:adjustRightInd w:val="0"/>
              <w:spacing w:after="0" w:line="240" w:lineRule="auto"/>
              <w:jc w:val="right"/>
              <w:rPr>
                <w:rFonts w:cs="Calibri"/>
              </w:rPr>
            </w:pPr>
          </w:p>
        </w:tc>
        <w:tc>
          <w:tcPr>
            <w:tcW w:w="1160" w:type="dxa"/>
            <w:tcBorders>
              <w:bottom w:val="single" w:sz="4" w:space="0" w:color="auto"/>
            </w:tcBorders>
          </w:tcPr>
          <w:p w14:paraId="26DC9A80" w14:textId="10A95368" w:rsidR="003F55D7" w:rsidRPr="003A176D" w:rsidRDefault="002A774E" w:rsidP="007E68A5">
            <w:pPr>
              <w:autoSpaceDE w:val="0"/>
              <w:autoSpaceDN w:val="0"/>
              <w:adjustRightInd w:val="0"/>
              <w:spacing w:after="0" w:line="240" w:lineRule="auto"/>
              <w:jc w:val="right"/>
              <w:rPr>
                <w:rFonts w:cs="Calibri"/>
              </w:rPr>
            </w:pPr>
            <w:r w:rsidRPr="003A176D">
              <w:rPr>
                <w:rFonts w:cs="Calibri"/>
              </w:rPr>
              <w:t>132,710</w:t>
            </w:r>
          </w:p>
        </w:tc>
        <w:tc>
          <w:tcPr>
            <w:tcW w:w="318" w:type="dxa"/>
            <w:tcBorders>
              <w:bottom w:val="single" w:sz="4" w:space="0" w:color="auto"/>
            </w:tcBorders>
          </w:tcPr>
          <w:p w14:paraId="5CCCFE28" w14:textId="77777777" w:rsidR="003F55D7" w:rsidRPr="003A176D" w:rsidRDefault="003F55D7" w:rsidP="007E68A5">
            <w:pPr>
              <w:autoSpaceDE w:val="0"/>
              <w:autoSpaceDN w:val="0"/>
              <w:adjustRightInd w:val="0"/>
              <w:spacing w:after="0" w:line="240" w:lineRule="auto"/>
              <w:jc w:val="right"/>
              <w:rPr>
                <w:rFonts w:cs="Calibri"/>
              </w:rPr>
            </w:pPr>
          </w:p>
        </w:tc>
        <w:tc>
          <w:tcPr>
            <w:tcW w:w="1076" w:type="dxa"/>
            <w:tcBorders>
              <w:bottom w:val="single" w:sz="4" w:space="0" w:color="auto"/>
            </w:tcBorders>
          </w:tcPr>
          <w:p w14:paraId="531C32B7" w14:textId="0EBC16B6" w:rsidR="003F55D7" w:rsidRPr="003A176D" w:rsidRDefault="00ED6513" w:rsidP="007E68A5">
            <w:pPr>
              <w:autoSpaceDE w:val="0"/>
              <w:autoSpaceDN w:val="0"/>
              <w:adjustRightInd w:val="0"/>
              <w:spacing w:after="0" w:line="240" w:lineRule="auto"/>
              <w:jc w:val="right"/>
              <w:rPr>
                <w:rFonts w:cs="Calibri"/>
              </w:rPr>
            </w:pPr>
            <w:r w:rsidRPr="003A176D">
              <w:rPr>
                <w:rFonts w:cs="Calibri"/>
              </w:rPr>
              <w:t>1,871</w:t>
            </w:r>
          </w:p>
        </w:tc>
        <w:tc>
          <w:tcPr>
            <w:tcW w:w="353" w:type="dxa"/>
            <w:tcBorders>
              <w:bottom w:val="single" w:sz="4" w:space="0" w:color="auto"/>
            </w:tcBorders>
          </w:tcPr>
          <w:p w14:paraId="5998BFB5" w14:textId="77777777" w:rsidR="003F55D7" w:rsidRPr="003A176D" w:rsidRDefault="003F55D7" w:rsidP="007E68A5">
            <w:pPr>
              <w:autoSpaceDE w:val="0"/>
              <w:autoSpaceDN w:val="0"/>
              <w:adjustRightInd w:val="0"/>
              <w:spacing w:after="0" w:line="240" w:lineRule="auto"/>
              <w:jc w:val="right"/>
              <w:rPr>
                <w:rFonts w:cs="Calibri"/>
              </w:rPr>
            </w:pPr>
          </w:p>
        </w:tc>
        <w:tc>
          <w:tcPr>
            <w:tcW w:w="1124" w:type="dxa"/>
            <w:tcBorders>
              <w:bottom w:val="single" w:sz="4" w:space="0" w:color="auto"/>
            </w:tcBorders>
          </w:tcPr>
          <w:p w14:paraId="543A7B46" w14:textId="176061CC" w:rsidR="003F55D7" w:rsidRPr="003A176D" w:rsidRDefault="00ED6513" w:rsidP="003F55D7">
            <w:pPr>
              <w:autoSpaceDE w:val="0"/>
              <w:autoSpaceDN w:val="0"/>
              <w:adjustRightInd w:val="0"/>
              <w:spacing w:after="0" w:line="240" w:lineRule="auto"/>
              <w:jc w:val="right"/>
              <w:rPr>
                <w:rFonts w:cs="Calibri"/>
              </w:rPr>
            </w:pPr>
            <w:r w:rsidRPr="003A176D">
              <w:rPr>
                <w:rFonts w:cs="Calibri"/>
              </w:rPr>
              <w:t>133,733</w:t>
            </w:r>
          </w:p>
        </w:tc>
        <w:tc>
          <w:tcPr>
            <w:tcW w:w="1270" w:type="dxa"/>
            <w:tcBorders>
              <w:bottom w:val="single" w:sz="4" w:space="0" w:color="auto"/>
            </w:tcBorders>
          </w:tcPr>
          <w:p w14:paraId="781FF83D" w14:textId="6793CAFD" w:rsidR="003F55D7" w:rsidRPr="003A176D" w:rsidRDefault="00ED6513" w:rsidP="007E68A5">
            <w:pPr>
              <w:autoSpaceDE w:val="0"/>
              <w:autoSpaceDN w:val="0"/>
              <w:adjustRightInd w:val="0"/>
              <w:spacing w:after="0" w:line="240" w:lineRule="auto"/>
              <w:jc w:val="right"/>
              <w:rPr>
                <w:rFonts w:cs="Calibri"/>
              </w:rPr>
            </w:pPr>
            <w:r w:rsidRPr="003A176D">
              <w:rPr>
                <w:rFonts w:cs="Calibri"/>
              </w:rPr>
              <w:t>305,184</w:t>
            </w:r>
          </w:p>
        </w:tc>
      </w:tr>
      <w:tr w:rsidR="003F55D7" w:rsidRPr="003A176D" w14:paraId="033549DF" w14:textId="77777777" w:rsidTr="008B32C5">
        <w:tc>
          <w:tcPr>
            <w:tcW w:w="1944" w:type="dxa"/>
            <w:tcBorders>
              <w:top w:val="single" w:sz="4" w:space="0" w:color="auto"/>
              <w:bottom w:val="double" w:sz="4" w:space="0" w:color="auto"/>
            </w:tcBorders>
            <w:vAlign w:val="bottom"/>
          </w:tcPr>
          <w:p w14:paraId="2CF7C165" w14:textId="151B99FE" w:rsidR="003F55D7" w:rsidRPr="003A176D" w:rsidRDefault="003F55D7" w:rsidP="008B32C5">
            <w:pPr>
              <w:autoSpaceDE w:val="0"/>
              <w:autoSpaceDN w:val="0"/>
              <w:adjustRightInd w:val="0"/>
              <w:spacing w:after="0" w:line="240" w:lineRule="auto"/>
              <w:rPr>
                <w:rFonts w:cs="Calibri"/>
                <w:b/>
                <w:bCs/>
              </w:rPr>
            </w:pPr>
            <w:r w:rsidRPr="003A176D">
              <w:rPr>
                <w:rFonts w:cs="Calibri"/>
                <w:b/>
                <w:bCs/>
              </w:rPr>
              <w:t xml:space="preserve">Balance, </w:t>
            </w:r>
            <w:r w:rsidR="002A774E" w:rsidRPr="003A176D">
              <w:rPr>
                <w:rFonts w:cs="Calibri"/>
                <w:b/>
                <w:bCs/>
              </w:rPr>
              <w:t>June</w:t>
            </w:r>
            <w:r w:rsidRPr="003A176D">
              <w:rPr>
                <w:rFonts w:cs="Calibri"/>
                <w:b/>
                <w:bCs/>
              </w:rPr>
              <w:t xml:space="preserve"> 3</w:t>
            </w:r>
            <w:r w:rsidR="002A774E" w:rsidRPr="003A176D">
              <w:rPr>
                <w:rFonts w:cs="Calibri"/>
                <w:b/>
                <w:bCs/>
              </w:rPr>
              <w:t>0</w:t>
            </w:r>
            <w:r w:rsidRPr="003A176D">
              <w:rPr>
                <w:rFonts w:cs="Calibri"/>
                <w:b/>
                <w:bCs/>
              </w:rPr>
              <w:t>, 2020</w:t>
            </w:r>
          </w:p>
        </w:tc>
        <w:tc>
          <w:tcPr>
            <w:tcW w:w="318" w:type="dxa"/>
            <w:tcBorders>
              <w:top w:val="single" w:sz="4" w:space="0" w:color="auto"/>
              <w:bottom w:val="double" w:sz="4" w:space="0" w:color="auto"/>
            </w:tcBorders>
            <w:vAlign w:val="bottom"/>
          </w:tcPr>
          <w:p w14:paraId="56A05476" w14:textId="77777777" w:rsidR="003F55D7" w:rsidRPr="003A176D" w:rsidRDefault="003F55D7" w:rsidP="008B32C5">
            <w:pPr>
              <w:autoSpaceDE w:val="0"/>
              <w:autoSpaceDN w:val="0"/>
              <w:adjustRightInd w:val="0"/>
              <w:spacing w:after="0" w:line="240" w:lineRule="auto"/>
              <w:jc w:val="right"/>
              <w:rPr>
                <w:rFonts w:cs="Calibri"/>
                <w:b/>
                <w:bCs/>
              </w:rPr>
            </w:pPr>
            <w:r w:rsidRPr="003A176D">
              <w:rPr>
                <w:rFonts w:cs="Calibri"/>
                <w:b/>
                <w:bCs/>
              </w:rPr>
              <w:t>$</w:t>
            </w:r>
          </w:p>
        </w:tc>
        <w:tc>
          <w:tcPr>
            <w:tcW w:w="1124" w:type="dxa"/>
            <w:tcBorders>
              <w:top w:val="single" w:sz="4" w:space="0" w:color="auto"/>
              <w:bottom w:val="double" w:sz="4" w:space="0" w:color="auto"/>
            </w:tcBorders>
            <w:vAlign w:val="bottom"/>
          </w:tcPr>
          <w:p w14:paraId="5FD5255B" w14:textId="7131BE53" w:rsidR="003F55D7" w:rsidRPr="003A176D" w:rsidRDefault="00ED6513" w:rsidP="008B32C5">
            <w:pPr>
              <w:autoSpaceDE w:val="0"/>
              <w:autoSpaceDN w:val="0"/>
              <w:adjustRightInd w:val="0"/>
              <w:spacing w:after="0" w:line="240" w:lineRule="auto"/>
              <w:jc w:val="right"/>
              <w:rPr>
                <w:rFonts w:cs="Calibri"/>
                <w:b/>
                <w:bCs/>
              </w:rPr>
            </w:pPr>
            <w:r w:rsidRPr="003A176D">
              <w:rPr>
                <w:rFonts w:cs="Calibri"/>
                <w:b/>
                <w:bCs/>
              </w:rPr>
              <w:t>37,500</w:t>
            </w:r>
          </w:p>
        </w:tc>
        <w:tc>
          <w:tcPr>
            <w:tcW w:w="318" w:type="dxa"/>
            <w:tcBorders>
              <w:top w:val="single" w:sz="4" w:space="0" w:color="auto"/>
              <w:bottom w:val="double" w:sz="4" w:space="0" w:color="auto"/>
            </w:tcBorders>
            <w:vAlign w:val="bottom"/>
          </w:tcPr>
          <w:p w14:paraId="0F0702E1" w14:textId="77777777" w:rsidR="003F55D7" w:rsidRPr="003A176D" w:rsidRDefault="003F55D7" w:rsidP="008B32C5">
            <w:pPr>
              <w:autoSpaceDE w:val="0"/>
              <w:autoSpaceDN w:val="0"/>
              <w:adjustRightInd w:val="0"/>
              <w:spacing w:after="0" w:line="240" w:lineRule="auto"/>
              <w:jc w:val="right"/>
              <w:rPr>
                <w:rFonts w:cs="Calibri"/>
                <w:b/>
                <w:bCs/>
              </w:rPr>
            </w:pPr>
            <w:r w:rsidRPr="003A176D">
              <w:rPr>
                <w:rFonts w:cs="Calibri"/>
                <w:b/>
                <w:bCs/>
              </w:rPr>
              <w:t>$</w:t>
            </w:r>
          </w:p>
        </w:tc>
        <w:tc>
          <w:tcPr>
            <w:tcW w:w="1160" w:type="dxa"/>
            <w:tcBorders>
              <w:top w:val="single" w:sz="4" w:space="0" w:color="auto"/>
              <w:bottom w:val="double" w:sz="4" w:space="0" w:color="auto"/>
            </w:tcBorders>
            <w:vAlign w:val="bottom"/>
          </w:tcPr>
          <w:p w14:paraId="1B063E05" w14:textId="29FF5613" w:rsidR="003F55D7" w:rsidRPr="003A176D" w:rsidRDefault="002A774E" w:rsidP="008B32C5">
            <w:pPr>
              <w:autoSpaceDE w:val="0"/>
              <w:autoSpaceDN w:val="0"/>
              <w:adjustRightInd w:val="0"/>
              <w:spacing w:after="0" w:line="240" w:lineRule="auto"/>
              <w:jc w:val="right"/>
              <w:rPr>
                <w:rFonts w:cs="Calibri"/>
                <w:b/>
                <w:bCs/>
              </w:rPr>
            </w:pPr>
            <w:r w:rsidRPr="003A176D">
              <w:rPr>
                <w:rFonts w:cs="Calibri"/>
                <w:b/>
                <w:bCs/>
              </w:rPr>
              <w:t>715,178</w:t>
            </w:r>
          </w:p>
        </w:tc>
        <w:tc>
          <w:tcPr>
            <w:tcW w:w="318" w:type="dxa"/>
            <w:tcBorders>
              <w:top w:val="single" w:sz="4" w:space="0" w:color="auto"/>
              <w:bottom w:val="double" w:sz="4" w:space="0" w:color="auto"/>
            </w:tcBorders>
            <w:vAlign w:val="bottom"/>
          </w:tcPr>
          <w:p w14:paraId="760F3691" w14:textId="612C383A" w:rsidR="003F55D7" w:rsidRPr="003A176D" w:rsidRDefault="003F55D7" w:rsidP="008B32C5">
            <w:pPr>
              <w:autoSpaceDE w:val="0"/>
              <w:autoSpaceDN w:val="0"/>
              <w:adjustRightInd w:val="0"/>
              <w:spacing w:after="0" w:line="240" w:lineRule="auto"/>
              <w:jc w:val="right"/>
              <w:rPr>
                <w:rFonts w:cs="Calibri"/>
                <w:b/>
                <w:bCs/>
              </w:rPr>
            </w:pPr>
            <w:r w:rsidRPr="003A176D">
              <w:rPr>
                <w:rFonts w:cs="Calibri"/>
                <w:b/>
                <w:bCs/>
              </w:rPr>
              <w:t>$</w:t>
            </w:r>
          </w:p>
        </w:tc>
        <w:tc>
          <w:tcPr>
            <w:tcW w:w="1076" w:type="dxa"/>
            <w:tcBorders>
              <w:top w:val="single" w:sz="4" w:space="0" w:color="auto"/>
              <w:bottom w:val="double" w:sz="4" w:space="0" w:color="auto"/>
            </w:tcBorders>
            <w:vAlign w:val="bottom"/>
          </w:tcPr>
          <w:p w14:paraId="547EFC33" w14:textId="287C1E7E" w:rsidR="003F55D7" w:rsidRPr="003A176D" w:rsidRDefault="00ED6513" w:rsidP="008B32C5">
            <w:pPr>
              <w:autoSpaceDE w:val="0"/>
              <w:autoSpaceDN w:val="0"/>
              <w:adjustRightInd w:val="0"/>
              <w:spacing w:after="0" w:line="240" w:lineRule="auto"/>
              <w:jc w:val="right"/>
              <w:rPr>
                <w:rFonts w:cs="Calibri"/>
                <w:b/>
                <w:bCs/>
              </w:rPr>
            </w:pPr>
            <w:r w:rsidRPr="003A176D">
              <w:rPr>
                <w:rFonts w:cs="Calibri"/>
                <w:b/>
                <w:bCs/>
              </w:rPr>
              <w:t>35,549</w:t>
            </w:r>
          </w:p>
        </w:tc>
        <w:tc>
          <w:tcPr>
            <w:tcW w:w="353" w:type="dxa"/>
            <w:tcBorders>
              <w:top w:val="single" w:sz="4" w:space="0" w:color="auto"/>
              <w:bottom w:val="double" w:sz="4" w:space="0" w:color="auto"/>
            </w:tcBorders>
            <w:vAlign w:val="bottom"/>
          </w:tcPr>
          <w:p w14:paraId="09532515" w14:textId="73A53368" w:rsidR="003F55D7" w:rsidRPr="003A176D" w:rsidRDefault="003F55D7" w:rsidP="008B32C5">
            <w:pPr>
              <w:autoSpaceDE w:val="0"/>
              <w:autoSpaceDN w:val="0"/>
              <w:adjustRightInd w:val="0"/>
              <w:spacing w:after="0" w:line="240" w:lineRule="auto"/>
              <w:jc w:val="right"/>
              <w:rPr>
                <w:rFonts w:cs="Calibri"/>
                <w:b/>
                <w:bCs/>
              </w:rPr>
            </w:pPr>
            <w:r w:rsidRPr="003A176D">
              <w:rPr>
                <w:rFonts w:cs="Calibri"/>
                <w:b/>
                <w:bCs/>
              </w:rPr>
              <w:t>$</w:t>
            </w:r>
          </w:p>
        </w:tc>
        <w:tc>
          <w:tcPr>
            <w:tcW w:w="1124" w:type="dxa"/>
            <w:tcBorders>
              <w:top w:val="single" w:sz="4" w:space="0" w:color="auto"/>
              <w:bottom w:val="double" w:sz="4" w:space="0" w:color="auto"/>
            </w:tcBorders>
            <w:vAlign w:val="bottom"/>
          </w:tcPr>
          <w:p w14:paraId="004EB30C" w14:textId="7C7F89D9" w:rsidR="003F55D7" w:rsidRPr="003A176D" w:rsidRDefault="00ED6513" w:rsidP="008B32C5">
            <w:pPr>
              <w:autoSpaceDE w:val="0"/>
              <w:autoSpaceDN w:val="0"/>
              <w:adjustRightInd w:val="0"/>
              <w:spacing w:after="0" w:line="240" w:lineRule="auto"/>
              <w:jc w:val="right"/>
              <w:rPr>
                <w:rFonts w:cs="Calibri"/>
                <w:b/>
                <w:bCs/>
              </w:rPr>
            </w:pPr>
            <w:r w:rsidRPr="003A176D">
              <w:rPr>
                <w:rFonts w:cs="Calibri"/>
                <w:b/>
                <w:bCs/>
              </w:rPr>
              <w:t>936,133</w:t>
            </w:r>
          </w:p>
        </w:tc>
        <w:tc>
          <w:tcPr>
            <w:tcW w:w="1270" w:type="dxa"/>
            <w:tcBorders>
              <w:top w:val="single" w:sz="4" w:space="0" w:color="auto"/>
              <w:bottom w:val="double" w:sz="4" w:space="0" w:color="auto"/>
            </w:tcBorders>
            <w:vAlign w:val="bottom"/>
          </w:tcPr>
          <w:p w14:paraId="5985F5D8" w14:textId="6B4D5F16" w:rsidR="003F55D7" w:rsidRPr="003A176D" w:rsidRDefault="003F55D7" w:rsidP="008B32C5">
            <w:pPr>
              <w:autoSpaceDE w:val="0"/>
              <w:autoSpaceDN w:val="0"/>
              <w:adjustRightInd w:val="0"/>
              <w:spacing w:after="0" w:line="240" w:lineRule="auto"/>
              <w:jc w:val="right"/>
              <w:rPr>
                <w:rFonts w:cs="Calibri"/>
                <w:b/>
                <w:bCs/>
              </w:rPr>
            </w:pPr>
            <w:r w:rsidRPr="003A176D">
              <w:rPr>
                <w:rFonts w:cs="Calibri"/>
                <w:b/>
                <w:bCs/>
              </w:rPr>
              <w:t xml:space="preserve">$   </w:t>
            </w:r>
            <w:r w:rsidR="00ED6513" w:rsidRPr="003A176D">
              <w:rPr>
                <w:rFonts w:cs="Calibri"/>
                <w:b/>
                <w:bCs/>
              </w:rPr>
              <w:t>1,724,360</w:t>
            </w:r>
          </w:p>
        </w:tc>
      </w:tr>
    </w:tbl>
    <w:p w14:paraId="140FCD65" w14:textId="7005A47D" w:rsidR="00017E23" w:rsidRPr="003A176D" w:rsidRDefault="00017E23" w:rsidP="0091531E">
      <w:pPr>
        <w:autoSpaceDE w:val="0"/>
        <w:autoSpaceDN w:val="0"/>
        <w:adjustRightInd w:val="0"/>
        <w:spacing w:after="0" w:line="240" w:lineRule="auto"/>
        <w:ind w:left="360"/>
        <w:jc w:val="both"/>
        <w:rPr>
          <w:rFonts w:cs="Calibri"/>
          <w:b/>
          <w:bCs/>
          <w:sz w:val="20"/>
          <w:szCs w:val="20"/>
        </w:rPr>
      </w:pPr>
    </w:p>
    <w:p w14:paraId="1DD41EA2" w14:textId="77777777" w:rsidR="00A82098" w:rsidRPr="003A176D" w:rsidRDefault="00A82098" w:rsidP="000C513F">
      <w:pPr>
        <w:autoSpaceDE w:val="0"/>
        <w:autoSpaceDN w:val="0"/>
        <w:adjustRightInd w:val="0"/>
        <w:spacing w:after="0" w:line="240" w:lineRule="auto"/>
        <w:ind w:left="360"/>
        <w:jc w:val="both"/>
        <w:rPr>
          <w:rFonts w:cs="Calibri"/>
          <w:sz w:val="20"/>
          <w:szCs w:val="20"/>
        </w:rPr>
      </w:pPr>
    </w:p>
    <w:p w14:paraId="74B242E3" w14:textId="151B79C8" w:rsidR="000C513F" w:rsidRPr="003A176D" w:rsidRDefault="006B0CEC" w:rsidP="000C513F">
      <w:pPr>
        <w:autoSpaceDE w:val="0"/>
        <w:autoSpaceDN w:val="0"/>
        <w:adjustRightInd w:val="0"/>
        <w:spacing w:after="0" w:line="240" w:lineRule="auto"/>
        <w:ind w:left="360"/>
        <w:jc w:val="both"/>
        <w:rPr>
          <w:rFonts w:cs="Calibri"/>
          <w:sz w:val="20"/>
          <w:szCs w:val="20"/>
        </w:rPr>
      </w:pPr>
      <w:r w:rsidRPr="003A176D">
        <w:rPr>
          <w:rFonts w:cs="Calibri"/>
          <w:sz w:val="20"/>
          <w:szCs w:val="20"/>
        </w:rPr>
        <w:t>The Company</w:t>
      </w:r>
      <w:r w:rsidR="00AA393B" w:rsidRPr="003A176D">
        <w:rPr>
          <w:rFonts w:cs="Calibri"/>
          <w:sz w:val="20"/>
          <w:szCs w:val="20"/>
        </w:rPr>
        <w:t xml:space="preserve"> recognize</w:t>
      </w:r>
      <w:r w:rsidR="00804EF2" w:rsidRPr="003A176D">
        <w:rPr>
          <w:rFonts w:cs="Calibri"/>
          <w:sz w:val="20"/>
          <w:szCs w:val="20"/>
        </w:rPr>
        <w:t>s</w:t>
      </w:r>
      <w:r w:rsidR="00AA393B" w:rsidRPr="003A176D">
        <w:rPr>
          <w:rFonts w:cs="Calibri"/>
          <w:sz w:val="20"/>
          <w:szCs w:val="20"/>
        </w:rPr>
        <w:t xml:space="preserve"> amortization </w:t>
      </w:r>
      <w:r w:rsidR="000C513F" w:rsidRPr="003A176D">
        <w:rPr>
          <w:rFonts w:cs="Calibri"/>
          <w:sz w:val="20"/>
          <w:szCs w:val="20"/>
        </w:rPr>
        <w:t>on a straight-line basis over five years</w:t>
      </w:r>
      <w:r w:rsidR="00322123" w:rsidRPr="003A176D">
        <w:rPr>
          <w:rFonts w:cs="Calibri"/>
          <w:sz w:val="20"/>
          <w:szCs w:val="20"/>
        </w:rPr>
        <w:t xml:space="preserve"> for website</w:t>
      </w:r>
      <w:r w:rsidR="007E68A5" w:rsidRPr="003A176D">
        <w:rPr>
          <w:rFonts w:cs="Calibri"/>
          <w:sz w:val="20"/>
          <w:szCs w:val="20"/>
        </w:rPr>
        <w:t>s</w:t>
      </w:r>
      <w:r w:rsidR="00322123" w:rsidRPr="003A176D">
        <w:rPr>
          <w:rFonts w:cs="Calibri"/>
          <w:sz w:val="20"/>
          <w:szCs w:val="20"/>
        </w:rPr>
        <w:t>, and two years for the intellectual property.</w:t>
      </w:r>
      <w:r w:rsidR="000C513F" w:rsidRPr="003A176D">
        <w:rPr>
          <w:rFonts w:cs="Calibri"/>
          <w:sz w:val="20"/>
          <w:szCs w:val="20"/>
        </w:rPr>
        <w:t xml:space="preserve"> </w:t>
      </w:r>
    </w:p>
    <w:p w14:paraId="3B21B84D" w14:textId="17A826AF" w:rsidR="007266E8" w:rsidRPr="003A176D" w:rsidRDefault="007266E8" w:rsidP="000C513F">
      <w:pPr>
        <w:autoSpaceDE w:val="0"/>
        <w:autoSpaceDN w:val="0"/>
        <w:adjustRightInd w:val="0"/>
        <w:spacing w:after="0" w:line="240" w:lineRule="auto"/>
        <w:ind w:left="360"/>
        <w:jc w:val="both"/>
        <w:rPr>
          <w:rFonts w:cs="Calibri"/>
          <w:sz w:val="20"/>
          <w:szCs w:val="20"/>
        </w:rPr>
      </w:pPr>
    </w:p>
    <w:p w14:paraId="01D33608" w14:textId="77777777" w:rsidR="007B2F98" w:rsidRPr="003A176D" w:rsidRDefault="007B2F98" w:rsidP="007266E8">
      <w:pPr>
        <w:autoSpaceDE w:val="0"/>
        <w:autoSpaceDN w:val="0"/>
        <w:adjustRightInd w:val="0"/>
        <w:spacing w:after="0" w:line="240" w:lineRule="auto"/>
        <w:jc w:val="both"/>
        <w:rPr>
          <w:rFonts w:cs="Calibri"/>
          <w:b/>
          <w:bCs/>
          <w:sz w:val="20"/>
          <w:szCs w:val="20"/>
        </w:rPr>
      </w:pPr>
    </w:p>
    <w:p w14:paraId="23D7B99E" w14:textId="77777777" w:rsidR="007B2F98" w:rsidRPr="003A176D" w:rsidRDefault="007B2F98" w:rsidP="007266E8">
      <w:pPr>
        <w:autoSpaceDE w:val="0"/>
        <w:autoSpaceDN w:val="0"/>
        <w:adjustRightInd w:val="0"/>
        <w:spacing w:after="0" w:line="240" w:lineRule="auto"/>
        <w:jc w:val="both"/>
        <w:rPr>
          <w:rFonts w:cs="Calibri"/>
          <w:b/>
          <w:bCs/>
          <w:sz w:val="20"/>
          <w:szCs w:val="20"/>
        </w:rPr>
      </w:pPr>
    </w:p>
    <w:p w14:paraId="510CD0D5" w14:textId="77777777" w:rsidR="007B2F98" w:rsidRPr="003A176D" w:rsidRDefault="007B2F98" w:rsidP="007266E8">
      <w:pPr>
        <w:autoSpaceDE w:val="0"/>
        <w:autoSpaceDN w:val="0"/>
        <w:adjustRightInd w:val="0"/>
        <w:spacing w:after="0" w:line="240" w:lineRule="auto"/>
        <w:jc w:val="both"/>
        <w:rPr>
          <w:rFonts w:cs="Calibri"/>
          <w:b/>
          <w:bCs/>
          <w:sz w:val="20"/>
          <w:szCs w:val="20"/>
        </w:rPr>
      </w:pPr>
    </w:p>
    <w:p w14:paraId="6ACB3945" w14:textId="77777777" w:rsidR="007B2F98" w:rsidRPr="003A176D" w:rsidRDefault="007B2F98" w:rsidP="007266E8">
      <w:pPr>
        <w:autoSpaceDE w:val="0"/>
        <w:autoSpaceDN w:val="0"/>
        <w:adjustRightInd w:val="0"/>
        <w:spacing w:after="0" w:line="240" w:lineRule="auto"/>
        <w:jc w:val="both"/>
        <w:rPr>
          <w:rFonts w:cs="Calibri"/>
          <w:b/>
          <w:bCs/>
          <w:sz w:val="20"/>
          <w:szCs w:val="20"/>
        </w:rPr>
      </w:pPr>
    </w:p>
    <w:p w14:paraId="4EFEB468" w14:textId="77777777" w:rsidR="007B2F98" w:rsidRPr="003A176D" w:rsidRDefault="007B2F98" w:rsidP="007266E8">
      <w:pPr>
        <w:autoSpaceDE w:val="0"/>
        <w:autoSpaceDN w:val="0"/>
        <w:adjustRightInd w:val="0"/>
        <w:spacing w:after="0" w:line="240" w:lineRule="auto"/>
        <w:jc w:val="both"/>
        <w:rPr>
          <w:rFonts w:cs="Calibri"/>
          <w:b/>
          <w:bCs/>
          <w:sz w:val="20"/>
          <w:szCs w:val="20"/>
        </w:rPr>
      </w:pPr>
    </w:p>
    <w:p w14:paraId="081A8039" w14:textId="5A1BB01E" w:rsidR="007B2F98" w:rsidRPr="003A176D" w:rsidRDefault="007B2F98" w:rsidP="007266E8">
      <w:pPr>
        <w:autoSpaceDE w:val="0"/>
        <w:autoSpaceDN w:val="0"/>
        <w:adjustRightInd w:val="0"/>
        <w:spacing w:after="0" w:line="240" w:lineRule="auto"/>
        <w:jc w:val="both"/>
        <w:rPr>
          <w:rFonts w:cs="Calibri"/>
          <w:b/>
          <w:bCs/>
          <w:sz w:val="20"/>
          <w:szCs w:val="20"/>
        </w:rPr>
      </w:pPr>
    </w:p>
    <w:p w14:paraId="73404D28" w14:textId="04DCE4B5" w:rsidR="006D43A0" w:rsidRPr="003A176D" w:rsidRDefault="006D43A0" w:rsidP="007266E8">
      <w:pPr>
        <w:autoSpaceDE w:val="0"/>
        <w:autoSpaceDN w:val="0"/>
        <w:adjustRightInd w:val="0"/>
        <w:spacing w:after="0" w:line="240" w:lineRule="auto"/>
        <w:jc w:val="both"/>
        <w:rPr>
          <w:rFonts w:cs="Calibri"/>
          <w:b/>
          <w:bCs/>
          <w:sz w:val="20"/>
          <w:szCs w:val="20"/>
        </w:rPr>
      </w:pPr>
    </w:p>
    <w:p w14:paraId="293E99E5" w14:textId="77777777" w:rsidR="006D43A0" w:rsidRPr="003A176D" w:rsidRDefault="006D43A0" w:rsidP="007266E8">
      <w:pPr>
        <w:autoSpaceDE w:val="0"/>
        <w:autoSpaceDN w:val="0"/>
        <w:adjustRightInd w:val="0"/>
        <w:spacing w:after="0" w:line="240" w:lineRule="auto"/>
        <w:jc w:val="both"/>
        <w:rPr>
          <w:rFonts w:cs="Calibri"/>
          <w:b/>
          <w:bCs/>
          <w:sz w:val="20"/>
          <w:szCs w:val="20"/>
        </w:rPr>
      </w:pPr>
    </w:p>
    <w:p w14:paraId="5684BD38" w14:textId="7BB5CE70" w:rsidR="007266E8" w:rsidRPr="003A176D" w:rsidRDefault="003C5C84" w:rsidP="007266E8">
      <w:pPr>
        <w:autoSpaceDE w:val="0"/>
        <w:autoSpaceDN w:val="0"/>
        <w:adjustRightInd w:val="0"/>
        <w:spacing w:after="0" w:line="240" w:lineRule="auto"/>
        <w:jc w:val="both"/>
        <w:rPr>
          <w:rFonts w:cs="Calibri"/>
          <w:b/>
          <w:bCs/>
          <w:sz w:val="20"/>
          <w:szCs w:val="20"/>
        </w:rPr>
      </w:pPr>
      <w:r w:rsidRPr="003A176D">
        <w:rPr>
          <w:rFonts w:cs="Calibri"/>
          <w:b/>
          <w:bCs/>
          <w:sz w:val="20"/>
          <w:szCs w:val="20"/>
        </w:rPr>
        <w:lastRenderedPageBreak/>
        <w:t>4</w:t>
      </w:r>
      <w:r w:rsidR="007266E8" w:rsidRPr="003A176D">
        <w:rPr>
          <w:rFonts w:cs="Calibri"/>
          <w:b/>
          <w:bCs/>
          <w:sz w:val="20"/>
          <w:szCs w:val="20"/>
        </w:rPr>
        <w:t>.    McBookie Acquisition</w:t>
      </w:r>
    </w:p>
    <w:p w14:paraId="4D88B4D7" w14:textId="77777777" w:rsidR="007266E8" w:rsidRPr="003A176D" w:rsidRDefault="007266E8" w:rsidP="007266E8">
      <w:pPr>
        <w:autoSpaceDE w:val="0"/>
        <w:autoSpaceDN w:val="0"/>
        <w:adjustRightInd w:val="0"/>
        <w:spacing w:after="0" w:line="240" w:lineRule="auto"/>
        <w:jc w:val="both"/>
        <w:rPr>
          <w:rFonts w:cs="Calibri"/>
          <w:b/>
          <w:bCs/>
          <w:sz w:val="20"/>
          <w:szCs w:val="20"/>
        </w:rPr>
      </w:pPr>
    </w:p>
    <w:p w14:paraId="39005490" w14:textId="77855B94" w:rsidR="009D1E45" w:rsidRPr="003A176D" w:rsidRDefault="007266E8" w:rsidP="000E21F8">
      <w:pPr>
        <w:autoSpaceDE w:val="0"/>
        <w:autoSpaceDN w:val="0"/>
        <w:adjustRightInd w:val="0"/>
        <w:spacing w:after="0" w:line="240" w:lineRule="auto"/>
        <w:ind w:left="360"/>
        <w:jc w:val="both"/>
        <w:rPr>
          <w:sz w:val="20"/>
          <w:szCs w:val="20"/>
        </w:rPr>
      </w:pPr>
      <w:r w:rsidRPr="003A176D">
        <w:rPr>
          <w:sz w:val="20"/>
          <w:szCs w:val="20"/>
        </w:rPr>
        <w:t xml:space="preserve">On March 26, 2020 </w:t>
      </w:r>
      <w:r w:rsidR="0042347D" w:rsidRPr="003A176D">
        <w:rPr>
          <w:sz w:val="20"/>
          <w:szCs w:val="20"/>
        </w:rPr>
        <w:t xml:space="preserve">(the “acquisition date”) </w:t>
      </w:r>
      <w:r w:rsidRPr="003A176D">
        <w:rPr>
          <w:sz w:val="20"/>
          <w:szCs w:val="20"/>
        </w:rPr>
        <w:t>the Company purchased McBookie, a United Kingdom domiciled white label sports betting operation. The Company issued 3,497,143 shares, £300,000 in cash ($5</w:t>
      </w:r>
      <w:r w:rsidR="006D43A0" w:rsidRPr="003A176D">
        <w:rPr>
          <w:sz w:val="20"/>
          <w:szCs w:val="20"/>
        </w:rPr>
        <w:t>10,270</w:t>
      </w:r>
      <w:r w:rsidRPr="003A176D">
        <w:rPr>
          <w:sz w:val="20"/>
          <w:szCs w:val="20"/>
        </w:rPr>
        <w:t xml:space="preserve"> CAD) and a £300,000 note payable that is non-interest bearing and payable within 12 months from the date of issuance, in exchange for 100% of the issued and outstanding shares of </w:t>
      </w:r>
      <w:r w:rsidR="00884D7F" w:rsidRPr="003A176D">
        <w:rPr>
          <w:sz w:val="20"/>
          <w:szCs w:val="20"/>
        </w:rPr>
        <w:t>McBookie.</w:t>
      </w:r>
      <w:r w:rsidRPr="003A176D">
        <w:rPr>
          <w:sz w:val="20"/>
          <w:szCs w:val="20"/>
        </w:rPr>
        <w:t xml:space="preserve"> In addition, the former directors of McBookie Ltd are entitled to 10% of the annual EBITDA of McBookie Ltd for three years after acquisition.</w:t>
      </w:r>
      <w:r w:rsidR="000E21F8" w:rsidRPr="003A176D">
        <w:rPr>
          <w:sz w:val="20"/>
          <w:szCs w:val="20"/>
        </w:rPr>
        <w:t xml:space="preserve"> As at December 31, 2019 McBookie owed the Company $161,559, of which, $85,930 related to funds held in trust. Upon completion of the acquisition these amounts owing were converted to intercompany amounts, and eliminate upon consolidation. The funds held in trust were returned to the Company. </w:t>
      </w:r>
    </w:p>
    <w:p w14:paraId="02395E7D" w14:textId="68AAD828" w:rsidR="006C7DA0" w:rsidRPr="003A176D" w:rsidRDefault="006C7DA0" w:rsidP="000E21F8">
      <w:pPr>
        <w:autoSpaceDE w:val="0"/>
        <w:autoSpaceDN w:val="0"/>
        <w:adjustRightInd w:val="0"/>
        <w:spacing w:after="0" w:line="240" w:lineRule="auto"/>
        <w:ind w:left="360"/>
        <w:jc w:val="both"/>
        <w:rPr>
          <w:sz w:val="20"/>
          <w:szCs w:val="20"/>
        </w:rPr>
      </w:pPr>
    </w:p>
    <w:p w14:paraId="22A5AD79" w14:textId="77777777" w:rsidR="006C7DA0" w:rsidRPr="003A176D" w:rsidRDefault="006C7DA0" w:rsidP="000E21F8">
      <w:pPr>
        <w:autoSpaceDE w:val="0"/>
        <w:autoSpaceDN w:val="0"/>
        <w:adjustRightInd w:val="0"/>
        <w:spacing w:after="0" w:line="240" w:lineRule="auto"/>
        <w:ind w:left="360"/>
        <w:jc w:val="both"/>
        <w:rPr>
          <w:sz w:val="20"/>
          <w:szCs w:val="20"/>
        </w:rPr>
      </w:pPr>
      <w:r w:rsidRPr="003A176D">
        <w:rPr>
          <w:sz w:val="20"/>
          <w:szCs w:val="20"/>
        </w:rPr>
        <w:t xml:space="preserve">For accounting purposes, the acquisition was considered to be a business combination under IFRS 3 </w:t>
      </w:r>
      <w:r w:rsidRPr="003A176D">
        <w:rPr>
          <w:i/>
          <w:iCs/>
          <w:sz w:val="20"/>
          <w:szCs w:val="20"/>
        </w:rPr>
        <w:t xml:space="preserve">Business Combinations (“IFRS 3”) </w:t>
      </w:r>
      <w:r w:rsidRPr="003A176D">
        <w:rPr>
          <w:sz w:val="20"/>
          <w:szCs w:val="20"/>
        </w:rPr>
        <w:t>as the shareholders of the Company acquired control of McBookie following the transaction. The accounting for this transaction resulted in the following:</w:t>
      </w:r>
    </w:p>
    <w:p w14:paraId="24C77B71" w14:textId="77777777" w:rsidR="006C7DA0" w:rsidRPr="003A176D" w:rsidRDefault="006C7DA0" w:rsidP="000E21F8">
      <w:pPr>
        <w:autoSpaceDE w:val="0"/>
        <w:autoSpaceDN w:val="0"/>
        <w:adjustRightInd w:val="0"/>
        <w:spacing w:after="0" w:line="240" w:lineRule="auto"/>
        <w:ind w:left="360"/>
        <w:jc w:val="both"/>
        <w:rPr>
          <w:sz w:val="20"/>
          <w:szCs w:val="20"/>
        </w:rPr>
      </w:pPr>
    </w:p>
    <w:p w14:paraId="7D33668C" w14:textId="20AD390E" w:rsidR="006C7DA0" w:rsidRPr="003A176D" w:rsidRDefault="006C7DA0" w:rsidP="007D0666">
      <w:pPr>
        <w:pStyle w:val="BodyText"/>
        <w:numPr>
          <w:ilvl w:val="0"/>
          <w:numId w:val="8"/>
        </w:numPr>
        <w:tabs>
          <w:tab w:val="left" w:pos="6840"/>
        </w:tabs>
        <w:spacing w:after="0" w:line="260" w:lineRule="atLeast"/>
        <w:ind w:left="720" w:hanging="360"/>
        <w:jc w:val="both"/>
        <w:rPr>
          <w:rFonts w:asciiTheme="minorHAnsi" w:hAnsiTheme="minorHAnsi" w:cstheme="minorHAnsi"/>
          <w:sz w:val="20"/>
          <w:szCs w:val="20"/>
        </w:rPr>
      </w:pPr>
      <w:r w:rsidRPr="003A176D">
        <w:rPr>
          <w:rFonts w:asciiTheme="minorHAnsi" w:hAnsiTheme="minorHAnsi" w:cstheme="minorHAnsi"/>
          <w:sz w:val="20"/>
          <w:szCs w:val="20"/>
        </w:rPr>
        <w:t xml:space="preserve">The consolidated financial statements of the combined entity are issued under the legal parent, FansUnite Entertainment Inc., and are considered to be a continuation of their financial statements. </w:t>
      </w:r>
    </w:p>
    <w:p w14:paraId="3072A0E2" w14:textId="77777777" w:rsidR="0042347D" w:rsidRPr="003A176D" w:rsidRDefault="0042347D" w:rsidP="0042347D">
      <w:pPr>
        <w:pStyle w:val="BodyText"/>
        <w:tabs>
          <w:tab w:val="left" w:pos="6840"/>
        </w:tabs>
        <w:spacing w:after="0" w:line="260" w:lineRule="atLeast"/>
        <w:ind w:left="720"/>
        <w:jc w:val="both"/>
        <w:rPr>
          <w:rFonts w:asciiTheme="minorHAnsi" w:hAnsiTheme="minorHAnsi" w:cstheme="minorHAnsi"/>
          <w:sz w:val="20"/>
          <w:szCs w:val="20"/>
        </w:rPr>
      </w:pPr>
    </w:p>
    <w:p w14:paraId="0B14B708" w14:textId="0FAA7B9B" w:rsidR="006C7DA0" w:rsidRPr="003A176D" w:rsidRDefault="006C7DA0" w:rsidP="007D0666">
      <w:pPr>
        <w:pStyle w:val="BodyText"/>
        <w:numPr>
          <w:ilvl w:val="0"/>
          <w:numId w:val="8"/>
        </w:numPr>
        <w:tabs>
          <w:tab w:val="left" w:pos="6840"/>
        </w:tabs>
        <w:spacing w:after="0" w:line="260" w:lineRule="atLeast"/>
        <w:ind w:left="720" w:hanging="360"/>
        <w:jc w:val="both"/>
        <w:rPr>
          <w:rFonts w:asciiTheme="minorHAnsi" w:hAnsiTheme="minorHAnsi" w:cstheme="minorHAnsi"/>
          <w:sz w:val="20"/>
          <w:szCs w:val="20"/>
        </w:rPr>
      </w:pPr>
      <w:r w:rsidRPr="003A176D">
        <w:rPr>
          <w:rFonts w:asciiTheme="minorHAnsi" w:hAnsiTheme="minorHAnsi" w:cstheme="minorHAnsi"/>
          <w:sz w:val="20"/>
          <w:szCs w:val="20"/>
        </w:rPr>
        <w:t xml:space="preserve">As McBookie is considered to be the acquiree for accounting purposes, its assets and liabilities are included in the consolidated financial statements at their fair value as of the acquisition date. </w:t>
      </w:r>
      <w:r w:rsidR="004275B9" w:rsidRPr="003A176D">
        <w:rPr>
          <w:rFonts w:asciiTheme="minorHAnsi" w:hAnsiTheme="minorHAnsi" w:cstheme="minorHAnsi"/>
          <w:sz w:val="20"/>
          <w:szCs w:val="20"/>
        </w:rPr>
        <w:t>Management has determined</w:t>
      </w:r>
      <w:r w:rsidR="0042347D" w:rsidRPr="003A176D">
        <w:rPr>
          <w:rFonts w:asciiTheme="minorHAnsi" w:hAnsiTheme="minorHAnsi" w:cstheme="minorHAnsi"/>
          <w:sz w:val="20"/>
          <w:szCs w:val="20"/>
        </w:rPr>
        <w:t xml:space="preserve"> the purchase price allocation, at fair value, to the underlying financial, tangible and intangible assets acquired and liabilities assumed by the Company at the acquisition date.</w:t>
      </w:r>
      <w:r w:rsidR="00025EC9" w:rsidRPr="003A176D">
        <w:rPr>
          <w:rFonts w:asciiTheme="minorHAnsi" w:hAnsiTheme="minorHAnsi" w:cstheme="minorHAnsi"/>
          <w:sz w:val="20"/>
          <w:szCs w:val="20"/>
        </w:rPr>
        <w:t xml:space="preserve"> As the functional currency of McBookie is the UK Pound Sterling, all figures have been translated to CAD at the exchange rate in effect on the acquisition date. </w:t>
      </w:r>
      <w:r w:rsidR="0042347D" w:rsidRPr="003A176D">
        <w:rPr>
          <w:rFonts w:asciiTheme="minorHAnsi" w:hAnsiTheme="minorHAnsi" w:cstheme="minorHAnsi"/>
          <w:sz w:val="20"/>
          <w:szCs w:val="20"/>
        </w:rPr>
        <w:t xml:space="preserve">Accordingly, </w:t>
      </w:r>
      <w:r w:rsidR="00A319D4" w:rsidRPr="003A176D">
        <w:rPr>
          <w:rFonts w:asciiTheme="minorHAnsi" w:hAnsiTheme="minorHAnsi" w:cstheme="minorHAnsi"/>
          <w:sz w:val="20"/>
          <w:szCs w:val="20"/>
        </w:rPr>
        <w:t>purchase price allocation was as follows:</w:t>
      </w:r>
    </w:p>
    <w:p w14:paraId="1A2F5633" w14:textId="77777777" w:rsidR="00A319D4" w:rsidRPr="003A176D" w:rsidRDefault="00A319D4" w:rsidP="00A319D4">
      <w:pPr>
        <w:pStyle w:val="ListParagraph"/>
        <w:rPr>
          <w:rFonts w:asciiTheme="minorHAnsi" w:hAnsiTheme="minorHAnsi" w:cstheme="minorHAnsi"/>
          <w:sz w:val="20"/>
          <w:szCs w:val="20"/>
        </w:rPr>
      </w:pPr>
    </w:p>
    <w:tbl>
      <w:tblPr>
        <w:tblStyle w:val="TableGrid"/>
        <w:tblW w:w="86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1534"/>
        <w:gridCol w:w="318"/>
        <w:gridCol w:w="2954"/>
      </w:tblGrid>
      <w:tr w:rsidR="00B50415" w:rsidRPr="003A176D" w14:paraId="59BD3659" w14:textId="77777777" w:rsidTr="006925A7">
        <w:tc>
          <w:tcPr>
            <w:tcW w:w="3829" w:type="dxa"/>
            <w:tcBorders>
              <w:top w:val="single" w:sz="4" w:space="0" w:color="auto"/>
            </w:tcBorders>
          </w:tcPr>
          <w:p w14:paraId="7282FA6D" w14:textId="3BB0B283"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Cash consideration</w:t>
            </w:r>
          </w:p>
        </w:tc>
        <w:tc>
          <w:tcPr>
            <w:tcW w:w="1534" w:type="dxa"/>
            <w:tcBorders>
              <w:top w:val="single" w:sz="4" w:space="0" w:color="auto"/>
            </w:tcBorders>
          </w:tcPr>
          <w:p w14:paraId="25CE2661"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Borders>
              <w:top w:val="single" w:sz="4" w:space="0" w:color="auto"/>
            </w:tcBorders>
          </w:tcPr>
          <w:p w14:paraId="4D9936E7" w14:textId="42FF7E66"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w:t>
            </w:r>
          </w:p>
        </w:tc>
        <w:tc>
          <w:tcPr>
            <w:tcW w:w="2954" w:type="dxa"/>
            <w:tcBorders>
              <w:top w:val="single" w:sz="4" w:space="0" w:color="auto"/>
            </w:tcBorders>
          </w:tcPr>
          <w:p w14:paraId="09DC0BCC" w14:textId="1343148B"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510,270</w:t>
            </w:r>
          </w:p>
        </w:tc>
      </w:tr>
      <w:tr w:rsidR="00B50415" w:rsidRPr="003A176D" w14:paraId="39FEC052" w14:textId="77777777" w:rsidTr="006925A7">
        <w:tc>
          <w:tcPr>
            <w:tcW w:w="3829" w:type="dxa"/>
          </w:tcPr>
          <w:p w14:paraId="4ADAD8BC" w14:textId="112F5C65"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P</w:t>
            </w:r>
            <w:r w:rsidR="00673B73" w:rsidRPr="003A176D">
              <w:rPr>
                <w:rFonts w:asciiTheme="minorHAnsi" w:hAnsiTheme="minorHAnsi" w:cstheme="minorHAnsi"/>
              </w:rPr>
              <w:t>resent value</w:t>
            </w:r>
            <w:r w:rsidRPr="003A176D">
              <w:rPr>
                <w:rFonts w:asciiTheme="minorHAnsi" w:hAnsiTheme="minorHAnsi" w:cstheme="minorHAnsi"/>
              </w:rPr>
              <w:t xml:space="preserve"> of note payable</w:t>
            </w:r>
            <w:r w:rsidR="008B32C5" w:rsidRPr="003A176D">
              <w:rPr>
                <w:rFonts w:asciiTheme="minorHAnsi" w:hAnsiTheme="minorHAnsi" w:cstheme="minorHAnsi"/>
              </w:rPr>
              <w:t xml:space="preserve"> (note 10)</w:t>
            </w:r>
          </w:p>
        </w:tc>
        <w:tc>
          <w:tcPr>
            <w:tcW w:w="1534" w:type="dxa"/>
          </w:tcPr>
          <w:p w14:paraId="48B98D6C"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6800F3A5"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078FFD8D" w14:textId="4C7C3796"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484,757</w:t>
            </w:r>
          </w:p>
        </w:tc>
      </w:tr>
      <w:tr w:rsidR="00B50415" w:rsidRPr="003A176D" w14:paraId="00049E67" w14:textId="77777777" w:rsidTr="006925A7">
        <w:tc>
          <w:tcPr>
            <w:tcW w:w="3829" w:type="dxa"/>
            <w:tcBorders>
              <w:bottom w:val="single" w:sz="4" w:space="0" w:color="auto"/>
            </w:tcBorders>
          </w:tcPr>
          <w:p w14:paraId="7D24E92B" w14:textId="2FD02A33"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Share consideration</w:t>
            </w:r>
            <w:r w:rsidR="006D43A0" w:rsidRPr="003A176D">
              <w:rPr>
                <w:rFonts w:asciiTheme="minorHAnsi" w:hAnsiTheme="minorHAnsi" w:cstheme="minorHAnsi"/>
              </w:rPr>
              <w:t xml:space="preserve"> (note 7)</w:t>
            </w:r>
          </w:p>
        </w:tc>
        <w:tc>
          <w:tcPr>
            <w:tcW w:w="1534" w:type="dxa"/>
            <w:tcBorders>
              <w:bottom w:val="single" w:sz="4" w:space="0" w:color="auto"/>
            </w:tcBorders>
          </w:tcPr>
          <w:p w14:paraId="0C121F98"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Borders>
              <w:bottom w:val="single" w:sz="4" w:space="0" w:color="auto"/>
            </w:tcBorders>
          </w:tcPr>
          <w:p w14:paraId="6A262D71"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Borders>
              <w:bottom w:val="single" w:sz="4" w:space="0" w:color="auto"/>
            </w:tcBorders>
          </w:tcPr>
          <w:p w14:paraId="55AA4422" w14:textId="55208D69"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1,224,000</w:t>
            </w:r>
          </w:p>
        </w:tc>
      </w:tr>
      <w:tr w:rsidR="00B50415" w:rsidRPr="003A176D" w14:paraId="0A44A1F8" w14:textId="77777777" w:rsidTr="006925A7">
        <w:tc>
          <w:tcPr>
            <w:tcW w:w="3829" w:type="dxa"/>
            <w:tcBorders>
              <w:top w:val="single" w:sz="4" w:space="0" w:color="auto"/>
              <w:bottom w:val="double" w:sz="4" w:space="0" w:color="auto"/>
            </w:tcBorders>
          </w:tcPr>
          <w:p w14:paraId="4C3D84EC" w14:textId="4768D52C" w:rsidR="00B50415" w:rsidRPr="003A176D" w:rsidRDefault="00B50415" w:rsidP="00A319D4">
            <w:pPr>
              <w:pStyle w:val="BodyText"/>
              <w:tabs>
                <w:tab w:val="left" w:pos="6840"/>
              </w:tabs>
              <w:spacing w:after="0" w:line="260" w:lineRule="atLeast"/>
              <w:jc w:val="both"/>
              <w:rPr>
                <w:rFonts w:asciiTheme="minorHAnsi" w:hAnsiTheme="minorHAnsi" w:cstheme="minorHAnsi"/>
                <w:b/>
                <w:bCs/>
              </w:rPr>
            </w:pPr>
            <w:r w:rsidRPr="003A176D">
              <w:rPr>
                <w:rFonts w:asciiTheme="minorHAnsi" w:hAnsiTheme="minorHAnsi" w:cstheme="minorHAnsi"/>
                <w:b/>
                <w:bCs/>
              </w:rPr>
              <w:t>Equity consideration</w:t>
            </w:r>
          </w:p>
        </w:tc>
        <w:tc>
          <w:tcPr>
            <w:tcW w:w="1534" w:type="dxa"/>
            <w:tcBorders>
              <w:top w:val="single" w:sz="4" w:space="0" w:color="auto"/>
              <w:bottom w:val="double" w:sz="4" w:space="0" w:color="auto"/>
            </w:tcBorders>
          </w:tcPr>
          <w:p w14:paraId="6F2131B7"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b/>
                <w:bCs/>
              </w:rPr>
            </w:pPr>
          </w:p>
        </w:tc>
        <w:tc>
          <w:tcPr>
            <w:tcW w:w="318" w:type="dxa"/>
            <w:tcBorders>
              <w:top w:val="single" w:sz="4" w:space="0" w:color="auto"/>
              <w:bottom w:val="double" w:sz="4" w:space="0" w:color="auto"/>
            </w:tcBorders>
          </w:tcPr>
          <w:p w14:paraId="795E03BD" w14:textId="5EA0F9E7" w:rsidR="00B50415" w:rsidRPr="003A176D" w:rsidRDefault="00B50415" w:rsidP="00A319D4">
            <w:pPr>
              <w:pStyle w:val="BodyText"/>
              <w:tabs>
                <w:tab w:val="left" w:pos="6840"/>
              </w:tabs>
              <w:spacing w:after="0" w:line="260" w:lineRule="atLeast"/>
              <w:jc w:val="both"/>
              <w:rPr>
                <w:rFonts w:asciiTheme="minorHAnsi" w:hAnsiTheme="minorHAnsi" w:cstheme="minorHAnsi"/>
                <w:b/>
                <w:bCs/>
              </w:rPr>
            </w:pPr>
            <w:r w:rsidRPr="003A176D">
              <w:rPr>
                <w:rFonts w:asciiTheme="minorHAnsi" w:hAnsiTheme="minorHAnsi" w:cstheme="minorHAnsi"/>
                <w:b/>
                <w:bCs/>
              </w:rPr>
              <w:t>$</w:t>
            </w:r>
          </w:p>
        </w:tc>
        <w:tc>
          <w:tcPr>
            <w:tcW w:w="2954" w:type="dxa"/>
            <w:tcBorders>
              <w:top w:val="single" w:sz="4" w:space="0" w:color="auto"/>
              <w:bottom w:val="double" w:sz="4" w:space="0" w:color="auto"/>
            </w:tcBorders>
          </w:tcPr>
          <w:p w14:paraId="26C2625F" w14:textId="3C03726E" w:rsidR="00B50415" w:rsidRPr="003A176D" w:rsidRDefault="0089364D" w:rsidP="00B50415">
            <w:pPr>
              <w:pStyle w:val="BodyText"/>
              <w:tabs>
                <w:tab w:val="left" w:pos="6840"/>
              </w:tabs>
              <w:spacing w:after="0" w:line="260" w:lineRule="atLeast"/>
              <w:jc w:val="right"/>
              <w:rPr>
                <w:rFonts w:asciiTheme="minorHAnsi" w:hAnsiTheme="minorHAnsi" w:cstheme="minorHAnsi"/>
                <w:b/>
                <w:bCs/>
              </w:rPr>
            </w:pPr>
            <w:r w:rsidRPr="003A176D">
              <w:rPr>
                <w:rFonts w:asciiTheme="minorHAnsi" w:hAnsiTheme="minorHAnsi" w:cstheme="minorHAnsi"/>
                <w:b/>
                <w:bCs/>
              </w:rPr>
              <w:t>2,219,027</w:t>
            </w:r>
          </w:p>
        </w:tc>
      </w:tr>
      <w:tr w:rsidR="00B50415" w:rsidRPr="003A176D" w14:paraId="2F3CB98E" w14:textId="77777777" w:rsidTr="006925A7">
        <w:tc>
          <w:tcPr>
            <w:tcW w:w="3829" w:type="dxa"/>
            <w:tcBorders>
              <w:top w:val="double" w:sz="4" w:space="0" w:color="auto"/>
            </w:tcBorders>
          </w:tcPr>
          <w:p w14:paraId="06065734"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1534" w:type="dxa"/>
            <w:tcBorders>
              <w:top w:val="double" w:sz="4" w:space="0" w:color="auto"/>
            </w:tcBorders>
          </w:tcPr>
          <w:p w14:paraId="3C4C0A88"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Borders>
              <w:top w:val="double" w:sz="4" w:space="0" w:color="auto"/>
            </w:tcBorders>
          </w:tcPr>
          <w:p w14:paraId="3AEF224A"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Borders>
              <w:top w:val="double" w:sz="4" w:space="0" w:color="auto"/>
            </w:tcBorders>
          </w:tcPr>
          <w:p w14:paraId="03034362" w14:textId="77777777" w:rsidR="00B50415" w:rsidRPr="003A176D" w:rsidRDefault="00B50415" w:rsidP="00B50415">
            <w:pPr>
              <w:pStyle w:val="BodyText"/>
              <w:tabs>
                <w:tab w:val="left" w:pos="6840"/>
              </w:tabs>
              <w:spacing w:after="0" w:line="260" w:lineRule="atLeast"/>
              <w:jc w:val="right"/>
              <w:rPr>
                <w:rFonts w:asciiTheme="minorHAnsi" w:hAnsiTheme="minorHAnsi" w:cstheme="minorHAnsi"/>
              </w:rPr>
            </w:pPr>
          </w:p>
        </w:tc>
      </w:tr>
      <w:tr w:rsidR="00B50415" w:rsidRPr="003A176D" w14:paraId="68D288C0" w14:textId="77777777" w:rsidTr="006925A7">
        <w:tc>
          <w:tcPr>
            <w:tcW w:w="3829" w:type="dxa"/>
          </w:tcPr>
          <w:p w14:paraId="47A743D8" w14:textId="3BFB9DE9"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Cash</w:t>
            </w:r>
          </w:p>
        </w:tc>
        <w:tc>
          <w:tcPr>
            <w:tcW w:w="1534" w:type="dxa"/>
          </w:tcPr>
          <w:p w14:paraId="76E29C58"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388B4380" w14:textId="609FED81"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w:t>
            </w:r>
          </w:p>
        </w:tc>
        <w:tc>
          <w:tcPr>
            <w:tcW w:w="2954" w:type="dxa"/>
          </w:tcPr>
          <w:p w14:paraId="51A95945" w14:textId="47D523C0"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144,762</w:t>
            </w:r>
          </w:p>
        </w:tc>
      </w:tr>
      <w:tr w:rsidR="00B50415" w:rsidRPr="003A176D" w14:paraId="317C43E3" w14:textId="77777777" w:rsidTr="006925A7">
        <w:tc>
          <w:tcPr>
            <w:tcW w:w="3829" w:type="dxa"/>
          </w:tcPr>
          <w:p w14:paraId="6FD52209" w14:textId="6F92539D"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Accounts receivable</w:t>
            </w:r>
          </w:p>
        </w:tc>
        <w:tc>
          <w:tcPr>
            <w:tcW w:w="1534" w:type="dxa"/>
          </w:tcPr>
          <w:p w14:paraId="5E87AFE0"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1BBCA520"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2F1771FA" w14:textId="5203CAF5"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131,325</w:t>
            </w:r>
          </w:p>
        </w:tc>
      </w:tr>
      <w:tr w:rsidR="00B50415" w:rsidRPr="003A176D" w14:paraId="581A48B0" w14:textId="77777777" w:rsidTr="006925A7">
        <w:tc>
          <w:tcPr>
            <w:tcW w:w="3829" w:type="dxa"/>
          </w:tcPr>
          <w:p w14:paraId="5DF93B80" w14:textId="4894094B" w:rsidR="00B50415" w:rsidRPr="003A176D" w:rsidRDefault="0089364D"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Tax receivable</w:t>
            </w:r>
          </w:p>
        </w:tc>
        <w:tc>
          <w:tcPr>
            <w:tcW w:w="1534" w:type="dxa"/>
          </w:tcPr>
          <w:p w14:paraId="3D6C7DA2"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4C46D955"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550C68B8" w14:textId="0D7D25EC"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13,202</w:t>
            </w:r>
          </w:p>
        </w:tc>
      </w:tr>
      <w:tr w:rsidR="00B50415" w:rsidRPr="003A176D" w14:paraId="5231DB3B" w14:textId="77777777" w:rsidTr="006925A7">
        <w:tc>
          <w:tcPr>
            <w:tcW w:w="3829" w:type="dxa"/>
          </w:tcPr>
          <w:p w14:paraId="03636CB8" w14:textId="0A0EDB19"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Intangible asset – website (note 3)</w:t>
            </w:r>
          </w:p>
        </w:tc>
        <w:tc>
          <w:tcPr>
            <w:tcW w:w="1534" w:type="dxa"/>
          </w:tcPr>
          <w:p w14:paraId="184E8E16"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6CE90709"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42BFC693" w14:textId="45BABAAB"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37,420</w:t>
            </w:r>
          </w:p>
        </w:tc>
      </w:tr>
      <w:tr w:rsidR="00B50415" w:rsidRPr="003A176D" w14:paraId="6DC66330" w14:textId="77777777" w:rsidTr="006925A7">
        <w:tc>
          <w:tcPr>
            <w:tcW w:w="3829" w:type="dxa"/>
          </w:tcPr>
          <w:p w14:paraId="5DB43A80" w14:textId="3CEF4325"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Customer relationships</w:t>
            </w:r>
            <w:r w:rsidR="006925A7" w:rsidRPr="003A176D">
              <w:rPr>
                <w:rFonts w:asciiTheme="minorHAnsi" w:hAnsiTheme="minorHAnsi" w:cstheme="minorHAnsi"/>
              </w:rPr>
              <w:t xml:space="preserve"> (note 3)</w:t>
            </w:r>
          </w:p>
        </w:tc>
        <w:tc>
          <w:tcPr>
            <w:tcW w:w="1534" w:type="dxa"/>
          </w:tcPr>
          <w:p w14:paraId="6635390F"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63B82A6F"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2B40BE04" w14:textId="626D7E92"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4</w:t>
            </w:r>
            <w:r w:rsidR="00EC65B6" w:rsidRPr="003A176D">
              <w:rPr>
                <w:rFonts w:asciiTheme="minorHAnsi" w:hAnsiTheme="minorHAnsi" w:cstheme="minorHAnsi"/>
              </w:rPr>
              <w:t>62,645</w:t>
            </w:r>
          </w:p>
        </w:tc>
      </w:tr>
      <w:tr w:rsidR="00B50415" w:rsidRPr="003A176D" w14:paraId="6FC383BC" w14:textId="77777777" w:rsidTr="006925A7">
        <w:tc>
          <w:tcPr>
            <w:tcW w:w="3829" w:type="dxa"/>
          </w:tcPr>
          <w:p w14:paraId="24ACC30C" w14:textId="763E7834"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Trade name</w:t>
            </w:r>
            <w:r w:rsidR="006925A7" w:rsidRPr="003A176D">
              <w:rPr>
                <w:rFonts w:asciiTheme="minorHAnsi" w:hAnsiTheme="minorHAnsi" w:cstheme="minorHAnsi"/>
              </w:rPr>
              <w:t xml:space="preserve"> (note 3)</w:t>
            </w:r>
          </w:p>
        </w:tc>
        <w:tc>
          <w:tcPr>
            <w:tcW w:w="1534" w:type="dxa"/>
          </w:tcPr>
          <w:p w14:paraId="12C35F28"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584DE449"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3F3BAF5E" w14:textId="71120F06"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607,221</w:t>
            </w:r>
          </w:p>
        </w:tc>
      </w:tr>
      <w:tr w:rsidR="00B50415" w:rsidRPr="003A176D" w14:paraId="4C82C065" w14:textId="77777777" w:rsidTr="006925A7">
        <w:tc>
          <w:tcPr>
            <w:tcW w:w="3829" w:type="dxa"/>
          </w:tcPr>
          <w:p w14:paraId="3AA1B44A" w14:textId="50DAED28"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Goodwill and other intangible assets</w:t>
            </w:r>
          </w:p>
        </w:tc>
        <w:tc>
          <w:tcPr>
            <w:tcW w:w="1534" w:type="dxa"/>
          </w:tcPr>
          <w:p w14:paraId="688E516C"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0282A24C"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6898E47F" w14:textId="271C4955"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1,</w:t>
            </w:r>
            <w:r w:rsidR="00EC65B6" w:rsidRPr="003A176D">
              <w:rPr>
                <w:rFonts w:asciiTheme="minorHAnsi" w:hAnsiTheme="minorHAnsi" w:cstheme="minorHAnsi"/>
              </w:rPr>
              <w:t>053,430</w:t>
            </w:r>
          </w:p>
        </w:tc>
      </w:tr>
      <w:tr w:rsidR="00B50415" w:rsidRPr="003A176D" w14:paraId="5FCF350C" w14:textId="77777777" w:rsidTr="006925A7">
        <w:tc>
          <w:tcPr>
            <w:tcW w:w="3829" w:type="dxa"/>
          </w:tcPr>
          <w:p w14:paraId="4F1BAE85" w14:textId="5B2CD20C"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Accounts payable and accrued liabilities</w:t>
            </w:r>
          </w:p>
        </w:tc>
        <w:tc>
          <w:tcPr>
            <w:tcW w:w="1534" w:type="dxa"/>
          </w:tcPr>
          <w:p w14:paraId="7402F742"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Pr>
          <w:p w14:paraId="1C5C5F79"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Pr>
          <w:p w14:paraId="1EC75331" w14:textId="6D249FA2"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(224,465)</w:t>
            </w:r>
          </w:p>
        </w:tc>
      </w:tr>
      <w:tr w:rsidR="00B50415" w:rsidRPr="003A176D" w14:paraId="02373464" w14:textId="77777777" w:rsidTr="006925A7">
        <w:tc>
          <w:tcPr>
            <w:tcW w:w="3829" w:type="dxa"/>
            <w:tcBorders>
              <w:bottom w:val="single" w:sz="4" w:space="0" w:color="auto"/>
            </w:tcBorders>
          </w:tcPr>
          <w:p w14:paraId="2B32FAAE" w14:textId="2D4092F5" w:rsidR="00B50415" w:rsidRPr="003A176D" w:rsidRDefault="00B50415" w:rsidP="00A319D4">
            <w:pPr>
              <w:pStyle w:val="BodyText"/>
              <w:tabs>
                <w:tab w:val="left" w:pos="6840"/>
              </w:tabs>
              <w:spacing w:after="0" w:line="260" w:lineRule="atLeast"/>
              <w:jc w:val="both"/>
              <w:rPr>
                <w:rFonts w:asciiTheme="minorHAnsi" w:hAnsiTheme="minorHAnsi" w:cstheme="minorHAnsi"/>
              </w:rPr>
            </w:pPr>
            <w:r w:rsidRPr="003A176D">
              <w:rPr>
                <w:rFonts w:asciiTheme="minorHAnsi" w:hAnsiTheme="minorHAnsi" w:cstheme="minorHAnsi"/>
              </w:rPr>
              <w:t>Deferred tax liability</w:t>
            </w:r>
          </w:p>
        </w:tc>
        <w:tc>
          <w:tcPr>
            <w:tcW w:w="1534" w:type="dxa"/>
            <w:tcBorders>
              <w:bottom w:val="single" w:sz="4" w:space="0" w:color="auto"/>
            </w:tcBorders>
          </w:tcPr>
          <w:p w14:paraId="5DC7BF93"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318" w:type="dxa"/>
            <w:tcBorders>
              <w:bottom w:val="single" w:sz="4" w:space="0" w:color="auto"/>
            </w:tcBorders>
          </w:tcPr>
          <w:p w14:paraId="63235046"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rPr>
            </w:pPr>
          </w:p>
        </w:tc>
        <w:tc>
          <w:tcPr>
            <w:tcW w:w="2954" w:type="dxa"/>
            <w:tcBorders>
              <w:bottom w:val="single" w:sz="4" w:space="0" w:color="auto"/>
            </w:tcBorders>
          </w:tcPr>
          <w:p w14:paraId="5CCB66E5" w14:textId="2CB472A0" w:rsidR="00B50415" w:rsidRPr="003A176D" w:rsidRDefault="0089364D" w:rsidP="00B50415">
            <w:pPr>
              <w:pStyle w:val="BodyText"/>
              <w:tabs>
                <w:tab w:val="left" w:pos="6840"/>
              </w:tabs>
              <w:spacing w:after="0" w:line="260" w:lineRule="atLeast"/>
              <w:jc w:val="right"/>
              <w:rPr>
                <w:rFonts w:asciiTheme="minorHAnsi" w:hAnsiTheme="minorHAnsi" w:cstheme="minorHAnsi"/>
              </w:rPr>
            </w:pPr>
            <w:r w:rsidRPr="003A176D">
              <w:rPr>
                <w:rFonts w:asciiTheme="minorHAnsi" w:hAnsiTheme="minorHAnsi" w:cstheme="minorHAnsi"/>
              </w:rPr>
              <w:t>(6,513)</w:t>
            </w:r>
          </w:p>
        </w:tc>
      </w:tr>
      <w:tr w:rsidR="00B50415" w:rsidRPr="003A176D" w14:paraId="242A980F" w14:textId="77777777" w:rsidTr="006925A7">
        <w:tc>
          <w:tcPr>
            <w:tcW w:w="3829" w:type="dxa"/>
            <w:tcBorders>
              <w:top w:val="single" w:sz="4" w:space="0" w:color="auto"/>
              <w:bottom w:val="double" w:sz="4" w:space="0" w:color="auto"/>
            </w:tcBorders>
          </w:tcPr>
          <w:p w14:paraId="1AE18199" w14:textId="5D4DB518" w:rsidR="00B50415" w:rsidRPr="003A176D" w:rsidRDefault="00B50415" w:rsidP="00A319D4">
            <w:pPr>
              <w:pStyle w:val="BodyText"/>
              <w:tabs>
                <w:tab w:val="left" w:pos="6840"/>
              </w:tabs>
              <w:spacing w:after="0" w:line="260" w:lineRule="atLeast"/>
              <w:jc w:val="both"/>
              <w:rPr>
                <w:rFonts w:asciiTheme="minorHAnsi" w:hAnsiTheme="minorHAnsi" w:cstheme="minorHAnsi"/>
                <w:b/>
                <w:bCs/>
              </w:rPr>
            </w:pPr>
            <w:r w:rsidRPr="003A176D">
              <w:rPr>
                <w:rFonts w:asciiTheme="minorHAnsi" w:hAnsiTheme="minorHAnsi" w:cstheme="minorHAnsi"/>
                <w:b/>
                <w:bCs/>
              </w:rPr>
              <w:t>Assets acquired</w:t>
            </w:r>
          </w:p>
        </w:tc>
        <w:tc>
          <w:tcPr>
            <w:tcW w:w="1534" w:type="dxa"/>
            <w:tcBorders>
              <w:top w:val="single" w:sz="4" w:space="0" w:color="auto"/>
              <w:bottom w:val="double" w:sz="4" w:space="0" w:color="auto"/>
            </w:tcBorders>
          </w:tcPr>
          <w:p w14:paraId="583596EF" w14:textId="77777777" w:rsidR="00B50415" w:rsidRPr="003A176D" w:rsidRDefault="00B50415" w:rsidP="00A319D4">
            <w:pPr>
              <w:pStyle w:val="BodyText"/>
              <w:tabs>
                <w:tab w:val="left" w:pos="6840"/>
              </w:tabs>
              <w:spacing w:after="0" w:line="260" w:lineRule="atLeast"/>
              <w:jc w:val="both"/>
              <w:rPr>
                <w:rFonts w:asciiTheme="minorHAnsi" w:hAnsiTheme="minorHAnsi" w:cstheme="minorHAnsi"/>
                <w:b/>
                <w:bCs/>
              </w:rPr>
            </w:pPr>
          </w:p>
        </w:tc>
        <w:tc>
          <w:tcPr>
            <w:tcW w:w="318" w:type="dxa"/>
            <w:tcBorders>
              <w:top w:val="single" w:sz="4" w:space="0" w:color="auto"/>
              <w:bottom w:val="double" w:sz="4" w:space="0" w:color="auto"/>
            </w:tcBorders>
          </w:tcPr>
          <w:p w14:paraId="797A69A4" w14:textId="72675EDA" w:rsidR="00B50415" w:rsidRPr="003A176D" w:rsidRDefault="00B50415" w:rsidP="00A319D4">
            <w:pPr>
              <w:pStyle w:val="BodyText"/>
              <w:tabs>
                <w:tab w:val="left" w:pos="6840"/>
              </w:tabs>
              <w:spacing w:after="0" w:line="260" w:lineRule="atLeast"/>
              <w:jc w:val="both"/>
              <w:rPr>
                <w:rFonts w:asciiTheme="minorHAnsi" w:hAnsiTheme="minorHAnsi" w:cstheme="minorHAnsi"/>
                <w:b/>
                <w:bCs/>
              </w:rPr>
            </w:pPr>
            <w:r w:rsidRPr="003A176D">
              <w:rPr>
                <w:rFonts w:asciiTheme="minorHAnsi" w:hAnsiTheme="minorHAnsi" w:cstheme="minorHAnsi"/>
                <w:b/>
                <w:bCs/>
              </w:rPr>
              <w:t>$</w:t>
            </w:r>
          </w:p>
        </w:tc>
        <w:tc>
          <w:tcPr>
            <w:tcW w:w="2954" w:type="dxa"/>
            <w:tcBorders>
              <w:top w:val="single" w:sz="4" w:space="0" w:color="auto"/>
              <w:bottom w:val="double" w:sz="4" w:space="0" w:color="auto"/>
            </w:tcBorders>
          </w:tcPr>
          <w:p w14:paraId="6833BEC6" w14:textId="0550442B" w:rsidR="00B50415" w:rsidRPr="003A176D" w:rsidRDefault="0089364D" w:rsidP="00B50415">
            <w:pPr>
              <w:pStyle w:val="BodyText"/>
              <w:tabs>
                <w:tab w:val="left" w:pos="6840"/>
              </w:tabs>
              <w:spacing w:after="0" w:line="260" w:lineRule="atLeast"/>
              <w:jc w:val="right"/>
              <w:rPr>
                <w:rFonts w:asciiTheme="minorHAnsi" w:hAnsiTheme="minorHAnsi" w:cstheme="minorHAnsi"/>
                <w:b/>
                <w:bCs/>
              </w:rPr>
            </w:pPr>
            <w:r w:rsidRPr="003A176D">
              <w:rPr>
                <w:rFonts w:asciiTheme="minorHAnsi" w:hAnsiTheme="minorHAnsi" w:cstheme="minorHAnsi"/>
                <w:b/>
                <w:bCs/>
              </w:rPr>
              <w:t>2,219,027</w:t>
            </w:r>
          </w:p>
        </w:tc>
      </w:tr>
    </w:tbl>
    <w:p w14:paraId="3F3CCA72" w14:textId="77777777" w:rsidR="00A319D4" w:rsidRPr="003A176D" w:rsidRDefault="00A319D4" w:rsidP="00A319D4">
      <w:pPr>
        <w:pStyle w:val="BodyText"/>
        <w:tabs>
          <w:tab w:val="left" w:pos="6840"/>
        </w:tabs>
        <w:spacing w:after="0" w:line="260" w:lineRule="atLeast"/>
        <w:ind w:left="720"/>
        <w:jc w:val="both"/>
        <w:rPr>
          <w:rFonts w:asciiTheme="minorHAnsi" w:hAnsiTheme="minorHAnsi" w:cstheme="minorHAnsi"/>
          <w:sz w:val="20"/>
          <w:szCs w:val="20"/>
        </w:rPr>
      </w:pPr>
    </w:p>
    <w:p w14:paraId="3231F47D" w14:textId="77777777" w:rsidR="00A319D4" w:rsidRPr="003A176D" w:rsidRDefault="00A319D4" w:rsidP="00A319D4">
      <w:pPr>
        <w:pStyle w:val="ListParagraph"/>
        <w:rPr>
          <w:rFonts w:asciiTheme="minorHAnsi" w:hAnsiTheme="minorHAnsi" w:cstheme="minorHAnsi"/>
          <w:sz w:val="20"/>
          <w:szCs w:val="20"/>
        </w:rPr>
      </w:pPr>
    </w:p>
    <w:p w14:paraId="278847A9" w14:textId="77777777" w:rsidR="00A319D4" w:rsidRPr="003A176D" w:rsidRDefault="00A319D4" w:rsidP="00A319D4">
      <w:pPr>
        <w:pStyle w:val="BodyText"/>
        <w:tabs>
          <w:tab w:val="left" w:pos="6840"/>
        </w:tabs>
        <w:spacing w:after="0" w:line="260" w:lineRule="atLeast"/>
        <w:ind w:left="720"/>
        <w:jc w:val="both"/>
        <w:rPr>
          <w:rFonts w:asciiTheme="minorHAnsi" w:hAnsiTheme="minorHAnsi" w:cstheme="minorHAnsi"/>
          <w:sz w:val="20"/>
          <w:szCs w:val="20"/>
        </w:rPr>
      </w:pPr>
    </w:p>
    <w:p w14:paraId="5AC920DD" w14:textId="77777777" w:rsidR="006C7DA0" w:rsidRPr="003A176D" w:rsidRDefault="006C7DA0" w:rsidP="000E21F8">
      <w:pPr>
        <w:autoSpaceDE w:val="0"/>
        <w:autoSpaceDN w:val="0"/>
        <w:adjustRightInd w:val="0"/>
        <w:spacing w:after="0" w:line="240" w:lineRule="auto"/>
        <w:ind w:left="360"/>
        <w:jc w:val="both"/>
        <w:rPr>
          <w:rFonts w:asciiTheme="minorHAnsi" w:hAnsiTheme="minorHAnsi" w:cstheme="minorHAnsi"/>
          <w:sz w:val="20"/>
          <w:szCs w:val="20"/>
        </w:rPr>
      </w:pPr>
    </w:p>
    <w:p w14:paraId="42B9777B" w14:textId="5596657D" w:rsidR="000E21F8" w:rsidRPr="003A176D" w:rsidRDefault="000E21F8" w:rsidP="000E21F8">
      <w:pPr>
        <w:autoSpaceDE w:val="0"/>
        <w:autoSpaceDN w:val="0"/>
        <w:adjustRightInd w:val="0"/>
        <w:spacing w:after="0" w:line="240" w:lineRule="auto"/>
        <w:ind w:left="360"/>
        <w:jc w:val="both"/>
        <w:rPr>
          <w:rFonts w:cs="Calibri"/>
          <w:b/>
          <w:bCs/>
          <w:sz w:val="20"/>
          <w:szCs w:val="20"/>
        </w:rPr>
      </w:pPr>
    </w:p>
    <w:p w14:paraId="05C05D55" w14:textId="77777777" w:rsidR="006925A7" w:rsidRPr="003A176D" w:rsidRDefault="006925A7" w:rsidP="000E21F8">
      <w:pPr>
        <w:autoSpaceDE w:val="0"/>
        <w:autoSpaceDN w:val="0"/>
        <w:adjustRightInd w:val="0"/>
        <w:spacing w:after="0" w:line="240" w:lineRule="auto"/>
        <w:ind w:left="360"/>
        <w:jc w:val="both"/>
        <w:rPr>
          <w:rFonts w:cs="Calibri"/>
          <w:b/>
          <w:bCs/>
          <w:sz w:val="20"/>
          <w:szCs w:val="20"/>
        </w:rPr>
      </w:pPr>
    </w:p>
    <w:p w14:paraId="077AD873" w14:textId="77777777" w:rsidR="006D43A0" w:rsidRPr="003A176D" w:rsidRDefault="006D43A0" w:rsidP="000E21F8">
      <w:pPr>
        <w:autoSpaceDE w:val="0"/>
        <w:autoSpaceDN w:val="0"/>
        <w:adjustRightInd w:val="0"/>
        <w:spacing w:after="0" w:line="240" w:lineRule="auto"/>
        <w:ind w:left="360"/>
        <w:jc w:val="both"/>
        <w:rPr>
          <w:rFonts w:cs="Calibri"/>
          <w:b/>
          <w:bCs/>
          <w:sz w:val="20"/>
          <w:szCs w:val="20"/>
        </w:rPr>
      </w:pPr>
    </w:p>
    <w:p w14:paraId="7BFC4DFA" w14:textId="24667529" w:rsidR="007266E8" w:rsidRPr="003A176D" w:rsidRDefault="003C5C84" w:rsidP="007266E8">
      <w:pPr>
        <w:autoSpaceDE w:val="0"/>
        <w:autoSpaceDN w:val="0"/>
        <w:adjustRightInd w:val="0"/>
        <w:spacing w:after="0" w:line="240" w:lineRule="auto"/>
        <w:jc w:val="both"/>
        <w:rPr>
          <w:rFonts w:cs="Calibri"/>
          <w:b/>
          <w:bCs/>
          <w:sz w:val="20"/>
          <w:szCs w:val="20"/>
        </w:rPr>
      </w:pPr>
      <w:r w:rsidRPr="003A176D">
        <w:rPr>
          <w:rFonts w:cs="Calibri"/>
          <w:b/>
          <w:bCs/>
          <w:sz w:val="20"/>
          <w:szCs w:val="20"/>
        </w:rPr>
        <w:lastRenderedPageBreak/>
        <w:t>5</w:t>
      </w:r>
      <w:r w:rsidR="007266E8" w:rsidRPr="003A176D">
        <w:rPr>
          <w:rFonts w:cs="Calibri"/>
          <w:b/>
          <w:bCs/>
          <w:sz w:val="20"/>
          <w:szCs w:val="20"/>
        </w:rPr>
        <w:t xml:space="preserve">.     </w:t>
      </w:r>
      <w:r w:rsidR="002C0ED4" w:rsidRPr="003A176D">
        <w:rPr>
          <w:rFonts w:cs="Calibri"/>
          <w:b/>
          <w:bCs/>
          <w:sz w:val="20"/>
          <w:szCs w:val="20"/>
        </w:rPr>
        <w:t>Acquisition of FansUnite Holdings Inc.</w:t>
      </w:r>
      <w:r w:rsidR="002E2727" w:rsidRPr="003A176D">
        <w:rPr>
          <w:rFonts w:cs="Calibri"/>
          <w:b/>
          <w:bCs/>
          <w:sz w:val="20"/>
          <w:szCs w:val="20"/>
        </w:rPr>
        <w:t xml:space="preserve"> </w:t>
      </w:r>
    </w:p>
    <w:p w14:paraId="704D2A6D" w14:textId="7E50A4D2" w:rsidR="002E2727" w:rsidRPr="003A176D" w:rsidRDefault="002E2727" w:rsidP="007266E8">
      <w:pPr>
        <w:autoSpaceDE w:val="0"/>
        <w:autoSpaceDN w:val="0"/>
        <w:adjustRightInd w:val="0"/>
        <w:spacing w:after="0" w:line="240" w:lineRule="auto"/>
        <w:jc w:val="both"/>
        <w:rPr>
          <w:rFonts w:cs="Calibri"/>
          <w:b/>
          <w:bCs/>
          <w:sz w:val="20"/>
          <w:szCs w:val="20"/>
        </w:rPr>
      </w:pPr>
      <w:r w:rsidRPr="003A176D">
        <w:rPr>
          <w:rFonts w:cs="Calibri"/>
          <w:b/>
          <w:bCs/>
          <w:sz w:val="20"/>
          <w:szCs w:val="20"/>
        </w:rPr>
        <w:t xml:space="preserve">       </w:t>
      </w:r>
    </w:p>
    <w:p w14:paraId="284FA872" w14:textId="024F7817" w:rsidR="00277AEE" w:rsidRPr="003A176D" w:rsidRDefault="002E2727" w:rsidP="000C513F">
      <w:pPr>
        <w:autoSpaceDE w:val="0"/>
        <w:autoSpaceDN w:val="0"/>
        <w:adjustRightInd w:val="0"/>
        <w:spacing w:after="0" w:line="240" w:lineRule="auto"/>
        <w:ind w:left="360"/>
        <w:jc w:val="both"/>
        <w:rPr>
          <w:sz w:val="20"/>
          <w:szCs w:val="20"/>
        </w:rPr>
      </w:pPr>
      <w:r w:rsidRPr="003A176D">
        <w:rPr>
          <w:sz w:val="20"/>
          <w:szCs w:val="20"/>
        </w:rPr>
        <w:t>On March 26, 2020</w:t>
      </w:r>
      <w:r w:rsidR="00884D7F" w:rsidRPr="003A176D">
        <w:rPr>
          <w:sz w:val="20"/>
          <w:szCs w:val="20"/>
        </w:rPr>
        <w:t xml:space="preserve"> (“amalgamation date”)</w:t>
      </w:r>
      <w:r w:rsidRPr="003A176D">
        <w:rPr>
          <w:sz w:val="20"/>
          <w:szCs w:val="20"/>
        </w:rPr>
        <w:t xml:space="preserve">, the Company completed the amalgamation with </w:t>
      </w:r>
      <w:r w:rsidR="002C0ED4" w:rsidRPr="003A176D">
        <w:rPr>
          <w:sz w:val="20"/>
          <w:szCs w:val="20"/>
        </w:rPr>
        <w:t xml:space="preserve">FansUnite Holdings Inc. (“FansUnite”) </w:t>
      </w:r>
      <w:r w:rsidR="00884D7F" w:rsidRPr="003A176D">
        <w:rPr>
          <w:sz w:val="20"/>
          <w:szCs w:val="20"/>
        </w:rPr>
        <w:t>(note 1)</w:t>
      </w:r>
      <w:r w:rsidR="002C0ED4" w:rsidRPr="003A176D">
        <w:rPr>
          <w:sz w:val="20"/>
          <w:szCs w:val="20"/>
        </w:rPr>
        <w:t xml:space="preserve">, whereby the Company acquired 100% of the issued and outstanding shares of FansUnite. </w:t>
      </w:r>
    </w:p>
    <w:p w14:paraId="30DE6E7F" w14:textId="30DAC272" w:rsidR="00277AEE" w:rsidRPr="003A176D" w:rsidRDefault="00277AEE" w:rsidP="000C513F">
      <w:pPr>
        <w:autoSpaceDE w:val="0"/>
        <w:autoSpaceDN w:val="0"/>
        <w:adjustRightInd w:val="0"/>
        <w:spacing w:after="0" w:line="240" w:lineRule="auto"/>
        <w:ind w:left="360"/>
        <w:jc w:val="both"/>
        <w:rPr>
          <w:sz w:val="20"/>
          <w:szCs w:val="20"/>
        </w:rPr>
      </w:pPr>
    </w:p>
    <w:p w14:paraId="53626A60" w14:textId="75859094" w:rsidR="00277AEE" w:rsidRPr="003A176D" w:rsidRDefault="00277AEE" w:rsidP="000C513F">
      <w:pPr>
        <w:autoSpaceDE w:val="0"/>
        <w:autoSpaceDN w:val="0"/>
        <w:adjustRightInd w:val="0"/>
        <w:spacing w:after="0" w:line="240" w:lineRule="auto"/>
        <w:ind w:left="360"/>
        <w:jc w:val="both"/>
        <w:rPr>
          <w:sz w:val="20"/>
          <w:szCs w:val="20"/>
        </w:rPr>
      </w:pPr>
      <w:r w:rsidRPr="003A176D">
        <w:rPr>
          <w:sz w:val="20"/>
          <w:szCs w:val="20"/>
        </w:rPr>
        <w:t xml:space="preserve">Pursuant to the amalgamation, the Company issued </w:t>
      </w:r>
      <w:r w:rsidR="0067043C" w:rsidRPr="003A176D">
        <w:rPr>
          <w:sz w:val="20"/>
          <w:szCs w:val="20"/>
        </w:rPr>
        <w:t>14,314,000</w:t>
      </w:r>
      <w:r w:rsidR="002C0ED4" w:rsidRPr="003A176D">
        <w:rPr>
          <w:sz w:val="20"/>
          <w:szCs w:val="20"/>
        </w:rPr>
        <w:t xml:space="preserve"> common shares of the Company in exchange for all the issued and outstanding shares of </w:t>
      </w:r>
      <w:r w:rsidR="0067043C" w:rsidRPr="003A176D">
        <w:rPr>
          <w:sz w:val="20"/>
          <w:szCs w:val="20"/>
        </w:rPr>
        <w:t>HIC Horizons Investment Capital Ltd</w:t>
      </w:r>
      <w:r w:rsidR="002C0ED4" w:rsidRPr="003A176D">
        <w:rPr>
          <w:sz w:val="20"/>
          <w:szCs w:val="20"/>
        </w:rPr>
        <w:t xml:space="preserve">. Upon closing of the transaction, the shareholders of FansUnite owned 71% of the issued and outstanding common shares of the Company and, as a result, the transaction is considered a reverse acquisition of the Company by FansUnite. </w:t>
      </w:r>
    </w:p>
    <w:p w14:paraId="2ACC3D9A" w14:textId="7863FBCF" w:rsidR="00015061" w:rsidRPr="003A176D" w:rsidRDefault="00015061" w:rsidP="000C513F">
      <w:pPr>
        <w:autoSpaceDE w:val="0"/>
        <w:autoSpaceDN w:val="0"/>
        <w:adjustRightInd w:val="0"/>
        <w:spacing w:after="0" w:line="240" w:lineRule="auto"/>
        <w:ind w:left="360"/>
        <w:jc w:val="both"/>
        <w:rPr>
          <w:sz w:val="20"/>
          <w:szCs w:val="20"/>
        </w:rPr>
      </w:pPr>
    </w:p>
    <w:p w14:paraId="3429154B" w14:textId="63AF2EE7" w:rsidR="00015061" w:rsidRPr="003A176D" w:rsidRDefault="00015061" w:rsidP="0067043C">
      <w:pPr>
        <w:pStyle w:val="BodyText"/>
        <w:tabs>
          <w:tab w:val="left" w:pos="6840"/>
        </w:tabs>
        <w:spacing w:line="260" w:lineRule="atLeast"/>
        <w:ind w:left="360"/>
        <w:jc w:val="both"/>
        <w:rPr>
          <w:rFonts w:asciiTheme="minorHAnsi" w:hAnsiTheme="minorHAnsi" w:cstheme="minorHAnsi"/>
          <w:sz w:val="20"/>
          <w:szCs w:val="20"/>
        </w:rPr>
      </w:pPr>
      <w:r w:rsidRPr="003A176D">
        <w:rPr>
          <w:rFonts w:cs="Arial"/>
          <w:sz w:val="20"/>
        </w:rPr>
        <w:t xml:space="preserve">For accounting purposes, the acquisition was considered to be a reverse acquisition under IFRS 3 </w:t>
      </w:r>
      <w:r w:rsidRPr="003A176D">
        <w:rPr>
          <w:rFonts w:cs="Arial"/>
          <w:i/>
          <w:sz w:val="20"/>
        </w:rPr>
        <w:t xml:space="preserve">Business </w:t>
      </w:r>
      <w:r w:rsidRPr="003A176D">
        <w:rPr>
          <w:rFonts w:asciiTheme="minorHAnsi" w:hAnsiTheme="minorHAnsi" w:cstheme="minorHAnsi"/>
          <w:i/>
          <w:sz w:val="20"/>
          <w:szCs w:val="20"/>
        </w:rPr>
        <w:t xml:space="preserve">Combinations </w:t>
      </w:r>
      <w:r w:rsidRPr="003A176D">
        <w:rPr>
          <w:rFonts w:asciiTheme="minorHAnsi" w:hAnsiTheme="minorHAnsi" w:cstheme="minorHAnsi"/>
          <w:sz w:val="20"/>
          <w:szCs w:val="20"/>
        </w:rPr>
        <w:t xml:space="preserve">(“IFRS 3”) as the shareholders of FansUnite obtained control of the Company.  However, as the Company does not meet the definition of a business as defined by IFRS 3, it has been accounted for as a share-based payment transaction in accordance with IFRS 2. </w:t>
      </w:r>
    </w:p>
    <w:p w14:paraId="794ABDAE" w14:textId="77777777" w:rsidR="00015061" w:rsidRPr="003A176D" w:rsidRDefault="00015061" w:rsidP="00015061">
      <w:pPr>
        <w:ind w:firstLine="360"/>
        <w:rPr>
          <w:rFonts w:asciiTheme="minorHAnsi" w:hAnsiTheme="minorHAnsi" w:cstheme="minorHAnsi"/>
          <w:sz w:val="20"/>
          <w:szCs w:val="20"/>
        </w:rPr>
      </w:pPr>
      <w:r w:rsidRPr="003A176D">
        <w:rPr>
          <w:rFonts w:asciiTheme="minorHAnsi" w:hAnsiTheme="minorHAnsi" w:cstheme="minorHAnsi"/>
          <w:sz w:val="20"/>
          <w:szCs w:val="20"/>
        </w:rPr>
        <w:t>The accounting for this transaction resulted in the following:</w:t>
      </w:r>
    </w:p>
    <w:p w14:paraId="435BAEED" w14:textId="15D1F985" w:rsidR="00015061" w:rsidRPr="003A176D" w:rsidRDefault="00015061" w:rsidP="007D0666">
      <w:pPr>
        <w:pStyle w:val="BodyText"/>
        <w:numPr>
          <w:ilvl w:val="0"/>
          <w:numId w:val="8"/>
        </w:numPr>
        <w:tabs>
          <w:tab w:val="left" w:pos="6840"/>
        </w:tabs>
        <w:spacing w:after="0" w:line="260" w:lineRule="atLeast"/>
        <w:ind w:left="720" w:hanging="360"/>
        <w:jc w:val="both"/>
        <w:rPr>
          <w:rFonts w:asciiTheme="minorHAnsi" w:hAnsiTheme="minorHAnsi" w:cstheme="minorHAnsi"/>
          <w:sz w:val="20"/>
          <w:szCs w:val="20"/>
        </w:rPr>
      </w:pPr>
      <w:r w:rsidRPr="003A176D">
        <w:rPr>
          <w:rFonts w:asciiTheme="minorHAnsi" w:hAnsiTheme="minorHAnsi" w:cstheme="minorHAnsi"/>
          <w:sz w:val="20"/>
          <w:szCs w:val="20"/>
        </w:rPr>
        <w:t>The consolidated financial statements of the combined entity are issued under the legal parent, FansUnite Entertainment Inc., but are considered a continuation of the financial statements of the legal subsidiary, FansUnite Holdings Inc.</w:t>
      </w:r>
    </w:p>
    <w:p w14:paraId="18486D3A" w14:textId="77777777" w:rsidR="00E623A6" w:rsidRPr="003A176D" w:rsidRDefault="00E623A6" w:rsidP="00E623A6">
      <w:pPr>
        <w:pStyle w:val="BodyText"/>
        <w:tabs>
          <w:tab w:val="left" w:pos="6840"/>
        </w:tabs>
        <w:spacing w:after="0" w:line="260" w:lineRule="atLeast"/>
        <w:ind w:left="720"/>
        <w:jc w:val="both"/>
        <w:rPr>
          <w:rFonts w:asciiTheme="minorHAnsi" w:hAnsiTheme="minorHAnsi" w:cstheme="minorHAnsi"/>
          <w:sz w:val="20"/>
          <w:szCs w:val="20"/>
        </w:rPr>
      </w:pPr>
    </w:p>
    <w:p w14:paraId="0E8C29A8" w14:textId="34AAD209" w:rsidR="00015061" w:rsidRPr="003A176D" w:rsidRDefault="00015061" w:rsidP="007D0666">
      <w:pPr>
        <w:pStyle w:val="BodyText"/>
        <w:numPr>
          <w:ilvl w:val="0"/>
          <w:numId w:val="8"/>
        </w:numPr>
        <w:tabs>
          <w:tab w:val="left" w:pos="6840"/>
        </w:tabs>
        <w:spacing w:after="0" w:line="260" w:lineRule="atLeast"/>
        <w:ind w:left="720" w:hanging="360"/>
        <w:jc w:val="both"/>
        <w:rPr>
          <w:rFonts w:asciiTheme="minorHAnsi" w:hAnsiTheme="minorHAnsi" w:cstheme="minorHAnsi"/>
          <w:sz w:val="20"/>
          <w:szCs w:val="20"/>
        </w:rPr>
      </w:pPr>
      <w:r w:rsidRPr="003A176D">
        <w:rPr>
          <w:rFonts w:asciiTheme="minorHAnsi" w:hAnsiTheme="minorHAnsi" w:cstheme="minorHAnsi"/>
          <w:sz w:val="20"/>
          <w:szCs w:val="20"/>
        </w:rPr>
        <w:t>As FansUnite is deemed to be the acquirer for accounting purposes, its assets and liabilities are included in the consolidated financial statements at their historical carrying values.</w:t>
      </w:r>
    </w:p>
    <w:p w14:paraId="3226BF10" w14:textId="77777777" w:rsidR="00015061" w:rsidRPr="003A176D" w:rsidRDefault="00015061" w:rsidP="00015061">
      <w:pPr>
        <w:pStyle w:val="ListParagraph"/>
        <w:rPr>
          <w:rFonts w:asciiTheme="minorHAnsi" w:hAnsiTheme="minorHAnsi" w:cstheme="minorHAnsi"/>
          <w:sz w:val="20"/>
          <w:szCs w:val="20"/>
        </w:rPr>
      </w:pPr>
    </w:p>
    <w:p w14:paraId="46389DF4" w14:textId="77777777" w:rsidR="00A503C2" w:rsidRPr="003A176D" w:rsidRDefault="00015061" w:rsidP="007D0666">
      <w:pPr>
        <w:pStyle w:val="ListParagraph"/>
        <w:numPr>
          <w:ilvl w:val="0"/>
          <w:numId w:val="8"/>
        </w:numPr>
        <w:autoSpaceDE w:val="0"/>
        <w:autoSpaceDN w:val="0"/>
        <w:adjustRightInd w:val="0"/>
        <w:spacing w:after="0" w:line="240" w:lineRule="auto"/>
        <w:ind w:left="720" w:hanging="360"/>
        <w:jc w:val="both"/>
        <w:rPr>
          <w:sz w:val="20"/>
          <w:szCs w:val="20"/>
        </w:rPr>
      </w:pPr>
      <w:r w:rsidRPr="003A176D">
        <w:rPr>
          <w:rFonts w:asciiTheme="minorHAnsi" w:eastAsiaTheme="minorHAnsi" w:hAnsiTheme="minorHAnsi" w:cstheme="minorHAnsi"/>
          <w:sz w:val="20"/>
          <w:szCs w:val="20"/>
          <w:lang w:val="en-CA"/>
        </w:rPr>
        <w:t>Since the shares allocated to the former shareholders of FansUnite Entertainment Inc on closing the amalgamation is considered within the scope of IFRS 2, and the Company cannot identify specifically some or all of the goods or service received in return for the allocation of the shares, the value in excess of the net identifiable assets or obligations of FansUnite Entertainment Inc. acquired on closing was expensed in the consolidated statement of loss and comprehensive loss as a share based payments.</w:t>
      </w:r>
    </w:p>
    <w:p w14:paraId="05106A58" w14:textId="77777777" w:rsidR="00A503C2" w:rsidRPr="003A176D" w:rsidRDefault="00A503C2" w:rsidP="00A503C2">
      <w:pPr>
        <w:pStyle w:val="ListParagraph"/>
        <w:rPr>
          <w:rFonts w:asciiTheme="minorHAnsi" w:eastAsiaTheme="minorHAnsi" w:hAnsiTheme="minorHAnsi" w:cstheme="minorHAnsi"/>
          <w:sz w:val="20"/>
          <w:szCs w:val="20"/>
          <w:lang w:val="en-CA"/>
        </w:rPr>
      </w:pPr>
    </w:p>
    <w:p w14:paraId="0B1E83F5" w14:textId="148B7C9F" w:rsidR="00A503C2" w:rsidRPr="003A176D" w:rsidRDefault="006451C3" w:rsidP="00A503C2">
      <w:pPr>
        <w:pStyle w:val="ListParagraph"/>
        <w:autoSpaceDE w:val="0"/>
        <w:autoSpaceDN w:val="0"/>
        <w:adjustRightInd w:val="0"/>
        <w:spacing w:after="0" w:line="240" w:lineRule="auto"/>
        <w:jc w:val="both"/>
        <w:rPr>
          <w:sz w:val="20"/>
          <w:szCs w:val="20"/>
        </w:rPr>
      </w:pPr>
      <w:r w:rsidRPr="003A176D">
        <w:rPr>
          <w:rFonts w:asciiTheme="minorHAnsi" w:eastAsiaTheme="minorHAnsi" w:hAnsiTheme="minorHAnsi" w:cstheme="minorHAnsi"/>
          <w:sz w:val="20"/>
          <w:szCs w:val="20"/>
          <w:lang w:val="en-CA"/>
        </w:rPr>
        <w:t xml:space="preserve">The fair value of the 14,314,000 common shares for all of HIC Horizons Investment Capital Inc. was determined to be $5,009,900 or $0.35 per common share. </w:t>
      </w:r>
    </w:p>
    <w:p w14:paraId="2CB90707" w14:textId="77777777" w:rsidR="00A503C2" w:rsidRPr="003A176D" w:rsidRDefault="00A503C2" w:rsidP="00A503C2">
      <w:pPr>
        <w:pStyle w:val="ListParagraph"/>
        <w:rPr>
          <w:rFonts w:asciiTheme="minorHAnsi" w:eastAsiaTheme="minorHAnsi" w:hAnsiTheme="minorHAnsi" w:cstheme="minorHAnsi"/>
          <w:sz w:val="20"/>
          <w:szCs w:val="20"/>
          <w:lang w:val="en-CA"/>
        </w:rPr>
      </w:pPr>
    </w:p>
    <w:p w14:paraId="27D769C9" w14:textId="6B1120A7" w:rsidR="00A503C2" w:rsidRPr="003A176D" w:rsidRDefault="006451C3" w:rsidP="007D0666">
      <w:pPr>
        <w:pStyle w:val="ListParagraph"/>
        <w:numPr>
          <w:ilvl w:val="0"/>
          <w:numId w:val="8"/>
        </w:numPr>
        <w:autoSpaceDE w:val="0"/>
        <w:autoSpaceDN w:val="0"/>
        <w:adjustRightInd w:val="0"/>
        <w:spacing w:after="0" w:line="240" w:lineRule="auto"/>
        <w:ind w:left="720" w:hanging="360"/>
        <w:jc w:val="both"/>
        <w:rPr>
          <w:sz w:val="20"/>
          <w:szCs w:val="20"/>
        </w:rPr>
      </w:pPr>
      <w:r w:rsidRPr="003A176D">
        <w:rPr>
          <w:rFonts w:asciiTheme="minorHAnsi" w:eastAsiaTheme="minorHAnsi" w:hAnsiTheme="minorHAnsi" w:cstheme="minorHAnsi"/>
          <w:sz w:val="20"/>
          <w:szCs w:val="20"/>
          <w:lang w:val="en-CA"/>
        </w:rPr>
        <w:t xml:space="preserve">In connection with the amalgamation, the Company assumed 814,000 warrants exchangeable for one common share of the Company at an exercise price of $0.05. </w:t>
      </w:r>
      <w:r w:rsidR="00A503C2" w:rsidRPr="003A176D">
        <w:rPr>
          <w:sz w:val="20"/>
          <w:szCs w:val="20"/>
        </w:rPr>
        <w:t>The fair value for warrants granted have been estimated using the Black-Scholes pricing model assuming no expected dividends and the following weighted average assumptions (note 9):</w:t>
      </w:r>
    </w:p>
    <w:tbl>
      <w:tblPr>
        <w:tblW w:w="8655" w:type="dxa"/>
        <w:tblInd w:w="666" w:type="dxa"/>
        <w:tblCellMar>
          <w:left w:w="0" w:type="dxa"/>
          <w:right w:w="0" w:type="dxa"/>
        </w:tblCellMar>
        <w:tblLook w:val="0000" w:firstRow="0" w:lastRow="0" w:firstColumn="0" w:lastColumn="0" w:noHBand="0" w:noVBand="0"/>
      </w:tblPr>
      <w:tblGrid>
        <w:gridCol w:w="3180"/>
        <w:gridCol w:w="2561"/>
        <w:gridCol w:w="2914"/>
      </w:tblGrid>
      <w:tr w:rsidR="00A503C2" w:rsidRPr="003A176D" w14:paraId="4DB9BB63" w14:textId="77777777" w:rsidTr="007B2F98">
        <w:trPr>
          <w:trHeight w:val="301"/>
        </w:trPr>
        <w:tc>
          <w:tcPr>
            <w:tcW w:w="3180" w:type="dxa"/>
            <w:tcBorders>
              <w:bottom w:val="single" w:sz="4" w:space="0" w:color="auto"/>
            </w:tcBorders>
          </w:tcPr>
          <w:p w14:paraId="0E021000" w14:textId="77777777" w:rsidR="00A503C2" w:rsidRPr="003A176D" w:rsidRDefault="00A503C2" w:rsidP="002E16E1">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p>
        </w:tc>
        <w:tc>
          <w:tcPr>
            <w:tcW w:w="2561" w:type="dxa"/>
            <w:tcBorders>
              <w:bottom w:val="single" w:sz="4" w:space="0" w:color="auto"/>
            </w:tcBorders>
            <w:vAlign w:val="bottom"/>
          </w:tcPr>
          <w:p w14:paraId="002C8A86"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bCs/>
                <w:sz w:val="20"/>
                <w:szCs w:val="20"/>
                <w:lang w:val="en-CA"/>
              </w:rPr>
            </w:pPr>
          </w:p>
        </w:tc>
        <w:tc>
          <w:tcPr>
            <w:tcW w:w="2914" w:type="dxa"/>
            <w:tcBorders>
              <w:bottom w:val="single" w:sz="4" w:space="0" w:color="auto"/>
            </w:tcBorders>
          </w:tcPr>
          <w:p w14:paraId="47CAE4D6" w14:textId="7880CAAE" w:rsidR="00A503C2" w:rsidRPr="003A176D" w:rsidRDefault="00EC65B6" w:rsidP="002E16E1">
            <w:pPr>
              <w:overflowPunct w:val="0"/>
              <w:autoSpaceDE w:val="0"/>
              <w:autoSpaceDN w:val="0"/>
              <w:adjustRightInd w:val="0"/>
              <w:spacing w:after="0" w:line="240" w:lineRule="auto"/>
              <w:jc w:val="center"/>
              <w:textAlignment w:val="baseline"/>
              <w:rPr>
                <w:rFonts w:asciiTheme="minorHAnsi" w:eastAsia="SimSun" w:hAnsiTheme="minorHAnsi" w:cs="Arial"/>
                <w:bCs/>
                <w:sz w:val="20"/>
                <w:szCs w:val="20"/>
                <w:lang w:val="en-CA"/>
              </w:rPr>
            </w:pPr>
            <w:r w:rsidRPr="003A176D">
              <w:rPr>
                <w:rFonts w:asciiTheme="minorHAnsi" w:eastAsia="SimSun" w:hAnsiTheme="minorHAnsi" w:cs="Arial"/>
                <w:bCs/>
                <w:sz w:val="20"/>
                <w:szCs w:val="20"/>
                <w:lang w:val="en-CA"/>
              </w:rPr>
              <w:t>June 30</w:t>
            </w:r>
            <w:r w:rsidR="00A503C2" w:rsidRPr="003A176D">
              <w:rPr>
                <w:rFonts w:asciiTheme="minorHAnsi" w:eastAsia="SimSun" w:hAnsiTheme="minorHAnsi" w:cs="Arial"/>
                <w:bCs/>
                <w:sz w:val="20"/>
                <w:szCs w:val="20"/>
                <w:lang w:val="en-CA"/>
              </w:rPr>
              <w:t>, 2020</w:t>
            </w:r>
          </w:p>
        </w:tc>
      </w:tr>
      <w:tr w:rsidR="00A503C2" w:rsidRPr="003A176D" w14:paraId="0C3BB49D" w14:textId="77777777" w:rsidTr="007B2F98">
        <w:trPr>
          <w:trHeight w:hRule="exact" w:val="140"/>
        </w:trPr>
        <w:tc>
          <w:tcPr>
            <w:tcW w:w="3180" w:type="dxa"/>
            <w:tcBorders>
              <w:top w:val="single" w:sz="4" w:space="0" w:color="auto"/>
            </w:tcBorders>
          </w:tcPr>
          <w:p w14:paraId="69569E6D" w14:textId="77777777" w:rsidR="00A503C2" w:rsidRPr="003A176D" w:rsidRDefault="00A503C2" w:rsidP="007B2F98">
            <w:pPr>
              <w:overflowPunct w:val="0"/>
              <w:autoSpaceDE w:val="0"/>
              <w:autoSpaceDN w:val="0"/>
              <w:adjustRightInd w:val="0"/>
              <w:spacing w:after="0" w:line="240" w:lineRule="auto"/>
              <w:ind w:left="362" w:hanging="362"/>
              <w:textAlignment w:val="baseline"/>
              <w:rPr>
                <w:rFonts w:asciiTheme="minorHAnsi" w:eastAsia="SimSun" w:hAnsiTheme="minorHAnsi" w:cs="Arial"/>
                <w:sz w:val="20"/>
                <w:szCs w:val="20"/>
                <w:lang w:val="en-CA"/>
              </w:rPr>
            </w:pPr>
          </w:p>
        </w:tc>
        <w:tc>
          <w:tcPr>
            <w:tcW w:w="2561" w:type="dxa"/>
            <w:tcBorders>
              <w:top w:val="single" w:sz="4" w:space="0" w:color="auto"/>
            </w:tcBorders>
          </w:tcPr>
          <w:p w14:paraId="3B08B728"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14" w:type="dxa"/>
            <w:tcBorders>
              <w:top w:val="single" w:sz="4" w:space="0" w:color="auto"/>
            </w:tcBorders>
          </w:tcPr>
          <w:p w14:paraId="58674129"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r>
      <w:tr w:rsidR="00A503C2" w:rsidRPr="003A176D" w14:paraId="26BE65B1" w14:textId="77777777" w:rsidTr="007B2F98">
        <w:trPr>
          <w:trHeight w:val="301"/>
        </w:trPr>
        <w:tc>
          <w:tcPr>
            <w:tcW w:w="3180" w:type="dxa"/>
          </w:tcPr>
          <w:p w14:paraId="698CA208" w14:textId="77777777" w:rsidR="00A503C2" w:rsidRPr="003A176D" w:rsidRDefault="00A503C2" w:rsidP="002E16E1">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Risk-free interest rate</w:t>
            </w:r>
          </w:p>
        </w:tc>
        <w:tc>
          <w:tcPr>
            <w:tcW w:w="2561" w:type="dxa"/>
            <w:vAlign w:val="bottom"/>
          </w:tcPr>
          <w:p w14:paraId="5330F32F"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14" w:type="dxa"/>
          </w:tcPr>
          <w:p w14:paraId="17EE2998"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1.59%</w:t>
            </w:r>
          </w:p>
        </w:tc>
      </w:tr>
      <w:tr w:rsidR="00A503C2" w:rsidRPr="003A176D" w14:paraId="6BC73A68" w14:textId="77777777" w:rsidTr="007B2F98">
        <w:trPr>
          <w:trHeight w:val="301"/>
        </w:trPr>
        <w:tc>
          <w:tcPr>
            <w:tcW w:w="3180" w:type="dxa"/>
          </w:tcPr>
          <w:p w14:paraId="714FF6FD" w14:textId="77777777" w:rsidR="00A503C2" w:rsidRPr="003A176D" w:rsidRDefault="00A503C2" w:rsidP="002E16E1">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Expected life (in years)</w:t>
            </w:r>
          </w:p>
        </w:tc>
        <w:tc>
          <w:tcPr>
            <w:tcW w:w="2561" w:type="dxa"/>
            <w:vAlign w:val="bottom"/>
          </w:tcPr>
          <w:p w14:paraId="23C330E3"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14" w:type="dxa"/>
          </w:tcPr>
          <w:p w14:paraId="12373A60"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2</w:t>
            </w:r>
          </w:p>
        </w:tc>
      </w:tr>
      <w:tr w:rsidR="00A503C2" w:rsidRPr="003A176D" w14:paraId="13199FFF" w14:textId="77777777" w:rsidTr="006925A7">
        <w:trPr>
          <w:trHeight w:val="301"/>
        </w:trPr>
        <w:tc>
          <w:tcPr>
            <w:tcW w:w="3180" w:type="dxa"/>
            <w:tcBorders>
              <w:bottom w:val="single" w:sz="4" w:space="0" w:color="auto"/>
            </w:tcBorders>
          </w:tcPr>
          <w:p w14:paraId="55189733" w14:textId="77777777" w:rsidR="00A503C2" w:rsidRPr="003A176D" w:rsidRDefault="00A503C2" w:rsidP="002E16E1">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Expected volatility</w:t>
            </w:r>
          </w:p>
        </w:tc>
        <w:tc>
          <w:tcPr>
            <w:tcW w:w="2561" w:type="dxa"/>
            <w:tcBorders>
              <w:bottom w:val="single" w:sz="4" w:space="0" w:color="auto"/>
            </w:tcBorders>
            <w:vAlign w:val="bottom"/>
          </w:tcPr>
          <w:p w14:paraId="2B6D5D44"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14" w:type="dxa"/>
            <w:tcBorders>
              <w:bottom w:val="single" w:sz="4" w:space="0" w:color="auto"/>
            </w:tcBorders>
          </w:tcPr>
          <w:p w14:paraId="1D9FB619" w14:textId="77777777" w:rsidR="00A503C2" w:rsidRPr="003A176D" w:rsidRDefault="00A503C2" w:rsidP="002E16E1">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195%</w:t>
            </w:r>
          </w:p>
        </w:tc>
      </w:tr>
    </w:tbl>
    <w:p w14:paraId="3D9F2296" w14:textId="591BB4FB" w:rsidR="006451C3" w:rsidRPr="003A176D" w:rsidRDefault="006451C3" w:rsidP="00A503C2">
      <w:pPr>
        <w:pStyle w:val="ListParagraph"/>
        <w:autoSpaceDE w:val="0"/>
        <w:autoSpaceDN w:val="0"/>
        <w:adjustRightInd w:val="0"/>
        <w:spacing w:after="0" w:line="240" w:lineRule="auto"/>
        <w:jc w:val="both"/>
        <w:rPr>
          <w:rFonts w:asciiTheme="minorHAnsi" w:eastAsiaTheme="minorHAnsi" w:hAnsiTheme="minorHAnsi" w:cstheme="minorHAnsi"/>
          <w:sz w:val="20"/>
          <w:szCs w:val="20"/>
          <w:lang w:val="en-CA"/>
        </w:rPr>
      </w:pPr>
    </w:p>
    <w:p w14:paraId="0AD8686D" w14:textId="77777777" w:rsidR="006451C3" w:rsidRPr="003A176D" w:rsidRDefault="006451C3" w:rsidP="00015061">
      <w:pPr>
        <w:autoSpaceDE w:val="0"/>
        <w:autoSpaceDN w:val="0"/>
        <w:adjustRightInd w:val="0"/>
        <w:ind w:left="708"/>
        <w:jc w:val="both"/>
        <w:rPr>
          <w:rFonts w:asciiTheme="minorHAnsi" w:eastAsiaTheme="minorHAnsi" w:hAnsiTheme="minorHAnsi" w:cstheme="minorHAnsi"/>
          <w:sz w:val="20"/>
          <w:szCs w:val="20"/>
          <w:lang w:val="en-CA"/>
        </w:rPr>
      </w:pPr>
    </w:p>
    <w:p w14:paraId="7DBE8663" w14:textId="7AB8916F" w:rsidR="007B2F98" w:rsidRPr="003A176D" w:rsidRDefault="007B2F98" w:rsidP="007B2F98">
      <w:pPr>
        <w:pStyle w:val="ListParagraph"/>
        <w:autoSpaceDE w:val="0"/>
        <w:autoSpaceDN w:val="0"/>
        <w:adjustRightInd w:val="0"/>
        <w:spacing w:after="0" w:line="240" w:lineRule="auto"/>
        <w:jc w:val="both"/>
        <w:rPr>
          <w:rFonts w:asciiTheme="minorHAnsi" w:hAnsiTheme="minorHAnsi" w:cstheme="minorHAnsi"/>
          <w:sz w:val="20"/>
          <w:szCs w:val="20"/>
        </w:rPr>
      </w:pPr>
    </w:p>
    <w:p w14:paraId="15B053A7" w14:textId="2885D8C1" w:rsidR="00E623A6" w:rsidRPr="003A176D" w:rsidRDefault="00E623A6" w:rsidP="007B2F98">
      <w:pPr>
        <w:pStyle w:val="ListParagraph"/>
        <w:autoSpaceDE w:val="0"/>
        <w:autoSpaceDN w:val="0"/>
        <w:adjustRightInd w:val="0"/>
        <w:spacing w:after="0" w:line="240" w:lineRule="auto"/>
        <w:jc w:val="both"/>
        <w:rPr>
          <w:rFonts w:asciiTheme="minorHAnsi" w:hAnsiTheme="minorHAnsi" w:cstheme="minorHAnsi"/>
          <w:sz w:val="20"/>
          <w:szCs w:val="20"/>
        </w:rPr>
      </w:pPr>
    </w:p>
    <w:p w14:paraId="31D92899" w14:textId="72F7502B" w:rsidR="00E623A6" w:rsidRPr="003A176D" w:rsidRDefault="00E623A6" w:rsidP="007B2F98">
      <w:pPr>
        <w:pStyle w:val="ListParagraph"/>
        <w:autoSpaceDE w:val="0"/>
        <w:autoSpaceDN w:val="0"/>
        <w:adjustRightInd w:val="0"/>
        <w:spacing w:after="0" w:line="240" w:lineRule="auto"/>
        <w:jc w:val="both"/>
        <w:rPr>
          <w:rFonts w:asciiTheme="minorHAnsi" w:hAnsiTheme="minorHAnsi" w:cstheme="minorHAnsi"/>
          <w:sz w:val="20"/>
          <w:szCs w:val="20"/>
        </w:rPr>
      </w:pPr>
    </w:p>
    <w:p w14:paraId="14CB729E" w14:textId="77777777" w:rsidR="00E623A6" w:rsidRPr="003A176D" w:rsidRDefault="00E623A6" w:rsidP="007B2F98">
      <w:pPr>
        <w:pStyle w:val="ListParagraph"/>
        <w:autoSpaceDE w:val="0"/>
        <w:autoSpaceDN w:val="0"/>
        <w:adjustRightInd w:val="0"/>
        <w:spacing w:after="0" w:line="240" w:lineRule="auto"/>
        <w:jc w:val="both"/>
        <w:rPr>
          <w:rFonts w:asciiTheme="minorHAnsi" w:hAnsiTheme="minorHAnsi" w:cstheme="minorHAnsi"/>
          <w:sz w:val="20"/>
          <w:szCs w:val="20"/>
        </w:rPr>
      </w:pPr>
    </w:p>
    <w:p w14:paraId="119829EE" w14:textId="3A328320" w:rsidR="007B2F98" w:rsidRPr="003A176D" w:rsidRDefault="007B2F98" w:rsidP="007B2F98">
      <w:pPr>
        <w:autoSpaceDE w:val="0"/>
        <w:autoSpaceDN w:val="0"/>
        <w:adjustRightInd w:val="0"/>
        <w:spacing w:after="0" w:line="240" w:lineRule="auto"/>
        <w:jc w:val="both"/>
        <w:rPr>
          <w:rFonts w:cs="Calibri"/>
          <w:b/>
          <w:bCs/>
          <w:sz w:val="20"/>
          <w:szCs w:val="20"/>
        </w:rPr>
      </w:pPr>
      <w:r w:rsidRPr="003A176D">
        <w:rPr>
          <w:rFonts w:cs="Calibri"/>
          <w:b/>
          <w:bCs/>
          <w:sz w:val="20"/>
          <w:szCs w:val="20"/>
        </w:rPr>
        <w:lastRenderedPageBreak/>
        <w:t>5.     Acquisition of FansUnite Holdings Inc. (continued)</w:t>
      </w:r>
    </w:p>
    <w:p w14:paraId="713A513B" w14:textId="77777777" w:rsidR="007B2F98" w:rsidRPr="003A176D" w:rsidRDefault="007B2F98" w:rsidP="007B2F98">
      <w:pPr>
        <w:pStyle w:val="ListParagraph"/>
        <w:autoSpaceDE w:val="0"/>
        <w:autoSpaceDN w:val="0"/>
        <w:adjustRightInd w:val="0"/>
        <w:spacing w:after="0" w:line="240" w:lineRule="auto"/>
        <w:jc w:val="both"/>
        <w:rPr>
          <w:rFonts w:asciiTheme="minorHAnsi" w:hAnsiTheme="minorHAnsi" w:cstheme="minorHAnsi"/>
          <w:sz w:val="20"/>
          <w:szCs w:val="20"/>
        </w:rPr>
      </w:pPr>
    </w:p>
    <w:p w14:paraId="324DCC67" w14:textId="6EB0551F" w:rsidR="00015061" w:rsidRPr="003A176D" w:rsidRDefault="00015061" w:rsidP="007D0666">
      <w:pPr>
        <w:pStyle w:val="ListParagraph"/>
        <w:numPr>
          <w:ilvl w:val="0"/>
          <w:numId w:val="8"/>
        </w:numPr>
        <w:autoSpaceDE w:val="0"/>
        <w:autoSpaceDN w:val="0"/>
        <w:adjustRightInd w:val="0"/>
        <w:spacing w:after="0" w:line="240" w:lineRule="auto"/>
        <w:ind w:left="720" w:hanging="360"/>
        <w:jc w:val="both"/>
        <w:rPr>
          <w:rFonts w:asciiTheme="minorHAnsi" w:hAnsiTheme="minorHAnsi" w:cstheme="minorHAnsi"/>
          <w:sz w:val="20"/>
          <w:szCs w:val="20"/>
        </w:rPr>
      </w:pPr>
      <w:r w:rsidRPr="003A176D">
        <w:rPr>
          <w:rFonts w:asciiTheme="minorHAnsi" w:hAnsiTheme="minorHAnsi" w:cstheme="minorHAnsi"/>
          <w:sz w:val="20"/>
          <w:szCs w:val="20"/>
        </w:rPr>
        <w:t>The fair value of all the consideration given and charged to listing expense was comprised of:</w:t>
      </w:r>
    </w:p>
    <w:p w14:paraId="6DA764A8" w14:textId="77777777" w:rsidR="00015061" w:rsidRPr="003A176D" w:rsidRDefault="00015061" w:rsidP="0067043C">
      <w:pPr>
        <w:pStyle w:val="NoSpacing"/>
      </w:pPr>
    </w:p>
    <w:tbl>
      <w:tblPr>
        <w:tblW w:w="8637" w:type="dxa"/>
        <w:tblInd w:w="720" w:type="dxa"/>
        <w:tblLook w:val="06A0" w:firstRow="1" w:lastRow="0" w:firstColumn="1" w:lastColumn="0" w:noHBand="1" w:noVBand="1"/>
      </w:tblPr>
      <w:tblGrid>
        <w:gridCol w:w="439"/>
        <w:gridCol w:w="6524"/>
        <w:gridCol w:w="318"/>
        <w:gridCol w:w="1356"/>
      </w:tblGrid>
      <w:tr w:rsidR="00015061" w:rsidRPr="003A176D" w14:paraId="2081A06A" w14:textId="77777777" w:rsidTr="00E623A6">
        <w:trPr>
          <w:trHeight w:val="21"/>
        </w:trPr>
        <w:tc>
          <w:tcPr>
            <w:tcW w:w="6963" w:type="dxa"/>
            <w:gridSpan w:val="2"/>
            <w:shd w:val="clear" w:color="auto" w:fill="auto"/>
            <w:noWrap/>
            <w:vAlign w:val="bottom"/>
            <w:hideMark/>
          </w:tcPr>
          <w:p w14:paraId="49CD67AF" w14:textId="42D12AEC"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 xml:space="preserve">Fair value of the common shares at amalgamation </w:t>
            </w:r>
            <w:r w:rsidR="0067043C" w:rsidRPr="003A176D">
              <w:rPr>
                <w:rFonts w:asciiTheme="minorHAnsi" w:hAnsiTheme="minorHAnsi" w:cstheme="minorHAnsi"/>
                <w:sz w:val="20"/>
                <w:szCs w:val="20"/>
                <w:lang w:val="en-CA" w:eastAsia="en-CA"/>
              </w:rPr>
              <w:t>d</w:t>
            </w:r>
            <w:r w:rsidRPr="003A176D">
              <w:rPr>
                <w:rFonts w:asciiTheme="minorHAnsi" w:hAnsiTheme="minorHAnsi" w:cstheme="minorHAnsi"/>
                <w:sz w:val="20"/>
                <w:szCs w:val="20"/>
                <w:lang w:val="en-CA" w:eastAsia="en-CA"/>
              </w:rPr>
              <w:t>ate</w:t>
            </w:r>
          </w:p>
        </w:tc>
        <w:tc>
          <w:tcPr>
            <w:tcW w:w="318" w:type="dxa"/>
            <w:vAlign w:val="bottom"/>
          </w:tcPr>
          <w:p w14:paraId="680F78B7" w14:textId="77777777"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w:t>
            </w:r>
          </w:p>
        </w:tc>
        <w:tc>
          <w:tcPr>
            <w:tcW w:w="1356" w:type="dxa"/>
            <w:shd w:val="clear" w:color="auto" w:fill="auto"/>
            <w:noWrap/>
            <w:vAlign w:val="bottom"/>
            <w:hideMark/>
          </w:tcPr>
          <w:p w14:paraId="34970402" w14:textId="3D358312" w:rsidR="00015061" w:rsidRPr="003A176D" w:rsidRDefault="00015061"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5,009,900</w:t>
            </w:r>
          </w:p>
        </w:tc>
      </w:tr>
      <w:tr w:rsidR="0067043C" w:rsidRPr="003A176D" w14:paraId="45AB91E3" w14:textId="77777777" w:rsidTr="00E623A6">
        <w:trPr>
          <w:trHeight w:val="21"/>
        </w:trPr>
        <w:tc>
          <w:tcPr>
            <w:tcW w:w="6963" w:type="dxa"/>
            <w:gridSpan w:val="2"/>
            <w:shd w:val="clear" w:color="auto" w:fill="auto"/>
            <w:noWrap/>
            <w:vAlign w:val="bottom"/>
          </w:tcPr>
          <w:p w14:paraId="70BED26A" w14:textId="3B5F852F" w:rsidR="0067043C" w:rsidRPr="003A176D" w:rsidRDefault="0067043C"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Fair value of warrants assumed at amalgamation date</w:t>
            </w:r>
          </w:p>
        </w:tc>
        <w:tc>
          <w:tcPr>
            <w:tcW w:w="318" w:type="dxa"/>
            <w:vAlign w:val="bottom"/>
          </w:tcPr>
          <w:p w14:paraId="639B2451" w14:textId="77777777" w:rsidR="0067043C" w:rsidRPr="003A176D" w:rsidRDefault="0067043C" w:rsidP="0067043C">
            <w:pPr>
              <w:pStyle w:val="NoSpacing"/>
              <w:rPr>
                <w:rFonts w:asciiTheme="minorHAnsi" w:hAnsiTheme="minorHAnsi" w:cstheme="minorHAnsi"/>
                <w:sz w:val="20"/>
                <w:szCs w:val="20"/>
                <w:lang w:val="en-CA" w:eastAsia="en-CA"/>
              </w:rPr>
            </w:pPr>
          </w:p>
        </w:tc>
        <w:tc>
          <w:tcPr>
            <w:tcW w:w="1356" w:type="dxa"/>
            <w:shd w:val="clear" w:color="auto" w:fill="auto"/>
            <w:noWrap/>
            <w:vAlign w:val="bottom"/>
          </w:tcPr>
          <w:p w14:paraId="51CD2259" w14:textId="0D6DD174" w:rsidR="0067043C" w:rsidRPr="003A176D" w:rsidRDefault="0067043C"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266,397</w:t>
            </w:r>
          </w:p>
        </w:tc>
      </w:tr>
      <w:tr w:rsidR="0067043C" w:rsidRPr="003A176D" w14:paraId="4BDD674B" w14:textId="77777777" w:rsidTr="00E623A6">
        <w:trPr>
          <w:trHeight w:val="21"/>
        </w:trPr>
        <w:tc>
          <w:tcPr>
            <w:tcW w:w="6963" w:type="dxa"/>
            <w:gridSpan w:val="2"/>
            <w:shd w:val="clear" w:color="auto" w:fill="auto"/>
            <w:noWrap/>
            <w:vAlign w:val="bottom"/>
          </w:tcPr>
          <w:p w14:paraId="2C91A2D1" w14:textId="60A22C0E" w:rsidR="0067043C" w:rsidRPr="003A176D" w:rsidRDefault="0067043C"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Fair value of finder’s shares issued in connection with amalgamation</w:t>
            </w:r>
          </w:p>
        </w:tc>
        <w:tc>
          <w:tcPr>
            <w:tcW w:w="318" w:type="dxa"/>
            <w:vAlign w:val="bottom"/>
          </w:tcPr>
          <w:p w14:paraId="6A1FE3D2" w14:textId="77777777" w:rsidR="0067043C" w:rsidRPr="003A176D" w:rsidRDefault="0067043C" w:rsidP="0067043C">
            <w:pPr>
              <w:pStyle w:val="NoSpacing"/>
              <w:rPr>
                <w:rFonts w:asciiTheme="minorHAnsi" w:hAnsiTheme="minorHAnsi" w:cstheme="minorHAnsi"/>
                <w:sz w:val="20"/>
                <w:szCs w:val="20"/>
                <w:lang w:val="en-CA" w:eastAsia="en-CA"/>
              </w:rPr>
            </w:pPr>
          </w:p>
        </w:tc>
        <w:tc>
          <w:tcPr>
            <w:tcW w:w="1356" w:type="dxa"/>
            <w:shd w:val="clear" w:color="auto" w:fill="auto"/>
            <w:noWrap/>
            <w:vAlign w:val="bottom"/>
          </w:tcPr>
          <w:p w14:paraId="6473DC75" w14:textId="05BEA6C9" w:rsidR="0067043C" w:rsidRPr="003A176D" w:rsidRDefault="0067043C"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1,176,571</w:t>
            </w:r>
          </w:p>
        </w:tc>
      </w:tr>
      <w:tr w:rsidR="0067043C" w:rsidRPr="003A176D" w14:paraId="432CDB3E" w14:textId="77777777" w:rsidTr="00E623A6">
        <w:trPr>
          <w:trHeight w:val="21"/>
        </w:trPr>
        <w:tc>
          <w:tcPr>
            <w:tcW w:w="6963" w:type="dxa"/>
            <w:gridSpan w:val="2"/>
            <w:tcBorders>
              <w:bottom w:val="single" w:sz="4" w:space="0" w:color="auto"/>
            </w:tcBorders>
            <w:shd w:val="clear" w:color="auto" w:fill="auto"/>
            <w:noWrap/>
            <w:vAlign w:val="bottom"/>
          </w:tcPr>
          <w:p w14:paraId="5F7BAB61" w14:textId="014EC94D" w:rsidR="0067043C" w:rsidRPr="003A176D" w:rsidRDefault="0067043C"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Fair value of shares issued in connection with corporate advisory fees</w:t>
            </w:r>
          </w:p>
        </w:tc>
        <w:tc>
          <w:tcPr>
            <w:tcW w:w="318" w:type="dxa"/>
            <w:tcBorders>
              <w:bottom w:val="single" w:sz="4" w:space="0" w:color="auto"/>
            </w:tcBorders>
            <w:vAlign w:val="bottom"/>
          </w:tcPr>
          <w:p w14:paraId="266A94D0" w14:textId="77777777" w:rsidR="0067043C" w:rsidRPr="003A176D" w:rsidRDefault="0067043C" w:rsidP="0067043C">
            <w:pPr>
              <w:pStyle w:val="NoSpacing"/>
              <w:rPr>
                <w:rFonts w:asciiTheme="minorHAnsi" w:hAnsiTheme="minorHAnsi" w:cstheme="minorHAnsi"/>
                <w:sz w:val="20"/>
                <w:szCs w:val="20"/>
                <w:lang w:val="en-CA" w:eastAsia="en-CA"/>
              </w:rPr>
            </w:pPr>
          </w:p>
        </w:tc>
        <w:tc>
          <w:tcPr>
            <w:tcW w:w="1356" w:type="dxa"/>
            <w:tcBorders>
              <w:bottom w:val="single" w:sz="4" w:space="0" w:color="auto"/>
            </w:tcBorders>
            <w:shd w:val="clear" w:color="auto" w:fill="auto"/>
            <w:noWrap/>
            <w:vAlign w:val="bottom"/>
          </w:tcPr>
          <w:p w14:paraId="61DBAA9B" w14:textId="4E21AE3E" w:rsidR="0067043C" w:rsidRPr="003A176D" w:rsidRDefault="0067043C"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490,000</w:t>
            </w:r>
          </w:p>
        </w:tc>
      </w:tr>
      <w:tr w:rsidR="0067043C" w:rsidRPr="003A176D" w14:paraId="3BF59223" w14:textId="77777777" w:rsidTr="00E623A6">
        <w:trPr>
          <w:trHeight w:val="21"/>
        </w:trPr>
        <w:tc>
          <w:tcPr>
            <w:tcW w:w="6963" w:type="dxa"/>
            <w:gridSpan w:val="2"/>
            <w:tcBorders>
              <w:top w:val="single" w:sz="4" w:space="0" w:color="auto"/>
            </w:tcBorders>
            <w:shd w:val="clear" w:color="auto" w:fill="auto"/>
            <w:noWrap/>
            <w:vAlign w:val="bottom"/>
          </w:tcPr>
          <w:p w14:paraId="5BB28B5C" w14:textId="5804A772" w:rsidR="0067043C" w:rsidRPr="003A176D" w:rsidRDefault="0067043C" w:rsidP="0067043C">
            <w:pPr>
              <w:pStyle w:val="NoSpacing"/>
              <w:rPr>
                <w:rFonts w:asciiTheme="minorHAnsi" w:hAnsiTheme="minorHAnsi" w:cstheme="minorHAnsi"/>
                <w:sz w:val="20"/>
                <w:szCs w:val="20"/>
                <w:lang w:val="en-CA" w:eastAsia="en-CA"/>
              </w:rPr>
            </w:pPr>
          </w:p>
        </w:tc>
        <w:tc>
          <w:tcPr>
            <w:tcW w:w="318" w:type="dxa"/>
            <w:tcBorders>
              <w:top w:val="single" w:sz="4" w:space="0" w:color="auto"/>
            </w:tcBorders>
            <w:vAlign w:val="bottom"/>
          </w:tcPr>
          <w:p w14:paraId="6B99330B" w14:textId="77777777" w:rsidR="0067043C" w:rsidRPr="003A176D" w:rsidRDefault="0067043C" w:rsidP="0067043C">
            <w:pPr>
              <w:pStyle w:val="NoSpacing"/>
              <w:rPr>
                <w:rFonts w:asciiTheme="minorHAnsi" w:hAnsiTheme="minorHAnsi" w:cstheme="minorHAnsi"/>
                <w:sz w:val="20"/>
                <w:szCs w:val="20"/>
                <w:lang w:val="en-CA" w:eastAsia="en-CA"/>
              </w:rPr>
            </w:pPr>
          </w:p>
        </w:tc>
        <w:tc>
          <w:tcPr>
            <w:tcW w:w="1356" w:type="dxa"/>
            <w:tcBorders>
              <w:top w:val="single" w:sz="4" w:space="0" w:color="auto"/>
            </w:tcBorders>
            <w:shd w:val="clear" w:color="auto" w:fill="auto"/>
            <w:noWrap/>
            <w:vAlign w:val="bottom"/>
          </w:tcPr>
          <w:p w14:paraId="6F48190A" w14:textId="60ED2CB4" w:rsidR="0067043C" w:rsidRPr="003A176D" w:rsidRDefault="0067043C"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6,942,888</w:t>
            </w:r>
          </w:p>
        </w:tc>
      </w:tr>
      <w:tr w:rsidR="0067043C" w:rsidRPr="003A176D" w14:paraId="2D421CC9" w14:textId="77777777" w:rsidTr="00E623A6">
        <w:trPr>
          <w:trHeight w:val="21"/>
        </w:trPr>
        <w:tc>
          <w:tcPr>
            <w:tcW w:w="6963" w:type="dxa"/>
            <w:gridSpan w:val="2"/>
            <w:shd w:val="clear" w:color="auto" w:fill="auto"/>
            <w:noWrap/>
            <w:vAlign w:val="bottom"/>
          </w:tcPr>
          <w:p w14:paraId="1ADE0FC2" w14:textId="77777777" w:rsidR="0067043C" w:rsidRPr="003A176D" w:rsidRDefault="0067043C" w:rsidP="0067043C">
            <w:pPr>
              <w:pStyle w:val="NoSpacing"/>
              <w:rPr>
                <w:rFonts w:asciiTheme="minorHAnsi" w:hAnsiTheme="minorHAnsi" w:cstheme="minorHAnsi"/>
                <w:sz w:val="20"/>
                <w:szCs w:val="20"/>
                <w:lang w:val="en-CA" w:eastAsia="en-CA"/>
              </w:rPr>
            </w:pPr>
          </w:p>
        </w:tc>
        <w:tc>
          <w:tcPr>
            <w:tcW w:w="318" w:type="dxa"/>
            <w:vAlign w:val="bottom"/>
          </w:tcPr>
          <w:p w14:paraId="540F4251" w14:textId="77777777" w:rsidR="0067043C" w:rsidRPr="003A176D" w:rsidRDefault="0067043C" w:rsidP="0067043C">
            <w:pPr>
              <w:pStyle w:val="NoSpacing"/>
              <w:rPr>
                <w:rFonts w:asciiTheme="minorHAnsi" w:hAnsiTheme="minorHAnsi" w:cstheme="minorHAnsi"/>
                <w:sz w:val="20"/>
                <w:szCs w:val="20"/>
                <w:lang w:val="en-CA" w:eastAsia="en-CA"/>
              </w:rPr>
            </w:pPr>
          </w:p>
        </w:tc>
        <w:tc>
          <w:tcPr>
            <w:tcW w:w="1356" w:type="dxa"/>
            <w:shd w:val="clear" w:color="auto" w:fill="auto"/>
            <w:noWrap/>
            <w:vAlign w:val="bottom"/>
          </w:tcPr>
          <w:p w14:paraId="68700A25" w14:textId="77777777" w:rsidR="0067043C" w:rsidRPr="003A176D" w:rsidRDefault="0067043C" w:rsidP="0067043C">
            <w:pPr>
              <w:pStyle w:val="NoSpacing"/>
              <w:jc w:val="right"/>
              <w:rPr>
                <w:rFonts w:asciiTheme="minorHAnsi" w:hAnsiTheme="minorHAnsi" w:cstheme="minorHAnsi"/>
                <w:sz w:val="20"/>
                <w:szCs w:val="20"/>
                <w:lang w:val="en-CA" w:eastAsia="en-CA"/>
              </w:rPr>
            </w:pPr>
          </w:p>
        </w:tc>
      </w:tr>
      <w:tr w:rsidR="00015061" w:rsidRPr="003A176D" w14:paraId="4EC3E9CC" w14:textId="77777777" w:rsidTr="00E623A6">
        <w:trPr>
          <w:trHeight w:val="21"/>
        </w:trPr>
        <w:tc>
          <w:tcPr>
            <w:tcW w:w="6963" w:type="dxa"/>
            <w:gridSpan w:val="2"/>
            <w:shd w:val="clear" w:color="auto" w:fill="auto"/>
            <w:noWrap/>
            <w:vAlign w:val="bottom"/>
            <w:hideMark/>
          </w:tcPr>
          <w:p w14:paraId="7FBB5C52" w14:textId="7110E805"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Identifiable assets acquired – At March 26, 2020</w:t>
            </w:r>
          </w:p>
        </w:tc>
        <w:tc>
          <w:tcPr>
            <w:tcW w:w="318" w:type="dxa"/>
            <w:vAlign w:val="bottom"/>
          </w:tcPr>
          <w:p w14:paraId="51D1B431" w14:textId="77777777" w:rsidR="00015061" w:rsidRPr="003A176D" w:rsidRDefault="00015061" w:rsidP="0067043C">
            <w:pPr>
              <w:pStyle w:val="NoSpacing"/>
              <w:rPr>
                <w:rFonts w:asciiTheme="minorHAnsi" w:hAnsiTheme="minorHAnsi" w:cstheme="minorHAnsi"/>
                <w:sz w:val="20"/>
                <w:szCs w:val="20"/>
                <w:lang w:val="en-CA" w:eastAsia="en-CA"/>
              </w:rPr>
            </w:pPr>
          </w:p>
        </w:tc>
        <w:tc>
          <w:tcPr>
            <w:tcW w:w="1356" w:type="dxa"/>
            <w:shd w:val="clear" w:color="auto" w:fill="auto"/>
            <w:noWrap/>
            <w:vAlign w:val="bottom"/>
            <w:hideMark/>
          </w:tcPr>
          <w:p w14:paraId="74FAA61F" w14:textId="77777777" w:rsidR="00015061" w:rsidRPr="003A176D" w:rsidRDefault="00015061" w:rsidP="0067043C">
            <w:pPr>
              <w:pStyle w:val="NoSpacing"/>
              <w:jc w:val="right"/>
              <w:rPr>
                <w:rFonts w:asciiTheme="minorHAnsi" w:hAnsiTheme="minorHAnsi" w:cstheme="minorHAnsi"/>
                <w:sz w:val="20"/>
                <w:szCs w:val="20"/>
                <w:lang w:val="en-CA" w:eastAsia="en-CA"/>
              </w:rPr>
            </w:pPr>
          </w:p>
        </w:tc>
      </w:tr>
      <w:tr w:rsidR="00015061" w:rsidRPr="003A176D" w14:paraId="732BB5FA" w14:textId="77777777" w:rsidTr="00E623A6">
        <w:trPr>
          <w:trHeight w:val="21"/>
        </w:trPr>
        <w:tc>
          <w:tcPr>
            <w:tcW w:w="439" w:type="dxa"/>
            <w:shd w:val="clear" w:color="auto" w:fill="auto"/>
            <w:noWrap/>
            <w:vAlign w:val="bottom"/>
            <w:hideMark/>
          </w:tcPr>
          <w:p w14:paraId="4CED1EBC" w14:textId="77777777" w:rsidR="00015061" w:rsidRPr="003A176D" w:rsidRDefault="00015061" w:rsidP="0067043C">
            <w:pPr>
              <w:pStyle w:val="NoSpacing"/>
              <w:rPr>
                <w:rFonts w:asciiTheme="minorHAnsi" w:hAnsiTheme="minorHAnsi" w:cstheme="minorHAnsi"/>
                <w:sz w:val="20"/>
                <w:szCs w:val="20"/>
                <w:lang w:val="en-CA" w:eastAsia="en-CA"/>
              </w:rPr>
            </w:pPr>
          </w:p>
        </w:tc>
        <w:tc>
          <w:tcPr>
            <w:tcW w:w="6524" w:type="dxa"/>
            <w:shd w:val="clear" w:color="auto" w:fill="auto"/>
            <w:noWrap/>
            <w:vAlign w:val="bottom"/>
            <w:hideMark/>
          </w:tcPr>
          <w:p w14:paraId="3FC0F427" w14:textId="77777777"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 xml:space="preserve">Cash </w:t>
            </w:r>
          </w:p>
        </w:tc>
        <w:tc>
          <w:tcPr>
            <w:tcW w:w="318" w:type="dxa"/>
            <w:vAlign w:val="bottom"/>
          </w:tcPr>
          <w:p w14:paraId="68635E8C" w14:textId="24205B73" w:rsidR="00015061" w:rsidRPr="003A176D" w:rsidRDefault="00015061" w:rsidP="0067043C">
            <w:pPr>
              <w:pStyle w:val="NoSpacing"/>
              <w:rPr>
                <w:rFonts w:asciiTheme="minorHAnsi" w:hAnsiTheme="minorHAnsi" w:cstheme="minorHAnsi"/>
                <w:sz w:val="20"/>
                <w:szCs w:val="20"/>
                <w:lang w:val="en-CA" w:eastAsia="en-CA"/>
              </w:rPr>
            </w:pPr>
          </w:p>
        </w:tc>
        <w:tc>
          <w:tcPr>
            <w:tcW w:w="1356" w:type="dxa"/>
            <w:shd w:val="clear" w:color="auto" w:fill="auto"/>
            <w:noWrap/>
            <w:vAlign w:val="bottom"/>
            <w:hideMark/>
          </w:tcPr>
          <w:p w14:paraId="472F0DA8" w14:textId="3E0DC8E5" w:rsidR="00015061" w:rsidRPr="003A176D" w:rsidRDefault="00015061"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316,530</w:t>
            </w:r>
          </w:p>
        </w:tc>
      </w:tr>
      <w:tr w:rsidR="00015061" w:rsidRPr="003A176D" w14:paraId="467AE51A" w14:textId="77777777" w:rsidTr="00E623A6">
        <w:trPr>
          <w:trHeight w:val="66"/>
        </w:trPr>
        <w:tc>
          <w:tcPr>
            <w:tcW w:w="439" w:type="dxa"/>
            <w:shd w:val="clear" w:color="auto" w:fill="auto"/>
            <w:noWrap/>
            <w:vAlign w:val="bottom"/>
            <w:hideMark/>
          </w:tcPr>
          <w:p w14:paraId="6EF130C1" w14:textId="77777777" w:rsidR="00015061" w:rsidRPr="003A176D" w:rsidRDefault="00015061" w:rsidP="0067043C">
            <w:pPr>
              <w:pStyle w:val="NoSpacing"/>
              <w:rPr>
                <w:rFonts w:asciiTheme="minorHAnsi" w:hAnsiTheme="minorHAnsi" w:cstheme="minorHAnsi"/>
                <w:sz w:val="20"/>
                <w:szCs w:val="20"/>
                <w:lang w:val="en-CA" w:eastAsia="en-CA"/>
              </w:rPr>
            </w:pPr>
          </w:p>
        </w:tc>
        <w:tc>
          <w:tcPr>
            <w:tcW w:w="6524" w:type="dxa"/>
            <w:shd w:val="clear" w:color="auto" w:fill="auto"/>
            <w:noWrap/>
            <w:vAlign w:val="bottom"/>
            <w:hideMark/>
          </w:tcPr>
          <w:p w14:paraId="35E83C8C" w14:textId="77777777"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Receivables</w:t>
            </w:r>
          </w:p>
        </w:tc>
        <w:tc>
          <w:tcPr>
            <w:tcW w:w="318" w:type="dxa"/>
            <w:vAlign w:val="bottom"/>
          </w:tcPr>
          <w:p w14:paraId="29679802" w14:textId="77777777" w:rsidR="00015061" w:rsidRPr="003A176D" w:rsidRDefault="00015061" w:rsidP="0067043C">
            <w:pPr>
              <w:pStyle w:val="NoSpacing"/>
              <w:rPr>
                <w:rFonts w:asciiTheme="minorHAnsi" w:hAnsiTheme="minorHAnsi" w:cstheme="minorHAnsi"/>
                <w:sz w:val="20"/>
                <w:szCs w:val="20"/>
                <w:lang w:val="en-CA" w:eastAsia="en-CA"/>
              </w:rPr>
            </w:pPr>
          </w:p>
        </w:tc>
        <w:tc>
          <w:tcPr>
            <w:tcW w:w="1356" w:type="dxa"/>
            <w:shd w:val="clear" w:color="auto" w:fill="auto"/>
            <w:noWrap/>
            <w:vAlign w:val="bottom"/>
            <w:hideMark/>
          </w:tcPr>
          <w:p w14:paraId="063F53B4" w14:textId="27688C6A" w:rsidR="00015061" w:rsidRPr="003A176D" w:rsidRDefault="000F01CB"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157,103</w:t>
            </w:r>
          </w:p>
        </w:tc>
      </w:tr>
      <w:tr w:rsidR="00015061" w:rsidRPr="003A176D" w14:paraId="4B6AD8FD" w14:textId="77777777" w:rsidTr="00E623A6">
        <w:trPr>
          <w:trHeight w:val="21"/>
        </w:trPr>
        <w:tc>
          <w:tcPr>
            <w:tcW w:w="439" w:type="dxa"/>
            <w:tcBorders>
              <w:bottom w:val="single" w:sz="4" w:space="0" w:color="auto"/>
            </w:tcBorders>
            <w:shd w:val="clear" w:color="auto" w:fill="auto"/>
            <w:noWrap/>
            <w:vAlign w:val="bottom"/>
            <w:hideMark/>
          </w:tcPr>
          <w:p w14:paraId="6C3D0CA7" w14:textId="77777777" w:rsidR="00015061" w:rsidRPr="003A176D" w:rsidRDefault="00015061" w:rsidP="0067043C">
            <w:pPr>
              <w:pStyle w:val="NoSpacing"/>
              <w:rPr>
                <w:rFonts w:asciiTheme="minorHAnsi" w:hAnsiTheme="minorHAnsi" w:cstheme="minorHAnsi"/>
                <w:sz w:val="20"/>
                <w:szCs w:val="20"/>
                <w:lang w:val="en-CA" w:eastAsia="en-CA"/>
              </w:rPr>
            </w:pPr>
          </w:p>
        </w:tc>
        <w:tc>
          <w:tcPr>
            <w:tcW w:w="6524" w:type="dxa"/>
            <w:tcBorders>
              <w:bottom w:val="single" w:sz="4" w:space="0" w:color="auto"/>
            </w:tcBorders>
            <w:shd w:val="clear" w:color="auto" w:fill="auto"/>
            <w:noWrap/>
            <w:vAlign w:val="bottom"/>
            <w:hideMark/>
          </w:tcPr>
          <w:p w14:paraId="7D1B444C" w14:textId="77777777"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 xml:space="preserve">Trade payables </w:t>
            </w:r>
          </w:p>
        </w:tc>
        <w:tc>
          <w:tcPr>
            <w:tcW w:w="318" w:type="dxa"/>
            <w:tcBorders>
              <w:bottom w:val="single" w:sz="4" w:space="0" w:color="auto"/>
            </w:tcBorders>
            <w:vAlign w:val="bottom"/>
          </w:tcPr>
          <w:p w14:paraId="1A180B87" w14:textId="77777777" w:rsidR="00015061" w:rsidRPr="003A176D" w:rsidRDefault="00015061" w:rsidP="0067043C">
            <w:pPr>
              <w:pStyle w:val="NoSpacing"/>
              <w:rPr>
                <w:rFonts w:asciiTheme="minorHAnsi" w:hAnsiTheme="minorHAnsi" w:cstheme="minorHAnsi"/>
                <w:sz w:val="20"/>
                <w:szCs w:val="20"/>
                <w:lang w:val="en-CA" w:eastAsia="en-CA"/>
              </w:rPr>
            </w:pPr>
          </w:p>
        </w:tc>
        <w:tc>
          <w:tcPr>
            <w:tcW w:w="1356" w:type="dxa"/>
            <w:tcBorders>
              <w:bottom w:val="single" w:sz="4" w:space="0" w:color="auto"/>
            </w:tcBorders>
            <w:shd w:val="clear" w:color="auto" w:fill="auto"/>
            <w:noWrap/>
            <w:vAlign w:val="bottom"/>
            <w:hideMark/>
          </w:tcPr>
          <w:p w14:paraId="277EED85" w14:textId="4841F18D" w:rsidR="00015061" w:rsidRPr="003A176D" w:rsidRDefault="00015061"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w:t>
            </w:r>
            <w:r w:rsidR="000F01CB" w:rsidRPr="003A176D">
              <w:rPr>
                <w:rFonts w:asciiTheme="minorHAnsi" w:hAnsiTheme="minorHAnsi" w:cstheme="minorHAnsi"/>
                <w:sz w:val="20"/>
                <w:szCs w:val="20"/>
                <w:lang w:val="en-CA" w:eastAsia="en-CA"/>
              </w:rPr>
              <w:t>290,926</w:t>
            </w:r>
            <w:r w:rsidRPr="003A176D">
              <w:rPr>
                <w:rFonts w:asciiTheme="minorHAnsi" w:hAnsiTheme="minorHAnsi" w:cstheme="minorHAnsi"/>
                <w:sz w:val="20"/>
                <w:szCs w:val="20"/>
                <w:lang w:val="en-CA" w:eastAsia="en-CA"/>
              </w:rPr>
              <w:t>)</w:t>
            </w:r>
          </w:p>
        </w:tc>
      </w:tr>
      <w:tr w:rsidR="00015061" w:rsidRPr="003A176D" w14:paraId="0A4D4A3D" w14:textId="77777777" w:rsidTr="00E623A6">
        <w:trPr>
          <w:trHeight w:val="21"/>
        </w:trPr>
        <w:tc>
          <w:tcPr>
            <w:tcW w:w="439" w:type="dxa"/>
            <w:tcBorders>
              <w:top w:val="single" w:sz="4" w:space="0" w:color="auto"/>
            </w:tcBorders>
            <w:shd w:val="clear" w:color="auto" w:fill="auto"/>
            <w:noWrap/>
            <w:vAlign w:val="bottom"/>
            <w:hideMark/>
          </w:tcPr>
          <w:p w14:paraId="5D133B4C" w14:textId="77777777" w:rsidR="00015061" w:rsidRPr="003A176D" w:rsidRDefault="00015061" w:rsidP="0067043C">
            <w:pPr>
              <w:pStyle w:val="NoSpacing"/>
              <w:rPr>
                <w:rFonts w:asciiTheme="minorHAnsi" w:hAnsiTheme="minorHAnsi" w:cstheme="minorHAnsi"/>
                <w:sz w:val="20"/>
                <w:szCs w:val="20"/>
                <w:lang w:val="en-CA" w:eastAsia="en-CA"/>
              </w:rPr>
            </w:pPr>
          </w:p>
        </w:tc>
        <w:tc>
          <w:tcPr>
            <w:tcW w:w="6524" w:type="dxa"/>
            <w:tcBorders>
              <w:top w:val="single" w:sz="4" w:space="0" w:color="auto"/>
            </w:tcBorders>
            <w:shd w:val="clear" w:color="auto" w:fill="auto"/>
            <w:noWrap/>
            <w:vAlign w:val="bottom"/>
            <w:hideMark/>
          </w:tcPr>
          <w:p w14:paraId="45D6C733" w14:textId="77777777" w:rsidR="00015061" w:rsidRPr="003A176D" w:rsidRDefault="00015061" w:rsidP="0067043C">
            <w:pPr>
              <w:pStyle w:val="NoSpacing"/>
              <w:rPr>
                <w:rFonts w:asciiTheme="minorHAnsi" w:hAnsiTheme="minorHAnsi" w:cstheme="minorHAnsi"/>
                <w:sz w:val="20"/>
                <w:szCs w:val="20"/>
                <w:lang w:val="en-CA" w:eastAsia="en-CA"/>
              </w:rPr>
            </w:pPr>
          </w:p>
        </w:tc>
        <w:tc>
          <w:tcPr>
            <w:tcW w:w="318" w:type="dxa"/>
            <w:tcBorders>
              <w:top w:val="single" w:sz="4" w:space="0" w:color="auto"/>
            </w:tcBorders>
            <w:vAlign w:val="bottom"/>
          </w:tcPr>
          <w:p w14:paraId="5BA4BB47" w14:textId="77777777" w:rsidR="00015061" w:rsidRPr="003A176D" w:rsidRDefault="00015061" w:rsidP="0067043C">
            <w:pPr>
              <w:pStyle w:val="NoSpacing"/>
              <w:rPr>
                <w:rFonts w:asciiTheme="minorHAnsi" w:hAnsiTheme="minorHAnsi" w:cstheme="minorHAnsi"/>
                <w:sz w:val="20"/>
                <w:szCs w:val="20"/>
                <w:lang w:val="en-CA" w:eastAsia="en-CA"/>
              </w:rPr>
            </w:pPr>
          </w:p>
        </w:tc>
        <w:tc>
          <w:tcPr>
            <w:tcW w:w="1356" w:type="dxa"/>
            <w:tcBorders>
              <w:top w:val="single" w:sz="4" w:space="0" w:color="auto"/>
            </w:tcBorders>
            <w:shd w:val="clear" w:color="auto" w:fill="auto"/>
            <w:noWrap/>
            <w:vAlign w:val="bottom"/>
            <w:hideMark/>
          </w:tcPr>
          <w:p w14:paraId="59B18522" w14:textId="5B1744F9" w:rsidR="00015061" w:rsidRPr="003A176D" w:rsidRDefault="0067043C"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182,707</w:t>
            </w:r>
          </w:p>
        </w:tc>
      </w:tr>
      <w:tr w:rsidR="00015061" w:rsidRPr="003A176D" w14:paraId="251FF564" w14:textId="77777777" w:rsidTr="00E623A6">
        <w:trPr>
          <w:trHeight w:val="21"/>
        </w:trPr>
        <w:tc>
          <w:tcPr>
            <w:tcW w:w="6963" w:type="dxa"/>
            <w:gridSpan w:val="2"/>
            <w:tcBorders>
              <w:bottom w:val="single" w:sz="4" w:space="0" w:color="auto"/>
            </w:tcBorders>
            <w:shd w:val="clear" w:color="auto" w:fill="auto"/>
            <w:noWrap/>
            <w:vAlign w:val="bottom"/>
          </w:tcPr>
          <w:p w14:paraId="5225B451" w14:textId="77777777" w:rsidR="00015061" w:rsidRPr="003A176D" w:rsidRDefault="00015061"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Unidentified assets acquired</w:t>
            </w:r>
          </w:p>
        </w:tc>
        <w:tc>
          <w:tcPr>
            <w:tcW w:w="318" w:type="dxa"/>
            <w:tcBorders>
              <w:bottom w:val="single" w:sz="4" w:space="0" w:color="auto"/>
            </w:tcBorders>
            <w:vAlign w:val="bottom"/>
          </w:tcPr>
          <w:p w14:paraId="0B835D13" w14:textId="77777777" w:rsidR="00015061" w:rsidRPr="003A176D" w:rsidRDefault="00015061" w:rsidP="0067043C">
            <w:pPr>
              <w:pStyle w:val="NoSpacing"/>
              <w:rPr>
                <w:rFonts w:asciiTheme="minorHAnsi" w:hAnsiTheme="minorHAnsi" w:cstheme="minorHAnsi"/>
                <w:sz w:val="20"/>
                <w:szCs w:val="20"/>
                <w:lang w:val="en-CA" w:eastAsia="en-CA"/>
              </w:rPr>
            </w:pPr>
          </w:p>
        </w:tc>
        <w:tc>
          <w:tcPr>
            <w:tcW w:w="1356" w:type="dxa"/>
            <w:tcBorders>
              <w:bottom w:val="single" w:sz="4" w:space="0" w:color="auto"/>
            </w:tcBorders>
            <w:shd w:val="clear" w:color="auto" w:fill="auto"/>
            <w:noWrap/>
            <w:vAlign w:val="bottom"/>
            <w:hideMark/>
          </w:tcPr>
          <w:p w14:paraId="4996469E" w14:textId="77777777" w:rsidR="00015061" w:rsidRPr="003A176D" w:rsidRDefault="00015061" w:rsidP="0067043C">
            <w:pPr>
              <w:pStyle w:val="NoSpacing"/>
              <w:jc w:val="right"/>
              <w:rPr>
                <w:rFonts w:asciiTheme="minorHAnsi" w:hAnsiTheme="minorHAnsi" w:cstheme="minorHAnsi"/>
                <w:sz w:val="20"/>
                <w:szCs w:val="20"/>
                <w:lang w:val="en-CA" w:eastAsia="en-CA"/>
              </w:rPr>
            </w:pPr>
          </w:p>
        </w:tc>
      </w:tr>
      <w:tr w:rsidR="007B08E5" w:rsidRPr="003A176D" w14:paraId="714D504A" w14:textId="77777777" w:rsidTr="003C1E27">
        <w:trPr>
          <w:trHeight w:val="21"/>
        </w:trPr>
        <w:tc>
          <w:tcPr>
            <w:tcW w:w="6963" w:type="dxa"/>
            <w:gridSpan w:val="2"/>
            <w:tcBorders>
              <w:top w:val="single" w:sz="4" w:space="0" w:color="auto"/>
              <w:bottom w:val="double" w:sz="4" w:space="0" w:color="auto"/>
            </w:tcBorders>
            <w:shd w:val="clear" w:color="auto" w:fill="auto"/>
            <w:noWrap/>
            <w:vAlign w:val="bottom"/>
            <w:hideMark/>
          </w:tcPr>
          <w:p w14:paraId="1A09F68D" w14:textId="507E32DD" w:rsidR="007B08E5" w:rsidRPr="003A176D" w:rsidRDefault="007B08E5"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Share based payments</w:t>
            </w:r>
          </w:p>
        </w:tc>
        <w:tc>
          <w:tcPr>
            <w:tcW w:w="318" w:type="dxa"/>
            <w:tcBorders>
              <w:top w:val="single" w:sz="4" w:space="0" w:color="auto"/>
              <w:bottom w:val="double" w:sz="4" w:space="0" w:color="auto"/>
            </w:tcBorders>
            <w:vAlign w:val="bottom"/>
          </w:tcPr>
          <w:p w14:paraId="0B444E33" w14:textId="3FC92F17" w:rsidR="007B08E5" w:rsidRPr="003A176D" w:rsidRDefault="007B08E5" w:rsidP="0067043C">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w:t>
            </w:r>
          </w:p>
        </w:tc>
        <w:tc>
          <w:tcPr>
            <w:tcW w:w="1356" w:type="dxa"/>
            <w:tcBorders>
              <w:top w:val="single" w:sz="4" w:space="0" w:color="auto"/>
              <w:bottom w:val="double" w:sz="4" w:space="0" w:color="auto"/>
            </w:tcBorders>
            <w:shd w:val="clear" w:color="auto" w:fill="auto"/>
            <w:noWrap/>
            <w:vAlign w:val="bottom"/>
            <w:hideMark/>
          </w:tcPr>
          <w:p w14:paraId="5678BF3C" w14:textId="6C4F000A" w:rsidR="007B08E5" w:rsidRPr="003A176D" w:rsidRDefault="007B08E5" w:rsidP="0067043C">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6,760,161</w:t>
            </w:r>
          </w:p>
        </w:tc>
      </w:tr>
    </w:tbl>
    <w:p w14:paraId="7572CA11" w14:textId="77777777" w:rsidR="00015061" w:rsidRPr="003A176D" w:rsidRDefault="00015061" w:rsidP="00015061">
      <w:pPr>
        <w:rPr>
          <w:rFonts w:asciiTheme="minorHAnsi" w:hAnsiTheme="minorHAnsi" w:cstheme="minorHAnsi"/>
          <w:bCs/>
          <w:sz w:val="20"/>
          <w:szCs w:val="20"/>
        </w:rPr>
      </w:pPr>
    </w:p>
    <w:p w14:paraId="4FBEF62C" w14:textId="3494EAD1" w:rsidR="00015061" w:rsidRPr="003A176D" w:rsidRDefault="00015061" w:rsidP="007D0666">
      <w:pPr>
        <w:pStyle w:val="ListParagraph"/>
        <w:numPr>
          <w:ilvl w:val="0"/>
          <w:numId w:val="8"/>
        </w:numPr>
        <w:ind w:left="720" w:hanging="360"/>
        <w:jc w:val="both"/>
        <w:rPr>
          <w:rFonts w:asciiTheme="minorHAnsi" w:hAnsiTheme="minorHAnsi" w:cstheme="minorHAnsi"/>
          <w:bCs/>
          <w:sz w:val="20"/>
          <w:szCs w:val="20"/>
        </w:rPr>
      </w:pPr>
      <w:r w:rsidRPr="003A176D">
        <w:rPr>
          <w:rFonts w:asciiTheme="minorHAnsi" w:hAnsiTheme="minorHAnsi" w:cstheme="minorHAnsi"/>
          <w:bCs/>
          <w:sz w:val="20"/>
          <w:szCs w:val="20"/>
        </w:rPr>
        <w:t xml:space="preserve">The Company paid a finder’s fee of </w:t>
      </w:r>
      <w:r w:rsidR="00A503C2" w:rsidRPr="003A176D">
        <w:rPr>
          <w:rFonts w:asciiTheme="minorHAnsi" w:hAnsiTheme="minorHAnsi" w:cstheme="minorHAnsi"/>
          <w:bCs/>
          <w:sz w:val="20"/>
          <w:szCs w:val="20"/>
        </w:rPr>
        <w:t>3,361,633</w:t>
      </w:r>
      <w:r w:rsidRPr="003A176D">
        <w:rPr>
          <w:rFonts w:asciiTheme="minorHAnsi" w:hAnsiTheme="minorHAnsi" w:cstheme="minorHAnsi"/>
          <w:bCs/>
          <w:sz w:val="20"/>
          <w:szCs w:val="20"/>
        </w:rPr>
        <w:t xml:space="preserve"> shares at the completion of the </w:t>
      </w:r>
      <w:r w:rsidR="00A503C2" w:rsidRPr="003A176D">
        <w:rPr>
          <w:rFonts w:asciiTheme="minorHAnsi" w:hAnsiTheme="minorHAnsi" w:cstheme="minorHAnsi"/>
          <w:bCs/>
          <w:sz w:val="20"/>
          <w:szCs w:val="20"/>
        </w:rPr>
        <w:t>amalgamation</w:t>
      </w:r>
      <w:r w:rsidRPr="003A176D">
        <w:rPr>
          <w:rFonts w:asciiTheme="minorHAnsi" w:hAnsiTheme="minorHAnsi" w:cstheme="minorHAnsi"/>
          <w:bCs/>
          <w:sz w:val="20"/>
          <w:szCs w:val="20"/>
        </w:rPr>
        <w:t>. Accordingly, the Company recorded the fair value of $</w:t>
      </w:r>
      <w:r w:rsidR="00A503C2" w:rsidRPr="003A176D">
        <w:rPr>
          <w:rFonts w:asciiTheme="minorHAnsi" w:hAnsiTheme="minorHAnsi" w:cstheme="minorHAnsi"/>
          <w:bCs/>
          <w:sz w:val="20"/>
          <w:szCs w:val="20"/>
        </w:rPr>
        <w:t>1,176,572 as share issuance costs</w:t>
      </w:r>
      <w:r w:rsidRPr="003A176D">
        <w:rPr>
          <w:rFonts w:asciiTheme="minorHAnsi" w:hAnsiTheme="minorHAnsi" w:cstheme="minorHAnsi"/>
          <w:bCs/>
          <w:sz w:val="20"/>
          <w:szCs w:val="20"/>
        </w:rPr>
        <w:t xml:space="preserve">. The Company incurred additional </w:t>
      </w:r>
      <w:r w:rsidR="00A503C2" w:rsidRPr="003A176D">
        <w:rPr>
          <w:rFonts w:asciiTheme="minorHAnsi" w:hAnsiTheme="minorHAnsi" w:cstheme="minorHAnsi"/>
          <w:bCs/>
          <w:sz w:val="20"/>
          <w:szCs w:val="20"/>
        </w:rPr>
        <w:t xml:space="preserve">share issuance costs </w:t>
      </w:r>
      <w:r w:rsidRPr="003A176D">
        <w:rPr>
          <w:rFonts w:asciiTheme="minorHAnsi" w:hAnsiTheme="minorHAnsi" w:cstheme="minorHAnsi"/>
          <w:bCs/>
          <w:sz w:val="20"/>
          <w:szCs w:val="20"/>
        </w:rPr>
        <w:t>of $</w:t>
      </w:r>
      <w:r w:rsidR="00A503C2" w:rsidRPr="003A176D">
        <w:rPr>
          <w:rFonts w:asciiTheme="minorHAnsi" w:hAnsiTheme="minorHAnsi" w:cstheme="minorHAnsi"/>
          <w:bCs/>
          <w:sz w:val="20"/>
          <w:szCs w:val="20"/>
        </w:rPr>
        <w:t>55,482</w:t>
      </w:r>
      <w:r w:rsidRPr="003A176D">
        <w:rPr>
          <w:rFonts w:asciiTheme="minorHAnsi" w:hAnsiTheme="minorHAnsi" w:cstheme="minorHAnsi"/>
          <w:bCs/>
          <w:sz w:val="20"/>
          <w:szCs w:val="20"/>
        </w:rPr>
        <w:t xml:space="preserve">. </w:t>
      </w:r>
    </w:p>
    <w:p w14:paraId="50011FFA" w14:textId="7109A3F7" w:rsidR="00556F25" w:rsidRPr="003A176D" w:rsidRDefault="00556F25" w:rsidP="00556F25">
      <w:pPr>
        <w:pStyle w:val="ListParagraph"/>
        <w:jc w:val="both"/>
        <w:rPr>
          <w:rFonts w:asciiTheme="minorHAnsi" w:hAnsiTheme="minorHAnsi" w:cstheme="minorHAnsi"/>
          <w:bCs/>
          <w:sz w:val="20"/>
          <w:szCs w:val="20"/>
        </w:rPr>
      </w:pPr>
    </w:p>
    <w:p w14:paraId="5BA69B1E" w14:textId="526D33ED" w:rsidR="00556F25" w:rsidRPr="003A176D" w:rsidRDefault="00556F25" w:rsidP="007D0666">
      <w:pPr>
        <w:pStyle w:val="ListParagraph"/>
        <w:numPr>
          <w:ilvl w:val="0"/>
          <w:numId w:val="8"/>
        </w:numPr>
        <w:ind w:left="720" w:hanging="360"/>
        <w:jc w:val="both"/>
        <w:rPr>
          <w:rFonts w:asciiTheme="minorHAnsi" w:hAnsiTheme="minorHAnsi" w:cstheme="minorHAnsi"/>
          <w:bCs/>
          <w:sz w:val="20"/>
          <w:szCs w:val="20"/>
        </w:rPr>
      </w:pPr>
      <w:r w:rsidRPr="003A176D">
        <w:rPr>
          <w:rFonts w:asciiTheme="minorHAnsi" w:hAnsiTheme="minorHAnsi" w:cstheme="minorHAnsi"/>
          <w:bCs/>
          <w:sz w:val="20"/>
          <w:szCs w:val="20"/>
        </w:rPr>
        <w:t>The Company paid a corporate advisory fee of 1,400,000 shares at the completion of the amalgamation. Accordingly, the Company recorded the fair value of $490,000 as share issuance costs.</w:t>
      </w:r>
    </w:p>
    <w:p w14:paraId="6BF6C388" w14:textId="77777777" w:rsidR="00015061" w:rsidRPr="003A176D" w:rsidRDefault="00015061" w:rsidP="00015061">
      <w:pPr>
        <w:pStyle w:val="ListParagraph"/>
        <w:jc w:val="both"/>
        <w:rPr>
          <w:rFonts w:asciiTheme="minorHAnsi" w:hAnsiTheme="minorHAnsi" w:cstheme="minorHAnsi"/>
          <w:bCs/>
          <w:sz w:val="20"/>
          <w:szCs w:val="20"/>
        </w:rPr>
      </w:pPr>
    </w:p>
    <w:p w14:paraId="74B83888" w14:textId="256CF6F0" w:rsidR="00015061" w:rsidRPr="003A176D" w:rsidRDefault="00015061" w:rsidP="007D0666">
      <w:pPr>
        <w:pStyle w:val="ListParagraph"/>
        <w:numPr>
          <w:ilvl w:val="0"/>
          <w:numId w:val="8"/>
        </w:numPr>
        <w:ind w:left="720" w:hanging="360"/>
        <w:jc w:val="both"/>
        <w:rPr>
          <w:rFonts w:asciiTheme="minorHAnsi" w:hAnsiTheme="minorHAnsi" w:cstheme="minorHAnsi"/>
          <w:bCs/>
          <w:sz w:val="20"/>
          <w:szCs w:val="20"/>
        </w:rPr>
      </w:pPr>
      <w:r w:rsidRPr="003A176D">
        <w:rPr>
          <w:rFonts w:asciiTheme="minorHAnsi" w:hAnsiTheme="minorHAnsi" w:cstheme="minorHAnsi"/>
          <w:bCs/>
          <w:sz w:val="20"/>
          <w:szCs w:val="20"/>
        </w:rPr>
        <w:t>The comparative figures as at December 31, 201</w:t>
      </w:r>
      <w:r w:rsidR="005932E1" w:rsidRPr="003A176D">
        <w:rPr>
          <w:rFonts w:asciiTheme="minorHAnsi" w:hAnsiTheme="minorHAnsi" w:cstheme="minorHAnsi"/>
          <w:bCs/>
          <w:sz w:val="20"/>
          <w:szCs w:val="20"/>
        </w:rPr>
        <w:t>9</w:t>
      </w:r>
      <w:r w:rsidRPr="003A176D">
        <w:rPr>
          <w:rFonts w:asciiTheme="minorHAnsi" w:hAnsiTheme="minorHAnsi" w:cstheme="minorHAnsi"/>
          <w:bCs/>
          <w:sz w:val="20"/>
          <w:szCs w:val="20"/>
        </w:rPr>
        <w:t xml:space="preserve"> and for the </w:t>
      </w:r>
      <w:r w:rsidR="005932E1" w:rsidRPr="003A176D">
        <w:rPr>
          <w:rFonts w:asciiTheme="minorHAnsi" w:hAnsiTheme="minorHAnsi" w:cstheme="minorHAnsi"/>
          <w:bCs/>
          <w:sz w:val="20"/>
          <w:szCs w:val="20"/>
        </w:rPr>
        <w:t xml:space="preserve">three </w:t>
      </w:r>
      <w:r w:rsidR="00774579" w:rsidRPr="003A176D">
        <w:rPr>
          <w:rFonts w:asciiTheme="minorHAnsi" w:hAnsiTheme="minorHAnsi" w:cstheme="minorHAnsi"/>
          <w:bCs/>
          <w:sz w:val="20"/>
          <w:szCs w:val="20"/>
        </w:rPr>
        <w:t xml:space="preserve">and six </w:t>
      </w:r>
      <w:r w:rsidR="005932E1" w:rsidRPr="003A176D">
        <w:rPr>
          <w:rFonts w:asciiTheme="minorHAnsi" w:hAnsiTheme="minorHAnsi" w:cstheme="minorHAnsi"/>
          <w:bCs/>
          <w:sz w:val="20"/>
          <w:szCs w:val="20"/>
        </w:rPr>
        <w:t xml:space="preserve">months ending </w:t>
      </w:r>
      <w:r w:rsidR="00774579" w:rsidRPr="003A176D">
        <w:rPr>
          <w:rFonts w:asciiTheme="minorHAnsi" w:hAnsiTheme="minorHAnsi" w:cstheme="minorHAnsi"/>
          <w:bCs/>
          <w:sz w:val="20"/>
          <w:szCs w:val="20"/>
        </w:rPr>
        <w:t>June 30</w:t>
      </w:r>
      <w:r w:rsidR="005932E1" w:rsidRPr="003A176D">
        <w:rPr>
          <w:rFonts w:asciiTheme="minorHAnsi" w:hAnsiTheme="minorHAnsi" w:cstheme="minorHAnsi"/>
          <w:bCs/>
          <w:sz w:val="20"/>
          <w:szCs w:val="20"/>
        </w:rPr>
        <w:t xml:space="preserve">, 2019 </w:t>
      </w:r>
      <w:r w:rsidRPr="003A176D">
        <w:rPr>
          <w:rFonts w:asciiTheme="minorHAnsi" w:hAnsiTheme="minorHAnsi" w:cstheme="minorHAnsi"/>
          <w:bCs/>
          <w:sz w:val="20"/>
          <w:szCs w:val="20"/>
        </w:rPr>
        <w:t xml:space="preserve">are those of </w:t>
      </w:r>
      <w:r w:rsidR="005932E1" w:rsidRPr="003A176D">
        <w:rPr>
          <w:rFonts w:asciiTheme="minorHAnsi" w:hAnsiTheme="minorHAnsi" w:cstheme="minorHAnsi"/>
          <w:bCs/>
          <w:sz w:val="20"/>
          <w:szCs w:val="20"/>
        </w:rPr>
        <w:t>FansUnite Holdings Inc</w:t>
      </w:r>
      <w:r w:rsidRPr="003A176D">
        <w:rPr>
          <w:rFonts w:asciiTheme="minorHAnsi" w:hAnsiTheme="minorHAnsi" w:cstheme="minorHAnsi"/>
          <w:bCs/>
          <w:sz w:val="20"/>
          <w:szCs w:val="20"/>
        </w:rPr>
        <w:t>.</w:t>
      </w:r>
    </w:p>
    <w:p w14:paraId="2B93FAE4" w14:textId="684CE68E" w:rsidR="00E10496" w:rsidRPr="003A176D" w:rsidRDefault="0094224A" w:rsidP="00E10496">
      <w:pPr>
        <w:autoSpaceDE w:val="0"/>
        <w:autoSpaceDN w:val="0"/>
        <w:adjustRightInd w:val="0"/>
        <w:spacing w:after="0" w:line="240" w:lineRule="auto"/>
        <w:jc w:val="both"/>
        <w:rPr>
          <w:rFonts w:cs="Calibri"/>
          <w:b/>
          <w:bCs/>
          <w:sz w:val="20"/>
          <w:szCs w:val="20"/>
        </w:rPr>
      </w:pPr>
      <w:r w:rsidRPr="003A176D">
        <w:rPr>
          <w:rFonts w:cs="Calibri"/>
          <w:b/>
          <w:bCs/>
          <w:sz w:val="20"/>
          <w:szCs w:val="20"/>
        </w:rPr>
        <w:t>6</w:t>
      </w:r>
      <w:r w:rsidR="007C1226" w:rsidRPr="003A176D">
        <w:rPr>
          <w:rFonts w:cs="Calibri"/>
          <w:b/>
          <w:bCs/>
          <w:sz w:val="20"/>
          <w:szCs w:val="20"/>
        </w:rPr>
        <w:t>.     Accounts Payable and Accrued Liabilities</w:t>
      </w:r>
    </w:p>
    <w:p w14:paraId="05A266CA" w14:textId="7AAB9ECF" w:rsidR="00E10496" w:rsidRPr="003A176D" w:rsidRDefault="00E10496" w:rsidP="002E6AE4">
      <w:pPr>
        <w:autoSpaceDE w:val="0"/>
        <w:autoSpaceDN w:val="0"/>
        <w:adjustRightInd w:val="0"/>
        <w:spacing w:after="0" w:line="240" w:lineRule="auto"/>
        <w:jc w:val="right"/>
        <w:rPr>
          <w:rFonts w:cs="Calibri"/>
          <w:b/>
          <w:bCs/>
          <w:sz w:val="20"/>
          <w:szCs w:val="20"/>
        </w:rPr>
      </w:pPr>
    </w:p>
    <w:tbl>
      <w:tblPr>
        <w:tblStyle w:val="TableGrid"/>
        <w:tblpPr w:leftFromText="180" w:rightFromText="180" w:vertAnchor="text" w:horzAnchor="page" w:tblpX="1862" w:tblpY="161"/>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318"/>
        <w:gridCol w:w="1531"/>
        <w:gridCol w:w="540"/>
        <w:gridCol w:w="1915"/>
      </w:tblGrid>
      <w:tr w:rsidR="007E68A5" w:rsidRPr="003A176D" w14:paraId="26ECE615" w14:textId="77777777" w:rsidTr="007B08E5">
        <w:trPr>
          <w:trHeight w:val="258"/>
        </w:trPr>
        <w:tc>
          <w:tcPr>
            <w:tcW w:w="4631" w:type="dxa"/>
            <w:tcBorders>
              <w:bottom w:val="single" w:sz="4" w:space="0" w:color="auto"/>
            </w:tcBorders>
          </w:tcPr>
          <w:p w14:paraId="453456F0" w14:textId="77777777" w:rsidR="007E68A5" w:rsidRPr="003A176D" w:rsidRDefault="007E68A5" w:rsidP="007E68A5">
            <w:pPr>
              <w:autoSpaceDE w:val="0"/>
              <w:autoSpaceDN w:val="0"/>
              <w:adjustRightInd w:val="0"/>
              <w:spacing w:after="0" w:line="240" w:lineRule="auto"/>
              <w:rPr>
                <w:rFonts w:cs="Calibri"/>
                <w:b/>
                <w:bCs/>
              </w:rPr>
            </w:pPr>
          </w:p>
        </w:tc>
        <w:tc>
          <w:tcPr>
            <w:tcW w:w="318" w:type="dxa"/>
            <w:tcBorders>
              <w:bottom w:val="single" w:sz="4" w:space="0" w:color="auto"/>
            </w:tcBorders>
          </w:tcPr>
          <w:p w14:paraId="03F7FDCC" w14:textId="77777777" w:rsidR="007E68A5" w:rsidRPr="003A176D" w:rsidRDefault="007E68A5" w:rsidP="007E68A5">
            <w:pPr>
              <w:autoSpaceDE w:val="0"/>
              <w:autoSpaceDN w:val="0"/>
              <w:adjustRightInd w:val="0"/>
              <w:spacing w:after="0" w:line="240" w:lineRule="auto"/>
              <w:rPr>
                <w:rFonts w:cs="Calibri"/>
                <w:b/>
                <w:bCs/>
              </w:rPr>
            </w:pPr>
          </w:p>
        </w:tc>
        <w:tc>
          <w:tcPr>
            <w:tcW w:w="1531" w:type="dxa"/>
            <w:tcBorders>
              <w:bottom w:val="single" w:sz="4" w:space="0" w:color="auto"/>
            </w:tcBorders>
          </w:tcPr>
          <w:p w14:paraId="5CA66184" w14:textId="7676D335" w:rsidR="007E68A5" w:rsidRPr="003A176D" w:rsidRDefault="00774579" w:rsidP="007E68A5">
            <w:pPr>
              <w:autoSpaceDE w:val="0"/>
              <w:autoSpaceDN w:val="0"/>
              <w:adjustRightInd w:val="0"/>
              <w:spacing w:after="0" w:line="240" w:lineRule="auto"/>
              <w:jc w:val="right"/>
              <w:rPr>
                <w:rFonts w:cs="Calibri"/>
                <w:b/>
                <w:bCs/>
              </w:rPr>
            </w:pPr>
            <w:r w:rsidRPr="003A176D">
              <w:rPr>
                <w:rFonts w:cs="Calibri"/>
                <w:b/>
                <w:bCs/>
              </w:rPr>
              <w:t>June 30</w:t>
            </w:r>
            <w:r w:rsidR="008B32C5" w:rsidRPr="003A176D">
              <w:rPr>
                <w:rFonts w:cs="Calibri"/>
                <w:b/>
                <w:bCs/>
              </w:rPr>
              <w:t>, 2020</w:t>
            </w:r>
          </w:p>
        </w:tc>
        <w:tc>
          <w:tcPr>
            <w:tcW w:w="540" w:type="dxa"/>
            <w:tcBorders>
              <w:bottom w:val="single" w:sz="4" w:space="0" w:color="auto"/>
            </w:tcBorders>
          </w:tcPr>
          <w:p w14:paraId="75F7F019" w14:textId="77777777" w:rsidR="007E68A5" w:rsidRPr="003A176D" w:rsidRDefault="007E68A5" w:rsidP="007E68A5">
            <w:pPr>
              <w:autoSpaceDE w:val="0"/>
              <w:autoSpaceDN w:val="0"/>
              <w:adjustRightInd w:val="0"/>
              <w:spacing w:after="0" w:line="240" w:lineRule="auto"/>
              <w:jc w:val="right"/>
              <w:rPr>
                <w:rFonts w:cs="Calibri"/>
                <w:b/>
                <w:bCs/>
              </w:rPr>
            </w:pPr>
          </w:p>
        </w:tc>
        <w:tc>
          <w:tcPr>
            <w:tcW w:w="1915" w:type="dxa"/>
            <w:tcBorders>
              <w:bottom w:val="single" w:sz="4" w:space="0" w:color="auto"/>
            </w:tcBorders>
          </w:tcPr>
          <w:p w14:paraId="43C2E58B" w14:textId="2B971345" w:rsidR="007E68A5" w:rsidRPr="003A176D" w:rsidRDefault="007E68A5" w:rsidP="007E68A5">
            <w:pPr>
              <w:autoSpaceDE w:val="0"/>
              <w:autoSpaceDN w:val="0"/>
              <w:adjustRightInd w:val="0"/>
              <w:spacing w:after="0" w:line="240" w:lineRule="auto"/>
              <w:jc w:val="right"/>
              <w:rPr>
                <w:rFonts w:cs="Calibri"/>
                <w:b/>
                <w:bCs/>
              </w:rPr>
            </w:pPr>
            <w:r w:rsidRPr="003A176D">
              <w:rPr>
                <w:rFonts w:cs="Calibri"/>
                <w:b/>
                <w:bCs/>
              </w:rPr>
              <w:t>December 31, 2019</w:t>
            </w:r>
          </w:p>
        </w:tc>
      </w:tr>
      <w:tr w:rsidR="007E68A5" w:rsidRPr="003A176D" w14:paraId="4367256A" w14:textId="77777777" w:rsidTr="007B08E5">
        <w:trPr>
          <w:trHeight w:val="150"/>
        </w:trPr>
        <w:tc>
          <w:tcPr>
            <w:tcW w:w="4631" w:type="dxa"/>
            <w:tcBorders>
              <w:top w:val="single" w:sz="4" w:space="0" w:color="auto"/>
            </w:tcBorders>
          </w:tcPr>
          <w:p w14:paraId="69436C46" w14:textId="77777777" w:rsidR="007E68A5" w:rsidRPr="003A176D" w:rsidRDefault="007E68A5" w:rsidP="007E68A5">
            <w:pPr>
              <w:autoSpaceDE w:val="0"/>
              <w:autoSpaceDN w:val="0"/>
              <w:adjustRightInd w:val="0"/>
              <w:spacing w:after="0" w:line="240" w:lineRule="auto"/>
              <w:rPr>
                <w:rFonts w:cs="Calibri"/>
              </w:rPr>
            </w:pPr>
          </w:p>
        </w:tc>
        <w:tc>
          <w:tcPr>
            <w:tcW w:w="318" w:type="dxa"/>
            <w:tcBorders>
              <w:top w:val="single" w:sz="4" w:space="0" w:color="auto"/>
            </w:tcBorders>
          </w:tcPr>
          <w:p w14:paraId="5A9D9F8E" w14:textId="77777777" w:rsidR="007E68A5" w:rsidRPr="003A176D" w:rsidRDefault="007E68A5" w:rsidP="007E68A5">
            <w:pPr>
              <w:autoSpaceDE w:val="0"/>
              <w:autoSpaceDN w:val="0"/>
              <w:adjustRightInd w:val="0"/>
              <w:spacing w:after="0" w:line="240" w:lineRule="auto"/>
              <w:rPr>
                <w:rFonts w:cs="Calibri"/>
              </w:rPr>
            </w:pPr>
          </w:p>
        </w:tc>
        <w:tc>
          <w:tcPr>
            <w:tcW w:w="1531" w:type="dxa"/>
            <w:tcBorders>
              <w:top w:val="single" w:sz="4" w:space="0" w:color="auto"/>
            </w:tcBorders>
          </w:tcPr>
          <w:p w14:paraId="6BFEFA87" w14:textId="77777777" w:rsidR="007E68A5" w:rsidRPr="003A176D" w:rsidRDefault="007E68A5" w:rsidP="007E68A5">
            <w:pPr>
              <w:autoSpaceDE w:val="0"/>
              <w:autoSpaceDN w:val="0"/>
              <w:adjustRightInd w:val="0"/>
              <w:spacing w:after="0" w:line="240" w:lineRule="auto"/>
              <w:jc w:val="right"/>
              <w:rPr>
                <w:rFonts w:cs="Calibri"/>
              </w:rPr>
            </w:pPr>
          </w:p>
        </w:tc>
        <w:tc>
          <w:tcPr>
            <w:tcW w:w="540" w:type="dxa"/>
            <w:tcBorders>
              <w:top w:val="single" w:sz="4" w:space="0" w:color="auto"/>
            </w:tcBorders>
          </w:tcPr>
          <w:p w14:paraId="2FDDF51F" w14:textId="77777777" w:rsidR="007E68A5" w:rsidRPr="003A176D" w:rsidRDefault="007E68A5" w:rsidP="007E68A5">
            <w:pPr>
              <w:autoSpaceDE w:val="0"/>
              <w:autoSpaceDN w:val="0"/>
              <w:adjustRightInd w:val="0"/>
              <w:spacing w:after="0" w:line="240" w:lineRule="auto"/>
              <w:jc w:val="right"/>
              <w:rPr>
                <w:rFonts w:cs="Calibri"/>
              </w:rPr>
            </w:pPr>
          </w:p>
        </w:tc>
        <w:tc>
          <w:tcPr>
            <w:tcW w:w="1915" w:type="dxa"/>
            <w:tcBorders>
              <w:top w:val="single" w:sz="4" w:space="0" w:color="auto"/>
            </w:tcBorders>
          </w:tcPr>
          <w:p w14:paraId="71116546" w14:textId="77777777" w:rsidR="007E68A5" w:rsidRPr="003A176D" w:rsidRDefault="007E68A5" w:rsidP="007E68A5">
            <w:pPr>
              <w:autoSpaceDE w:val="0"/>
              <w:autoSpaceDN w:val="0"/>
              <w:adjustRightInd w:val="0"/>
              <w:spacing w:after="0" w:line="240" w:lineRule="auto"/>
              <w:jc w:val="right"/>
              <w:rPr>
                <w:rFonts w:cs="Calibri"/>
              </w:rPr>
            </w:pPr>
          </w:p>
        </w:tc>
      </w:tr>
      <w:tr w:rsidR="007E68A5" w:rsidRPr="003A176D" w14:paraId="45FBE311" w14:textId="77777777" w:rsidTr="007B08E5">
        <w:trPr>
          <w:trHeight w:val="258"/>
        </w:trPr>
        <w:tc>
          <w:tcPr>
            <w:tcW w:w="4631" w:type="dxa"/>
          </w:tcPr>
          <w:p w14:paraId="67133E6E" w14:textId="77777777" w:rsidR="007E68A5" w:rsidRPr="003A176D" w:rsidRDefault="007E68A5" w:rsidP="007E68A5">
            <w:pPr>
              <w:autoSpaceDE w:val="0"/>
              <w:autoSpaceDN w:val="0"/>
              <w:adjustRightInd w:val="0"/>
              <w:spacing w:after="0" w:line="240" w:lineRule="auto"/>
              <w:rPr>
                <w:rFonts w:cs="Calibri"/>
              </w:rPr>
            </w:pPr>
            <w:r w:rsidRPr="003A176D">
              <w:rPr>
                <w:rFonts w:cs="Calibri"/>
              </w:rPr>
              <w:t>Accounts payable</w:t>
            </w:r>
          </w:p>
        </w:tc>
        <w:tc>
          <w:tcPr>
            <w:tcW w:w="318" w:type="dxa"/>
          </w:tcPr>
          <w:p w14:paraId="684EE384" w14:textId="77777777" w:rsidR="007E68A5" w:rsidRPr="003A176D" w:rsidRDefault="007E68A5" w:rsidP="007E68A5">
            <w:pPr>
              <w:autoSpaceDE w:val="0"/>
              <w:autoSpaceDN w:val="0"/>
              <w:adjustRightInd w:val="0"/>
              <w:spacing w:after="0" w:line="240" w:lineRule="auto"/>
              <w:rPr>
                <w:rFonts w:cs="Calibri"/>
              </w:rPr>
            </w:pPr>
            <w:r w:rsidRPr="003A176D">
              <w:rPr>
                <w:rFonts w:cs="Calibri"/>
              </w:rPr>
              <w:t>$</w:t>
            </w:r>
          </w:p>
        </w:tc>
        <w:tc>
          <w:tcPr>
            <w:tcW w:w="1531" w:type="dxa"/>
          </w:tcPr>
          <w:p w14:paraId="357B2BD3" w14:textId="7623F065" w:rsidR="007E68A5" w:rsidRPr="003A176D" w:rsidRDefault="00774579" w:rsidP="007E68A5">
            <w:pPr>
              <w:autoSpaceDE w:val="0"/>
              <w:autoSpaceDN w:val="0"/>
              <w:adjustRightInd w:val="0"/>
              <w:spacing w:after="0" w:line="240" w:lineRule="auto"/>
              <w:jc w:val="right"/>
              <w:rPr>
                <w:rFonts w:cs="Calibri"/>
              </w:rPr>
            </w:pPr>
            <w:r w:rsidRPr="003A176D">
              <w:rPr>
                <w:rFonts w:cs="Calibri"/>
              </w:rPr>
              <w:t>107,750</w:t>
            </w:r>
          </w:p>
        </w:tc>
        <w:tc>
          <w:tcPr>
            <w:tcW w:w="540" w:type="dxa"/>
          </w:tcPr>
          <w:p w14:paraId="514D1492" w14:textId="77777777" w:rsidR="007E68A5" w:rsidRPr="003A176D" w:rsidRDefault="007E68A5" w:rsidP="007E68A5">
            <w:pPr>
              <w:autoSpaceDE w:val="0"/>
              <w:autoSpaceDN w:val="0"/>
              <w:adjustRightInd w:val="0"/>
              <w:spacing w:after="0" w:line="240" w:lineRule="auto"/>
              <w:jc w:val="right"/>
              <w:rPr>
                <w:rFonts w:cs="Calibri"/>
              </w:rPr>
            </w:pPr>
            <w:r w:rsidRPr="003A176D">
              <w:rPr>
                <w:rFonts w:cs="Calibri"/>
              </w:rPr>
              <w:t>$</w:t>
            </w:r>
          </w:p>
        </w:tc>
        <w:tc>
          <w:tcPr>
            <w:tcW w:w="1915" w:type="dxa"/>
          </w:tcPr>
          <w:p w14:paraId="151AF37E" w14:textId="08ED0938" w:rsidR="007E68A5" w:rsidRPr="003A176D" w:rsidRDefault="007E68A5" w:rsidP="007E68A5">
            <w:pPr>
              <w:autoSpaceDE w:val="0"/>
              <w:autoSpaceDN w:val="0"/>
              <w:adjustRightInd w:val="0"/>
              <w:spacing w:after="0" w:line="240" w:lineRule="auto"/>
              <w:jc w:val="right"/>
              <w:rPr>
                <w:rFonts w:cs="Calibri"/>
              </w:rPr>
            </w:pPr>
            <w:r w:rsidRPr="003A176D">
              <w:rPr>
                <w:rFonts w:cs="Calibri"/>
              </w:rPr>
              <w:t>52,601</w:t>
            </w:r>
          </w:p>
        </w:tc>
      </w:tr>
      <w:tr w:rsidR="007E68A5" w:rsidRPr="003A176D" w14:paraId="53B914B3" w14:textId="77777777" w:rsidTr="007B08E5">
        <w:trPr>
          <w:trHeight w:val="258"/>
        </w:trPr>
        <w:tc>
          <w:tcPr>
            <w:tcW w:w="4631" w:type="dxa"/>
            <w:tcBorders>
              <w:bottom w:val="single" w:sz="4" w:space="0" w:color="auto"/>
            </w:tcBorders>
          </w:tcPr>
          <w:p w14:paraId="6B42E927" w14:textId="77777777" w:rsidR="007E68A5" w:rsidRPr="003A176D" w:rsidRDefault="007E68A5" w:rsidP="007E68A5">
            <w:pPr>
              <w:autoSpaceDE w:val="0"/>
              <w:autoSpaceDN w:val="0"/>
              <w:adjustRightInd w:val="0"/>
              <w:spacing w:after="0" w:line="240" w:lineRule="auto"/>
              <w:rPr>
                <w:rFonts w:cs="Calibri"/>
              </w:rPr>
            </w:pPr>
            <w:r w:rsidRPr="003A176D">
              <w:rPr>
                <w:rFonts w:cs="Calibri"/>
              </w:rPr>
              <w:t>Accrued liabilities</w:t>
            </w:r>
          </w:p>
        </w:tc>
        <w:tc>
          <w:tcPr>
            <w:tcW w:w="318" w:type="dxa"/>
            <w:tcBorders>
              <w:bottom w:val="single" w:sz="4" w:space="0" w:color="auto"/>
            </w:tcBorders>
          </w:tcPr>
          <w:p w14:paraId="00F75F2E" w14:textId="77777777" w:rsidR="007E68A5" w:rsidRPr="003A176D" w:rsidRDefault="007E68A5" w:rsidP="007E68A5">
            <w:pPr>
              <w:autoSpaceDE w:val="0"/>
              <w:autoSpaceDN w:val="0"/>
              <w:adjustRightInd w:val="0"/>
              <w:spacing w:after="0" w:line="240" w:lineRule="auto"/>
              <w:rPr>
                <w:rFonts w:cs="Calibri"/>
              </w:rPr>
            </w:pPr>
          </w:p>
        </w:tc>
        <w:tc>
          <w:tcPr>
            <w:tcW w:w="1531" w:type="dxa"/>
            <w:tcBorders>
              <w:bottom w:val="single" w:sz="4" w:space="0" w:color="auto"/>
            </w:tcBorders>
          </w:tcPr>
          <w:p w14:paraId="2D0B0B4E" w14:textId="68CD186E" w:rsidR="007E68A5" w:rsidRPr="003A176D" w:rsidRDefault="00774579" w:rsidP="007E68A5">
            <w:pPr>
              <w:autoSpaceDE w:val="0"/>
              <w:autoSpaceDN w:val="0"/>
              <w:adjustRightInd w:val="0"/>
              <w:spacing w:after="0" w:line="240" w:lineRule="auto"/>
              <w:jc w:val="right"/>
              <w:rPr>
                <w:rFonts w:cs="Calibri"/>
              </w:rPr>
            </w:pPr>
            <w:r w:rsidRPr="003A176D">
              <w:rPr>
                <w:rFonts w:cs="Calibri"/>
              </w:rPr>
              <w:t>270,264</w:t>
            </w:r>
          </w:p>
        </w:tc>
        <w:tc>
          <w:tcPr>
            <w:tcW w:w="540" w:type="dxa"/>
            <w:tcBorders>
              <w:bottom w:val="single" w:sz="4" w:space="0" w:color="auto"/>
            </w:tcBorders>
          </w:tcPr>
          <w:p w14:paraId="1BBD6D88" w14:textId="77777777" w:rsidR="007E68A5" w:rsidRPr="003A176D" w:rsidRDefault="007E68A5" w:rsidP="007E68A5">
            <w:pPr>
              <w:autoSpaceDE w:val="0"/>
              <w:autoSpaceDN w:val="0"/>
              <w:adjustRightInd w:val="0"/>
              <w:spacing w:after="0" w:line="240" w:lineRule="auto"/>
              <w:jc w:val="right"/>
              <w:rPr>
                <w:rFonts w:cs="Calibri"/>
              </w:rPr>
            </w:pPr>
          </w:p>
        </w:tc>
        <w:tc>
          <w:tcPr>
            <w:tcW w:w="1915" w:type="dxa"/>
            <w:tcBorders>
              <w:bottom w:val="single" w:sz="4" w:space="0" w:color="auto"/>
            </w:tcBorders>
          </w:tcPr>
          <w:p w14:paraId="4D1FB03E" w14:textId="18E93454" w:rsidR="007E68A5" w:rsidRPr="003A176D" w:rsidRDefault="007E68A5" w:rsidP="007E68A5">
            <w:pPr>
              <w:autoSpaceDE w:val="0"/>
              <w:autoSpaceDN w:val="0"/>
              <w:adjustRightInd w:val="0"/>
              <w:spacing w:after="0" w:line="240" w:lineRule="auto"/>
              <w:jc w:val="right"/>
              <w:rPr>
                <w:rFonts w:cs="Calibri"/>
              </w:rPr>
            </w:pPr>
            <w:r w:rsidRPr="003A176D">
              <w:rPr>
                <w:rFonts w:cs="Calibri"/>
              </w:rPr>
              <w:t>145,044</w:t>
            </w:r>
          </w:p>
        </w:tc>
      </w:tr>
      <w:tr w:rsidR="007E68A5" w:rsidRPr="003A176D" w14:paraId="72B924C5" w14:textId="77777777" w:rsidTr="007B08E5">
        <w:trPr>
          <w:trHeight w:val="258"/>
        </w:trPr>
        <w:tc>
          <w:tcPr>
            <w:tcW w:w="4631" w:type="dxa"/>
            <w:tcBorders>
              <w:top w:val="single" w:sz="4" w:space="0" w:color="auto"/>
              <w:bottom w:val="double" w:sz="4" w:space="0" w:color="auto"/>
            </w:tcBorders>
          </w:tcPr>
          <w:p w14:paraId="7E5BF4D6" w14:textId="77777777" w:rsidR="007E68A5" w:rsidRPr="003A176D" w:rsidRDefault="007E68A5" w:rsidP="007E68A5">
            <w:pPr>
              <w:autoSpaceDE w:val="0"/>
              <w:autoSpaceDN w:val="0"/>
              <w:adjustRightInd w:val="0"/>
              <w:spacing w:after="0" w:line="240" w:lineRule="auto"/>
              <w:rPr>
                <w:rFonts w:cs="Calibri"/>
                <w:b/>
                <w:bCs/>
              </w:rPr>
            </w:pPr>
          </w:p>
        </w:tc>
        <w:tc>
          <w:tcPr>
            <w:tcW w:w="318" w:type="dxa"/>
            <w:tcBorders>
              <w:top w:val="single" w:sz="4" w:space="0" w:color="auto"/>
              <w:bottom w:val="double" w:sz="4" w:space="0" w:color="auto"/>
            </w:tcBorders>
          </w:tcPr>
          <w:p w14:paraId="28CC9F78" w14:textId="77777777" w:rsidR="007E68A5" w:rsidRPr="003A176D" w:rsidRDefault="007E68A5" w:rsidP="007E68A5">
            <w:pPr>
              <w:autoSpaceDE w:val="0"/>
              <w:autoSpaceDN w:val="0"/>
              <w:adjustRightInd w:val="0"/>
              <w:spacing w:after="0" w:line="240" w:lineRule="auto"/>
              <w:rPr>
                <w:rFonts w:cs="Calibri"/>
                <w:b/>
                <w:bCs/>
              </w:rPr>
            </w:pPr>
            <w:r w:rsidRPr="003A176D">
              <w:rPr>
                <w:rFonts w:cs="Calibri"/>
                <w:b/>
                <w:bCs/>
              </w:rPr>
              <w:t>$</w:t>
            </w:r>
          </w:p>
        </w:tc>
        <w:tc>
          <w:tcPr>
            <w:tcW w:w="1531" w:type="dxa"/>
            <w:tcBorders>
              <w:top w:val="single" w:sz="4" w:space="0" w:color="auto"/>
              <w:bottom w:val="double" w:sz="4" w:space="0" w:color="auto"/>
            </w:tcBorders>
          </w:tcPr>
          <w:p w14:paraId="4D0E7D75" w14:textId="512DE216" w:rsidR="007E68A5" w:rsidRPr="003A176D" w:rsidRDefault="00774579" w:rsidP="007E68A5">
            <w:pPr>
              <w:autoSpaceDE w:val="0"/>
              <w:autoSpaceDN w:val="0"/>
              <w:adjustRightInd w:val="0"/>
              <w:spacing w:after="0" w:line="240" w:lineRule="auto"/>
              <w:jc w:val="right"/>
              <w:rPr>
                <w:rFonts w:cs="Calibri"/>
                <w:b/>
                <w:bCs/>
              </w:rPr>
            </w:pPr>
            <w:r w:rsidRPr="003A176D">
              <w:rPr>
                <w:rFonts w:cs="Calibri"/>
                <w:b/>
                <w:bCs/>
              </w:rPr>
              <w:t>378,014</w:t>
            </w:r>
          </w:p>
        </w:tc>
        <w:tc>
          <w:tcPr>
            <w:tcW w:w="540" w:type="dxa"/>
            <w:tcBorders>
              <w:top w:val="single" w:sz="4" w:space="0" w:color="auto"/>
              <w:bottom w:val="double" w:sz="4" w:space="0" w:color="auto"/>
            </w:tcBorders>
          </w:tcPr>
          <w:p w14:paraId="3FEFDA8E" w14:textId="77777777" w:rsidR="007E68A5" w:rsidRPr="003A176D" w:rsidRDefault="007E68A5" w:rsidP="007E68A5">
            <w:pPr>
              <w:autoSpaceDE w:val="0"/>
              <w:autoSpaceDN w:val="0"/>
              <w:adjustRightInd w:val="0"/>
              <w:spacing w:after="0" w:line="240" w:lineRule="auto"/>
              <w:jc w:val="right"/>
              <w:rPr>
                <w:rFonts w:cs="Calibri"/>
                <w:b/>
                <w:bCs/>
              </w:rPr>
            </w:pPr>
            <w:r w:rsidRPr="003A176D">
              <w:rPr>
                <w:rFonts w:cs="Calibri"/>
                <w:b/>
                <w:bCs/>
              </w:rPr>
              <w:t>$</w:t>
            </w:r>
          </w:p>
        </w:tc>
        <w:tc>
          <w:tcPr>
            <w:tcW w:w="1915" w:type="dxa"/>
            <w:tcBorders>
              <w:top w:val="single" w:sz="4" w:space="0" w:color="auto"/>
              <w:bottom w:val="double" w:sz="4" w:space="0" w:color="auto"/>
            </w:tcBorders>
          </w:tcPr>
          <w:p w14:paraId="6FA04663" w14:textId="51D386F7" w:rsidR="007E68A5" w:rsidRPr="003A176D" w:rsidRDefault="007E68A5" w:rsidP="007E68A5">
            <w:pPr>
              <w:autoSpaceDE w:val="0"/>
              <w:autoSpaceDN w:val="0"/>
              <w:adjustRightInd w:val="0"/>
              <w:spacing w:after="0" w:line="240" w:lineRule="auto"/>
              <w:jc w:val="right"/>
              <w:rPr>
                <w:rFonts w:cs="Calibri"/>
                <w:b/>
                <w:bCs/>
              </w:rPr>
            </w:pPr>
            <w:r w:rsidRPr="003A176D">
              <w:rPr>
                <w:rFonts w:cs="Calibri"/>
                <w:b/>
                <w:bCs/>
              </w:rPr>
              <w:t>197,645</w:t>
            </w:r>
          </w:p>
        </w:tc>
      </w:tr>
    </w:tbl>
    <w:p w14:paraId="68C365FD" w14:textId="5DEF6CF8" w:rsidR="000B64DC" w:rsidRPr="003A176D" w:rsidRDefault="000B64DC" w:rsidP="002E6AE4">
      <w:pPr>
        <w:autoSpaceDE w:val="0"/>
        <w:autoSpaceDN w:val="0"/>
        <w:adjustRightInd w:val="0"/>
        <w:spacing w:after="0" w:line="240" w:lineRule="auto"/>
        <w:jc w:val="right"/>
        <w:rPr>
          <w:rFonts w:cs="Calibri"/>
          <w:b/>
          <w:bCs/>
          <w:sz w:val="20"/>
          <w:szCs w:val="20"/>
        </w:rPr>
      </w:pPr>
    </w:p>
    <w:p w14:paraId="720D4ABC"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260A6921"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789F4763"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5A59CCC8"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47BD4FDD"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58287E2A"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67179278"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50A1C6D4"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15427A1E"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49F2FE12" w14:textId="30C1A811"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105957EA" w14:textId="77777777" w:rsidR="007B08E5" w:rsidRPr="003A176D" w:rsidRDefault="007B08E5" w:rsidP="0091531E">
      <w:pPr>
        <w:tabs>
          <w:tab w:val="left" w:pos="360"/>
        </w:tabs>
        <w:autoSpaceDE w:val="0"/>
        <w:autoSpaceDN w:val="0"/>
        <w:adjustRightInd w:val="0"/>
        <w:spacing w:after="0" w:line="240" w:lineRule="auto"/>
        <w:jc w:val="both"/>
        <w:rPr>
          <w:rFonts w:cs="Calibri"/>
          <w:b/>
          <w:bCs/>
          <w:sz w:val="20"/>
          <w:szCs w:val="20"/>
        </w:rPr>
      </w:pPr>
    </w:p>
    <w:p w14:paraId="377F31E6" w14:textId="77777777" w:rsidR="00E623A6" w:rsidRPr="003A176D" w:rsidRDefault="00E623A6" w:rsidP="0091531E">
      <w:pPr>
        <w:tabs>
          <w:tab w:val="left" w:pos="360"/>
        </w:tabs>
        <w:autoSpaceDE w:val="0"/>
        <w:autoSpaceDN w:val="0"/>
        <w:adjustRightInd w:val="0"/>
        <w:spacing w:after="0" w:line="240" w:lineRule="auto"/>
        <w:jc w:val="both"/>
        <w:rPr>
          <w:rFonts w:cs="Calibri"/>
          <w:b/>
          <w:bCs/>
          <w:sz w:val="20"/>
          <w:szCs w:val="20"/>
        </w:rPr>
      </w:pPr>
    </w:p>
    <w:p w14:paraId="17DBF179" w14:textId="0A09DD65" w:rsidR="0080661F" w:rsidRPr="003A176D" w:rsidRDefault="0094224A" w:rsidP="0091531E">
      <w:pPr>
        <w:tabs>
          <w:tab w:val="left" w:pos="360"/>
        </w:tabs>
        <w:autoSpaceDE w:val="0"/>
        <w:autoSpaceDN w:val="0"/>
        <w:adjustRightInd w:val="0"/>
        <w:spacing w:after="0" w:line="240" w:lineRule="auto"/>
        <w:jc w:val="both"/>
        <w:rPr>
          <w:rFonts w:cs="Calibri"/>
          <w:b/>
          <w:bCs/>
          <w:sz w:val="20"/>
          <w:szCs w:val="20"/>
        </w:rPr>
      </w:pPr>
      <w:r w:rsidRPr="003A176D">
        <w:rPr>
          <w:rFonts w:cs="Calibri"/>
          <w:b/>
          <w:bCs/>
          <w:sz w:val="20"/>
          <w:szCs w:val="20"/>
        </w:rPr>
        <w:lastRenderedPageBreak/>
        <w:t>7</w:t>
      </w:r>
      <w:r w:rsidR="00017E23" w:rsidRPr="003A176D">
        <w:rPr>
          <w:rFonts w:cs="Calibri"/>
          <w:b/>
          <w:bCs/>
          <w:sz w:val="20"/>
          <w:szCs w:val="20"/>
        </w:rPr>
        <w:t xml:space="preserve">.  </w:t>
      </w:r>
      <w:r w:rsidR="0080661F" w:rsidRPr="003A176D">
        <w:rPr>
          <w:rFonts w:cs="Calibri"/>
          <w:b/>
          <w:bCs/>
          <w:sz w:val="20"/>
          <w:szCs w:val="20"/>
        </w:rPr>
        <w:t xml:space="preserve">Share </w:t>
      </w:r>
      <w:r w:rsidR="00B926BF" w:rsidRPr="003A176D">
        <w:rPr>
          <w:rFonts w:cs="Calibri"/>
          <w:b/>
          <w:bCs/>
          <w:sz w:val="20"/>
          <w:szCs w:val="20"/>
        </w:rPr>
        <w:t>C</w:t>
      </w:r>
      <w:r w:rsidR="0080661F" w:rsidRPr="003A176D">
        <w:rPr>
          <w:rFonts w:cs="Calibri"/>
          <w:b/>
          <w:bCs/>
          <w:sz w:val="20"/>
          <w:szCs w:val="20"/>
        </w:rPr>
        <w:t>apital</w:t>
      </w:r>
    </w:p>
    <w:bookmarkEnd w:id="30"/>
    <w:p w14:paraId="6BCB6B1F" w14:textId="77777777" w:rsidR="0080661F" w:rsidRPr="003A176D" w:rsidRDefault="0080661F" w:rsidP="0080661F">
      <w:pPr>
        <w:autoSpaceDE w:val="0"/>
        <w:autoSpaceDN w:val="0"/>
        <w:adjustRightInd w:val="0"/>
        <w:spacing w:after="0" w:line="240" w:lineRule="auto"/>
        <w:jc w:val="both"/>
        <w:rPr>
          <w:rFonts w:asciiTheme="minorHAnsi" w:hAnsiTheme="minorHAnsi" w:cs="Arial"/>
          <w:sz w:val="20"/>
          <w:szCs w:val="20"/>
        </w:rPr>
      </w:pPr>
    </w:p>
    <w:p w14:paraId="2A23F71B" w14:textId="7AAF5398" w:rsidR="0080661F" w:rsidRPr="003A176D" w:rsidRDefault="0080661F" w:rsidP="0080661F">
      <w:pPr>
        <w:autoSpaceDE w:val="0"/>
        <w:autoSpaceDN w:val="0"/>
        <w:adjustRightInd w:val="0"/>
        <w:spacing w:after="0" w:line="240" w:lineRule="auto"/>
        <w:ind w:left="360"/>
        <w:jc w:val="both"/>
        <w:rPr>
          <w:rFonts w:cs="Calibri"/>
          <w:sz w:val="20"/>
          <w:szCs w:val="20"/>
        </w:rPr>
      </w:pPr>
      <w:r w:rsidRPr="003A176D">
        <w:rPr>
          <w:rFonts w:cs="Calibri"/>
          <w:b/>
          <w:sz w:val="20"/>
          <w:szCs w:val="20"/>
        </w:rPr>
        <w:t>Authorized</w:t>
      </w:r>
      <w:r w:rsidR="009906B3" w:rsidRPr="003A176D">
        <w:rPr>
          <w:rFonts w:cs="Calibri"/>
          <w:b/>
          <w:sz w:val="20"/>
          <w:szCs w:val="20"/>
        </w:rPr>
        <w:t xml:space="preserve"> share capital</w:t>
      </w:r>
      <w:r w:rsidR="001F7609" w:rsidRPr="003A176D">
        <w:rPr>
          <w:rFonts w:cs="Calibri"/>
          <w:b/>
          <w:sz w:val="20"/>
          <w:szCs w:val="20"/>
        </w:rPr>
        <w:t xml:space="preserve"> - </w:t>
      </w:r>
      <w:r w:rsidR="009906B3" w:rsidRPr="003A176D">
        <w:rPr>
          <w:rFonts w:cs="Calibri"/>
          <w:sz w:val="20"/>
          <w:szCs w:val="20"/>
        </w:rPr>
        <w:t>U</w:t>
      </w:r>
      <w:r w:rsidRPr="003A176D">
        <w:rPr>
          <w:rFonts w:cs="Calibri"/>
          <w:sz w:val="20"/>
          <w:szCs w:val="20"/>
        </w:rPr>
        <w:t>nlimited common shares without par value</w:t>
      </w:r>
      <w:r w:rsidR="00341AE8" w:rsidRPr="003A176D">
        <w:rPr>
          <w:rFonts w:cs="Calibri"/>
          <w:sz w:val="20"/>
          <w:szCs w:val="20"/>
        </w:rPr>
        <w:t>.</w:t>
      </w:r>
    </w:p>
    <w:p w14:paraId="02520072" w14:textId="1EE7C72B" w:rsidR="001F7609" w:rsidRPr="003A176D" w:rsidRDefault="001F7609" w:rsidP="0080661F">
      <w:pPr>
        <w:autoSpaceDE w:val="0"/>
        <w:autoSpaceDN w:val="0"/>
        <w:adjustRightInd w:val="0"/>
        <w:spacing w:after="0" w:line="240" w:lineRule="auto"/>
        <w:ind w:left="360"/>
        <w:jc w:val="both"/>
        <w:rPr>
          <w:rFonts w:cs="Calibri"/>
          <w:sz w:val="20"/>
          <w:szCs w:val="20"/>
        </w:rPr>
      </w:pPr>
    </w:p>
    <w:p w14:paraId="3CD0877A" w14:textId="7C6D3027" w:rsidR="001F7609" w:rsidRPr="003A176D" w:rsidRDefault="001F7609" w:rsidP="0080661F">
      <w:pPr>
        <w:autoSpaceDE w:val="0"/>
        <w:autoSpaceDN w:val="0"/>
        <w:adjustRightInd w:val="0"/>
        <w:spacing w:after="0" w:line="240" w:lineRule="auto"/>
        <w:ind w:left="360"/>
        <w:jc w:val="both"/>
        <w:rPr>
          <w:rFonts w:cs="Calibri"/>
          <w:sz w:val="20"/>
          <w:szCs w:val="20"/>
        </w:rPr>
      </w:pPr>
      <w:r w:rsidRPr="003A176D">
        <w:rPr>
          <w:sz w:val="20"/>
          <w:szCs w:val="20"/>
        </w:rPr>
        <w:t>On February 4, 2020 the Company completed a roll back of its issued shares. The 2:1 share consolidation reduced total shares issued from 69,831,000 to 34,915,500.  All share and per share information in those financial statements have been retroactively restated to reflect this consolidation.</w:t>
      </w:r>
    </w:p>
    <w:p w14:paraId="40CB9EC6" w14:textId="77777777" w:rsidR="009906B3" w:rsidRPr="003A176D" w:rsidRDefault="009906B3" w:rsidP="0080661F">
      <w:pPr>
        <w:autoSpaceDE w:val="0"/>
        <w:autoSpaceDN w:val="0"/>
        <w:adjustRightInd w:val="0"/>
        <w:spacing w:after="0" w:line="240" w:lineRule="auto"/>
        <w:ind w:left="360"/>
        <w:jc w:val="both"/>
        <w:rPr>
          <w:rFonts w:cs="Calibri"/>
          <w:sz w:val="20"/>
          <w:szCs w:val="20"/>
        </w:rPr>
      </w:pPr>
    </w:p>
    <w:p w14:paraId="5E96F535" w14:textId="28733F62" w:rsidR="009906B3" w:rsidRPr="003A176D" w:rsidRDefault="009906B3" w:rsidP="0080661F">
      <w:pPr>
        <w:autoSpaceDE w:val="0"/>
        <w:autoSpaceDN w:val="0"/>
        <w:adjustRightInd w:val="0"/>
        <w:spacing w:after="0" w:line="240" w:lineRule="auto"/>
        <w:ind w:left="360"/>
        <w:jc w:val="both"/>
        <w:rPr>
          <w:rFonts w:cs="Calibri"/>
          <w:b/>
          <w:sz w:val="20"/>
          <w:szCs w:val="20"/>
        </w:rPr>
      </w:pPr>
      <w:r w:rsidRPr="003A176D">
        <w:rPr>
          <w:rFonts w:cs="Calibri"/>
          <w:b/>
          <w:sz w:val="20"/>
          <w:szCs w:val="20"/>
        </w:rPr>
        <w:t>Issue</w:t>
      </w:r>
      <w:r w:rsidR="00511D4E" w:rsidRPr="003A176D">
        <w:rPr>
          <w:rFonts w:cs="Calibri"/>
          <w:b/>
          <w:sz w:val="20"/>
          <w:szCs w:val="20"/>
        </w:rPr>
        <w:t>d</w:t>
      </w:r>
      <w:r w:rsidRPr="003A176D">
        <w:rPr>
          <w:rFonts w:cs="Calibri"/>
          <w:b/>
          <w:sz w:val="20"/>
          <w:szCs w:val="20"/>
        </w:rPr>
        <w:t xml:space="preserve"> share capital </w:t>
      </w:r>
    </w:p>
    <w:p w14:paraId="6049E5F1" w14:textId="77777777" w:rsidR="009906B3" w:rsidRPr="003A176D" w:rsidRDefault="009906B3" w:rsidP="0080661F">
      <w:pPr>
        <w:autoSpaceDE w:val="0"/>
        <w:autoSpaceDN w:val="0"/>
        <w:adjustRightInd w:val="0"/>
        <w:spacing w:after="0" w:line="240" w:lineRule="auto"/>
        <w:ind w:left="360"/>
        <w:jc w:val="both"/>
        <w:rPr>
          <w:rFonts w:cs="Calibri"/>
          <w:sz w:val="20"/>
          <w:szCs w:val="20"/>
        </w:rPr>
      </w:pPr>
    </w:p>
    <w:p w14:paraId="33994FC3" w14:textId="44A6D36C" w:rsidR="00E54690" w:rsidRPr="003A176D" w:rsidRDefault="00E54690" w:rsidP="00E54690">
      <w:pPr>
        <w:autoSpaceDE w:val="0"/>
        <w:autoSpaceDN w:val="0"/>
        <w:adjustRightInd w:val="0"/>
        <w:spacing w:after="0" w:line="240" w:lineRule="auto"/>
        <w:ind w:left="360"/>
        <w:jc w:val="both"/>
        <w:rPr>
          <w:rFonts w:cs="Calibri"/>
          <w:sz w:val="20"/>
          <w:szCs w:val="20"/>
        </w:rPr>
      </w:pPr>
      <w:r w:rsidRPr="003A176D">
        <w:rPr>
          <w:rFonts w:cs="Calibri"/>
          <w:sz w:val="20"/>
          <w:szCs w:val="20"/>
        </w:rPr>
        <w:t xml:space="preserve">As at </w:t>
      </w:r>
      <w:r w:rsidR="00D50422" w:rsidRPr="003A176D">
        <w:rPr>
          <w:rFonts w:cs="Calibri"/>
          <w:sz w:val="20"/>
          <w:szCs w:val="20"/>
        </w:rPr>
        <w:t>June 30</w:t>
      </w:r>
      <w:r w:rsidR="002E2727" w:rsidRPr="003A176D">
        <w:rPr>
          <w:rFonts w:cs="Calibri"/>
          <w:sz w:val="20"/>
          <w:szCs w:val="20"/>
        </w:rPr>
        <w:t>, 2020</w:t>
      </w:r>
      <w:r w:rsidRPr="003A176D">
        <w:rPr>
          <w:rFonts w:cs="Calibri"/>
          <w:sz w:val="20"/>
          <w:szCs w:val="20"/>
        </w:rPr>
        <w:t xml:space="preserve"> there were </w:t>
      </w:r>
      <w:r w:rsidR="00D50422" w:rsidRPr="003A176D">
        <w:rPr>
          <w:rFonts w:cs="Calibri"/>
          <w:sz w:val="20"/>
          <w:szCs w:val="20"/>
        </w:rPr>
        <w:t xml:space="preserve">69,703,779 </w:t>
      </w:r>
      <w:r w:rsidRPr="003A176D">
        <w:rPr>
          <w:rFonts w:cs="Calibri"/>
          <w:sz w:val="20"/>
          <w:szCs w:val="20"/>
        </w:rPr>
        <w:t>issued and fully paid common shares (</w:t>
      </w:r>
      <w:r w:rsidR="00322123" w:rsidRPr="003A176D">
        <w:rPr>
          <w:rFonts w:cs="Calibri"/>
          <w:sz w:val="20"/>
          <w:szCs w:val="20"/>
        </w:rPr>
        <w:t xml:space="preserve">December 31, 2018 – </w:t>
      </w:r>
      <w:r w:rsidR="002E2727" w:rsidRPr="003A176D">
        <w:rPr>
          <w:rFonts w:cs="Calibri"/>
          <w:sz w:val="20"/>
          <w:szCs w:val="20"/>
        </w:rPr>
        <w:t>34,915,500</w:t>
      </w:r>
      <w:r w:rsidRPr="003A176D">
        <w:rPr>
          <w:rFonts w:cs="Calibri"/>
          <w:sz w:val="20"/>
          <w:szCs w:val="20"/>
        </w:rPr>
        <w:t>).</w:t>
      </w:r>
    </w:p>
    <w:p w14:paraId="288A8526" w14:textId="77777777" w:rsidR="001F7609" w:rsidRPr="003A176D" w:rsidRDefault="001F7609" w:rsidP="00E54690">
      <w:pPr>
        <w:autoSpaceDE w:val="0"/>
        <w:autoSpaceDN w:val="0"/>
        <w:adjustRightInd w:val="0"/>
        <w:spacing w:after="0" w:line="240" w:lineRule="auto"/>
        <w:ind w:left="360"/>
        <w:jc w:val="both"/>
        <w:rPr>
          <w:rFonts w:cs="Calibri"/>
          <w:sz w:val="20"/>
          <w:szCs w:val="20"/>
        </w:rPr>
      </w:pPr>
    </w:p>
    <w:p w14:paraId="3CC61762" w14:textId="23B09FF4" w:rsidR="001F7609" w:rsidRPr="003A176D" w:rsidRDefault="00774579" w:rsidP="001F7609">
      <w:pPr>
        <w:autoSpaceDE w:val="0"/>
        <w:autoSpaceDN w:val="0"/>
        <w:adjustRightInd w:val="0"/>
        <w:spacing w:after="0" w:line="240" w:lineRule="auto"/>
        <w:ind w:left="360"/>
        <w:jc w:val="both"/>
        <w:rPr>
          <w:rFonts w:cs="Calibri"/>
          <w:i/>
          <w:iCs/>
          <w:sz w:val="20"/>
          <w:szCs w:val="20"/>
        </w:rPr>
      </w:pPr>
      <w:r w:rsidRPr="003A176D">
        <w:rPr>
          <w:rFonts w:cs="Calibri"/>
          <w:i/>
          <w:iCs/>
          <w:sz w:val="20"/>
          <w:szCs w:val="20"/>
        </w:rPr>
        <w:t xml:space="preserve">Six </w:t>
      </w:r>
      <w:r w:rsidR="001F7609" w:rsidRPr="003A176D">
        <w:rPr>
          <w:rFonts w:cs="Calibri"/>
          <w:i/>
          <w:iCs/>
          <w:sz w:val="20"/>
          <w:szCs w:val="20"/>
        </w:rPr>
        <w:t xml:space="preserve">months ended </w:t>
      </w:r>
      <w:r w:rsidR="00D50422" w:rsidRPr="003A176D">
        <w:rPr>
          <w:rFonts w:cs="Calibri"/>
          <w:i/>
          <w:iCs/>
          <w:sz w:val="20"/>
          <w:szCs w:val="20"/>
        </w:rPr>
        <w:t>June 30, 2020</w:t>
      </w:r>
    </w:p>
    <w:p w14:paraId="50248D78" w14:textId="7AC7D771" w:rsidR="00322123" w:rsidRPr="003A176D" w:rsidRDefault="00322123" w:rsidP="00E54690">
      <w:pPr>
        <w:autoSpaceDE w:val="0"/>
        <w:autoSpaceDN w:val="0"/>
        <w:adjustRightInd w:val="0"/>
        <w:spacing w:after="0" w:line="240" w:lineRule="auto"/>
        <w:ind w:left="360"/>
        <w:jc w:val="both"/>
        <w:rPr>
          <w:rFonts w:cs="Calibri"/>
          <w:sz w:val="20"/>
          <w:szCs w:val="20"/>
        </w:rPr>
      </w:pPr>
    </w:p>
    <w:p w14:paraId="0358300F" w14:textId="318D45A5" w:rsidR="001F7609" w:rsidRPr="003A176D" w:rsidRDefault="001F7609" w:rsidP="00E54690">
      <w:pPr>
        <w:autoSpaceDE w:val="0"/>
        <w:autoSpaceDN w:val="0"/>
        <w:adjustRightInd w:val="0"/>
        <w:spacing w:after="0" w:line="240" w:lineRule="auto"/>
        <w:ind w:left="360"/>
        <w:jc w:val="both"/>
        <w:rPr>
          <w:rFonts w:cs="Calibri"/>
          <w:sz w:val="20"/>
          <w:szCs w:val="20"/>
        </w:rPr>
      </w:pPr>
      <w:r w:rsidRPr="003A176D">
        <w:rPr>
          <w:sz w:val="20"/>
          <w:szCs w:val="20"/>
        </w:rPr>
        <w:t xml:space="preserve">On March 18, 2020, the Company completed a Subscription Receipt Financing for $3,131,919 whereby, upon conversion of the subscription receipts on March 26, 2020, the Company issued 8,948,326 common shares at a price of $0.35 per share. The Company recorded $52,961 in share issuance costs associated with the financing. </w:t>
      </w:r>
      <w:r w:rsidR="00B24840" w:rsidRPr="003A176D">
        <w:rPr>
          <w:sz w:val="20"/>
          <w:szCs w:val="20"/>
        </w:rPr>
        <w:t>The Company paid a finder’s fee of 3,361,633 common shares in connection with the financing (note 5).</w:t>
      </w:r>
    </w:p>
    <w:p w14:paraId="34E43C80" w14:textId="77777777" w:rsidR="001F7609" w:rsidRPr="003A176D" w:rsidRDefault="001F7609" w:rsidP="00E54690">
      <w:pPr>
        <w:autoSpaceDE w:val="0"/>
        <w:autoSpaceDN w:val="0"/>
        <w:adjustRightInd w:val="0"/>
        <w:spacing w:after="0" w:line="240" w:lineRule="auto"/>
        <w:ind w:left="360"/>
        <w:jc w:val="both"/>
        <w:rPr>
          <w:rFonts w:cs="Calibri"/>
          <w:sz w:val="20"/>
          <w:szCs w:val="20"/>
        </w:rPr>
      </w:pPr>
    </w:p>
    <w:p w14:paraId="73C28E1B" w14:textId="51052130" w:rsidR="007B08E5" w:rsidRPr="003A176D" w:rsidRDefault="002E2727" w:rsidP="00E54690">
      <w:pPr>
        <w:autoSpaceDE w:val="0"/>
        <w:autoSpaceDN w:val="0"/>
        <w:adjustRightInd w:val="0"/>
        <w:spacing w:after="0" w:line="240" w:lineRule="auto"/>
        <w:ind w:left="360"/>
        <w:jc w:val="both"/>
        <w:rPr>
          <w:rFonts w:cs="Calibri"/>
          <w:sz w:val="20"/>
          <w:szCs w:val="20"/>
        </w:rPr>
      </w:pPr>
      <w:r w:rsidRPr="003A176D">
        <w:rPr>
          <w:rFonts w:cs="Calibri"/>
          <w:sz w:val="20"/>
          <w:szCs w:val="20"/>
        </w:rPr>
        <w:t xml:space="preserve">On March 26, 2020 the Company issued </w:t>
      </w:r>
      <w:r w:rsidR="00E623A6" w:rsidRPr="003A176D">
        <w:rPr>
          <w:rFonts w:cs="Calibri"/>
          <w:sz w:val="20"/>
          <w:szCs w:val="20"/>
        </w:rPr>
        <w:t>a total of 19,075,633</w:t>
      </w:r>
      <w:r w:rsidRPr="003A176D">
        <w:rPr>
          <w:rFonts w:cs="Calibri"/>
          <w:sz w:val="20"/>
          <w:szCs w:val="20"/>
        </w:rPr>
        <w:t xml:space="preserve"> shares in connection with the amalgamation with HIC (note </w:t>
      </w:r>
      <w:r w:rsidR="003C5C84" w:rsidRPr="003A176D">
        <w:rPr>
          <w:rFonts w:cs="Calibri"/>
          <w:sz w:val="20"/>
          <w:szCs w:val="20"/>
        </w:rPr>
        <w:t>5</w:t>
      </w:r>
      <w:r w:rsidR="00E623A6" w:rsidRPr="003A176D">
        <w:rPr>
          <w:rFonts w:cs="Calibri"/>
          <w:sz w:val="20"/>
          <w:szCs w:val="20"/>
        </w:rPr>
        <w:t>)</w:t>
      </w:r>
      <w:r w:rsidR="00322123" w:rsidRPr="003A176D">
        <w:rPr>
          <w:rFonts w:cs="Calibri"/>
          <w:sz w:val="20"/>
          <w:szCs w:val="20"/>
        </w:rPr>
        <w:t xml:space="preserve">. </w:t>
      </w:r>
      <w:r w:rsidR="0090528E" w:rsidRPr="003A176D">
        <w:rPr>
          <w:rFonts w:cs="Calibri"/>
          <w:sz w:val="20"/>
          <w:szCs w:val="20"/>
        </w:rPr>
        <w:t>The Company also assumed 814,000 warrants exercisable at $0.05, convertible for one common share in the Company. The Company acquired $182,70</w:t>
      </w:r>
      <w:r w:rsidR="00E623A6" w:rsidRPr="003A176D">
        <w:rPr>
          <w:rFonts w:cs="Calibri"/>
          <w:sz w:val="20"/>
          <w:szCs w:val="20"/>
        </w:rPr>
        <w:t>7</w:t>
      </w:r>
      <w:r w:rsidR="0090528E" w:rsidRPr="003A176D">
        <w:rPr>
          <w:rFonts w:cs="Calibri"/>
          <w:sz w:val="20"/>
          <w:szCs w:val="20"/>
        </w:rPr>
        <w:t xml:space="preserve"> in net working capital as part of the acquisition. The balance of $</w:t>
      </w:r>
      <w:r w:rsidR="00E623A6" w:rsidRPr="003A176D">
        <w:rPr>
          <w:rFonts w:cs="Calibri"/>
          <w:sz w:val="20"/>
          <w:szCs w:val="20"/>
        </w:rPr>
        <w:t>6,760,161</w:t>
      </w:r>
      <w:r w:rsidR="0090528E" w:rsidRPr="003A176D">
        <w:rPr>
          <w:rFonts w:cs="Calibri"/>
          <w:sz w:val="20"/>
          <w:szCs w:val="20"/>
        </w:rPr>
        <w:t xml:space="preserve"> was expensed as part of the acquisition costs, and </w:t>
      </w:r>
      <w:r w:rsidR="003C3E22" w:rsidRPr="003A176D">
        <w:rPr>
          <w:rFonts w:cs="Calibri"/>
          <w:sz w:val="20"/>
          <w:szCs w:val="20"/>
        </w:rPr>
        <w:t xml:space="preserve">was accounted for as </w:t>
      </w:r>
      <w:r w:rsidR="003C5C84" w:rsidRPr="003A176D">
        <w:rPr>
          <w:rFonts w:cs="Calibri"/>
          <w:sz w:val="20"/>
          <w:szCs w:val="20"/>
        </w:rPr>
        <w:t>stock based compensation</w:t>
      </w:r>
      <w:r w:rsidR="005932E1" w:rsidRPr="003A176D">
        <w:rPr>
          <w:rFonts w:cs="Calibri"/>
          <w:sz w:val="20"/>
          <w:szCs w:val="20"/>
        </w:rPr>
        <w:t xml:space="preserve"> (note 5)</w:t>
      </w:r>
      <w:r w:rsidR="0090528E" w:rsidRPr="003A176D">
        <w:rPr>
          <w:rFonts w:cs="Calibri"/>
          <w:sz w:val="20"/>
          <w:szCs w:val="20"/>
        </w:rPr>
        <w:t xml:space="preserve">. </w:t>
      </w:r>
      <w:r w:rsidR="007B08E5" w:rsidRPr="003A176D">
        <w:rPr>
          <w:rFonts w:cs="Calibri"/>
          <w:sz w:val="20"/>
          <w:szCs w:val="20"/>
        </w:rPr>
        <w:t xml:space="preserve">The Company also issued 3,497,143 shares in connection with the purchase of McBookie (note 4). The Company accounted for the transaction as described in note 4 of these financial statements. </w:t>
      </w:r>
    </w:p>
    <w:p w14:paraId="4CD6FEFC" w14:textId="6F00ED80" w:rsidR="00774579" w:rsidRPr="003A176D" w:rsidRDefault="00774579" w:rsidP="00E54690">
      <w:pPr>
        <w:autoSpaceDE w:val="0"/>
        <w:autoSpaceDN w:val="0"/>
        <w:adjustRightInd w:val="0"/>
        <w:spacing w:after="0" w:line="240" w:lineRule="auto"/>
        <w:ind w:left="360"/>
        <w:jc w:val="both"/>
        <w:rPr>
          <w:rFonts w:cs="Calibri"/>
          <w:sz w:val="20"/>
          <w:szCs w:val="20"/>
        </w:rPr>
      </w:pPr>
    </w:p>
    <w:p w14:paraId="56B77382" w14:textId="5A525AA0" w:rsidR="00774579" w:rsidRPr="003A176D" w:rsidRDefault="00774579" w:rsidP="00774579">
      <w:pPr>
        <w:tabs>
          <w:tab w:val="left" w:pos="426"/>
        </w:tabs>
        <w:autoSpaceDE w:val="0"/>
        <w:autoSpaceDN w:val="0"/>
        <w:adjustRightInd w:val="0"/>
        <w:spacing w:after="0" w:line="240" w:lineRule="auto"/>
        <w:ind w:left="360"/>
        <w:jc w:val="both"/>
        <w:rPr>
          <w:sz w:val="20"/>
          <w:szCs w:val="20"/>
        </w:rPr>
      </w:pPr>
      <w:r w:rsidRPr="003A176D">
        <w:rPr>
          <w:rFonts w:asciiTheme="minorHAnsi" w:eastAsia="SimSun" w:hAnsiTheme="minorHAnsi" w:cs="Arial"/>
          <w:sz w:val="20"/>
          <w:szCs w:val="20"/>
          <w:lang w:val="en-CA" w:eastAsia="x-none"/>
        </w:rPr>
        <w:t xml:space="preserve">On April 16, 2020 the Company completed an agreement with V2 Games Inc (“V2”), to purchase a one half interest in a loan agreement between V2 and Just Games Interactive Entertainment LLC, </w:t>
      </w:r>
      <w:r w:rsidRPr="003A176D">
        <w:rPr>
          <w:sz w:val="20"/>
          <w:szCs w:val="20"/>
        </w:rPr>
        <w:t xml:space="preserve">as well as 50,000 shares in GoLeague Technologies Inc and 239,583 shares in 1166117 BC Ltd. </w:t>
      </w:r>
      <w:r w:rsidRPr="003A176D">
        <w:rPr>
          <w:rFonts w:asciiTheme="minorHAnsi" w:eastAsia="SimSun" w:hAnsiTheme="minorHAnsi" w:cs="Arial"/>
          <w:sz w:val="20"/>
          <w:szCs w:val="20"/>
          <w:lang w:val="en-CA" w:eastAsia="x-none"/>
        </w:rPr>
        <w:t>The Company issued 3,142,857</w:t>
      </w:r>
      <w:r w:rsidRPr="003A176D">
        <w:rPr>
          <w:sz w:val="20"/>
          <w:szCs w:val="20"/>
        </w:rPr>
        <w:t xml:space="preserve"> shares </w:t>
      </w:r>
      <w:r w:rsidR="003C6430" w:rsidRPr="003A176D">
        <w:rPr>
          <w:sz w:val="20"/>
          <w:szCs w:val="20"/>
        </w:rPr>
        <w:t>as part of the agreement, and the</w:t>
      </w:r>
      <w:r w:rsidRPr="003A176D">
        <w:rPr>
          <w:sz w:val="20"/>
          <w:szCs w:val="20"/>
        </w:rPr>
        <w:t xml:space="preserve"> total payments to be received by the Company are an expected USD$764,939.</w:t>
      </w:r>
      <w:r w:rsidR="003C6430" w:rsidRPr="003A176D">
        <w:rPr>
          <w:sz w:val="20"/>
          <w:szCs w:val="20"/>
        </w:rPr>
        <w:t xml:space="preserve"> As of June 30, 20</w:t>
      </w:r>
      <w:r w:rsidR="00D50422" w:rsidRPr="003A176D">
        <w:rPr>
          <w:sz w:val="20"/>
          <w:szCs w:val="20"/>
        </w:rPr>
        <w:t>20</w:t>
      </w:r>
      <w:r w:rsidR="003C6430" w:rsidRPr="003A176D">
        <w:rPr>
          <w:sz w:val="20"/>
          <w:szCs w:val="20"/>
        </w:rPr>
        <w:t xml:space="preserve"> the total payment received by the Company are $25,000USD.</w:t>
      </w:r>
    </w:p>
    <w:p w14:paraId="23FE99E8" w14:textId="79630D81" w:rsidR="003C6430" w:rsidRPr="003A176D" w:rsidRDefault="003C6430" w:rsidP="00774579">
      <w:pPr>
        <w:tabs>
          <w:tab w:val="left" w:pos="426"/>
        </w:tabs>
        <w:autoSpaceDE w:val="0"/>
        <w:autoSpaceDN w:val="0"/>
        <w:adjustRightInd w:val="0"/>
        <w:spacing w:after="0" w:line="240" w:lineRule="auto"/>
        <w:ind w:left="360"/>
        <w:jc w:val="both"/>
        <w:rPr>
          <w:sz w:val="20"/>
          <w:szCs w:val="20"/>
        </w:rPr>
      </w:pPr>
    </w:p>
    <w:p w14:paraId="6809FEDA" w14:textId="4C2C0EA3" w:rsidR="003C6430" w:rsidRPr="003A176D" w:rsidRDefault="003C6430" w:rsidP="00774579">
      <w:pPr>
        <w:tabs>
          <w:tab w:val="left" w:pos="426"/>
        </w:tabs>
        <w:autoSpaceDE w:val="0"/>
        <w:autoSpaceDN w:val="0"/>
        <w:adjustRightInd w:val="0"/>
        <w:spacing w:after="0" w:line="240" w:lineRule="auto"/>
        <w:ind w:left="360"/>
        <w:jc w:val="both"/>
        <w:rPr>
          <w:sz w:val="20"/>
          <w:szCs w:val="20"/>
        </w:rPr>
      </w:pPr>
      <w:r w:rsidRPr="003A176D">
        <w:rPr>
          <w:sz w:val="20"/>
          <w:szCs w:val="20"/>
        </w:rPr>
        <w:t xml:space="preserve">On June 18, 2020 124,320 warrants that had been assumed by the Company on March 26, 2020 were exercised. The exercise price was $0.05 per share, and total proceeds were $6,216. In exchange, the Company issued 124,320 common shares in the Company. </w:t>
      </w:r>
    </w:p>
    <w:p w14:paraId="0FD33D0A" w14:textId="35D96447" w:rsidR="003C3E22" w:rsidRPr="003A176D" w:rsidRDefault="003C3E22" w:rsidP="00E54690">
      <w:pPr>
        <w:autoSpaceDE w:val="0"/>
        <w:autoSpaceDN w:val="0"/>
        <w:adjustRightInd w:val="0"/>
        <w:spacing w:after="0" w:line="240" w:lineRule="auto"/>
        <w:ind w:left="360"/>
        <w:jc w:val="both"/>
        <w:rPr>
          <w:rFonts w:cs="Calibri"/>
          <w:sz w:val="20"/>
          <w:szCs w:val="20"/>
        </w:rPr>
      </w:pPr>
    </w:p>
    <w:p w14:paraId="6FE8C1BF" w14:textId="56B10484" w:rsidR="003C3E22" w:rsidRPr="003A176D" w:rsidRDefault="003C3E22" w:rsidP="00E54690">
      <w:pPr>
        <w:autoSpaceDE w:val="0"/>
        <w:autoSpaceDN w:val="0"/>
        <w:adjustRightInd w:val="0"/>
        <w:spacing w:after="0" w:line="240" w:lineRule="auto"/>
        <w:ind w:left="360"/>
        <w:jc w:val="both"/>
        <w:rPr>
          <w:rFonts w:cs="Calibri"/>
          <w:i/>
          <w:iCs/>
          <w:sz w:val="20"/>
          <w:szCs w:val="20"/>
        </w:rPr>
      </w:pPr>
      <w:r w:rsidRPr="003A176D">
        <w:rPr>
          <w:rFonts w:cs="Calibri"/>
          <w:i/>
          <w:iCs/>
          <w:sz w:val="20"/>
          <w:szCs w:val="20"/>
        </w:rPr>
        <w:t>Year ended December 31, 2019</w:t>
      </w:r>
    </w:p>
    <w:p w14:paraId="23D4D888" w14:textId="600725FA" w:rsidR="0090528E" w:rsidRPr="003A176D" w:rsidRDefault="0090528E" w:rsidP="00E54690">
      <w:pPr>
        <w:autoSpaceDE w:val="0"/>
        <w:autoSpaceDN w:val="0"/>
        <w:adjustRightInd w:val="0"/>
        <w:spacing w:after="0" w:line="240" w:lineRule="auto"/>
        <w:ind w:left="360"/>
        <w:jc w:val="both"/>
        <w:rPr>
          <w:rFonts w:cs="Calibri"/>
          <w:sz w:val="20"/>
          <w:szCs w:val="20"/>
        </w:rPr>
      </w:pPr>
    </w:p>
    <w:p w14:paraId="0D48C27D" w14:textId="020BEC5E" w:rsidR="003C3E22" w:rsidRPr="003A176D" w:rsidRDefault="003C3E22" w:rsidP="00E54690">
      <w:pPr>
        <w:autoSpaceDE w:val="0"/>
        <w:autoSpaceDN w:val="0"/>
        <w:adjustRightInd w:val="0"/>
        <w:spacing w:after="0" w:line="240" w:lineRule="auto"/>
        <w:ind w:left="360"/>
        <w:jc w:val="both"/>
        <w:rPr>
          <w:rFonts w:cs="Calibri"/>
          <w:sz w:val="20"/>
          <w:szCs w:val="20"/>
        </w:rPr>
      </w:pPr>
      <w:r w:rsidRPr="003A176D">
        <w:rPr>
          <w:sz w:val="20"/>
          <w:szCs w:val="20"/>
        </w:rPr>
        <w:t>On March 27, 2019 a shareholder of the Company transferred 125,000 shares with a fair value of $62,501 pursuant to a debt settlement. This transfer was accounted for as a capital contribution to the Company.</w:t>
      </w:r>
    </w:p>
    <w:p w14:paraId="5719B887" w14:textId="7936FA99" w:rsidR="000E21F8" w:rsidRPr="003A176D" w:rsidRDefault="000E21F8" w:rsidP="0091531E">
      <w:pPr>
        <w:autoSpaceDE w:val="0"/>
        <w:autoSpaceDN w:val="0"/>
        <w:adjustRightInd w:val="0"/>
        <w:spacing w:after="0" w:line="240" w:lineRule="auto"/>
        <w:rPr>
          <w:rFonts w:asciiTheme="minorHAnsi" w:hAnsiTheme="minorHAnsi" w:cs="Arial"/>
          <w:b/>
          <w:sz w:val="20"/>
          <w:szCs w:val="20"/>
        </w:rPr>
      </w:pPr>
    </w:p>
    <w:p w14:paraId="4D38BD03" w14:textId="14B7F8A1"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70C9F879" w14:textId="0F4E3ECF"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47CC409F" w14:textId="01D80129"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56B13CDD" w14:textId="6878C240"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7BC10B88" w14:textId="37E44B08"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4C1F37AA" w14:textId="64A752B7"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021D2E25" w14:textId="347FF7FE"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2C5987BF" w14:textId="01B964E9"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1F4D42FB" w14:textId="77777777" w:rsidR="003C6430" w:rsidRPr="003A176D" w:rsidRDefault="003C6430" w:rsidP="0091531E">
      <w:pPr>
        <w:autoSpaceDE w:val="0"/>
        <w:autoSpaceDN w:val="0"/>
        <w:adjustRightInd w:val="0"/>
        <w:spacing w:after="0" w:line="240" w:lineRule="auto"/>
        <w:rPr>
          <w:rFonts w:asciiTheme="minorHAnsi" w:hAnsiTheme="minorHAnsi" w:cs="Arial"/>
          <w:b/>
          <w:sz w:val="20"/>
          <w:szCs w:val="20"/>
        </w:rPr>
      </w:pPr>
    </w:p>
    <w:p w14:paraId="409DEA52" w14:textId="4EA4F8A0" w:rsidR="009C52CC" w:rsidRPr="003A176D" w:rsidRDefault="003C5C84" w:rsidP="0091531E">
      <w:pPr>
        <w:autoSpaceDE w:val="0"/>
        <w:autoSpaceDN w:val="0"/>
        <w:adjustRightInd w:val="0"/>
        <w:spacing w:after="0" w:line="240" w:lineRule="auto"/>
        <w:rPr>
          <w:rFonts w:asciiTheme="minorHAnsi" w:hAnsiTheme="minorHAnsi" w:cs="Arial"/>
          <w:b/>
          <w:sz w:val="20"/>
          <w:szCs w:val="20"/>
        </w:rPr>
      </w:pPr>
      <w:r w:rsidRPr="003A176D">
        <w:rPr>
          <w:rFonts w:asciiTheme="minorHAnsi" w:hAnsiTheme="minorHAnsi" w:cs="Arial"/>
          <w:b/>
          <w:sz w:val="20"/>
          <w:szCs w:val="20"/>
        </w:rPr>
        <w:lastRenderedPageBreak/>
        <w:t>8</w:t>
      </w:r>
      <w:r w:rsidR="000E21F8" w:rsidRPr="003A176D">
        <w:rPr>
          <w:rFonts w:asciiTheme="minorHAnsi" w:hAnsiTheme="minorHAnsi" w:cs="Arial"/>
          <w:b/>
          <w:sz w:val="20"/>
          <w:szCs w:val="20"/>
        </w:rPr>
        <w:t>.</w:t>
      </w:r>
      <w:r w:rsidR="001C6357" w:rsidRPr="003A176D">
        <w:rPr>
          <w:rFonts w:asciiTheme="minorHAnsi" w:hAnsiTheme="minorHAnsi" w:cs="Arial"/>
          <w:b/>
          <w:sz w:val="20"/>
          <w:szCs w:val="20"/>
        </w:rPr>
        <w:t xml:space="preserve">    </w:t>
      </w:r>
      <w:r w:rsidR="009C52CC" w:rsidRPr="003A176D">
        <w:rPr>
          <w:rFonts w:asciiTheme="minorHAnsi" w:hAnsiTheme="minorHAnsi" w:cs="Arial"/>
          <w:b/>
          <w:sz w:val="20"/>
          <w:szCs w:val="20"/>
        </w:rPr>
        <w:t>Stock Options</w:t>
      </w:r>
    </w:p>
    <w:p w14:paraId="05331CCA" w14:textId="77777777" w:rsidR="009C52CC" w:rsidRPr="003A176D" w:rsidRDefault="009C52CC" w:rsidP="009C52CC">
      <w:pPr>
        <w:autoSpaceDE w:val="0"/>
        <w:autoSpaceDN w:val="0"/>
        <w:adjustRightInd w:val="0"/>
        <w:spacing w:after="0" w:line="240" w:lineRule="auto"/>
        <w:ind w:left="360"/>
        <w:rPr>
          <w:rFonts w:asciiTheme="minorHAnsi" w:hAnsiTheme="minorHAnsi" w:cs="Arial"/>
          <w:sz w:val="20"/>
          <w:szCs w:val="20"/>
        </w:rPr>
      </w:pPr>
    </w:p>
    <w:p w14:paraId="7018C7D1" w14:textId="387F961F" w:rsidR="009C52CC" w:rsidRPr="003A176D" w:rsidRDefault="00FA050A" w:rsidP="009C52CC">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 xml:space="preserve">As of </w:t>
      </w:r>
      <w:r w:rsidR="003C6430" w:rsidRPr="003A176D">
        <w:rPr>
          <w:sz w:val="20"/>
          <w:szCs w:val="20"/>
        </w:rPr>
        <w:t>June 30</w:t>
      </w:r>
      <w:r w:rsidR="00137FAA" w:rsidRPr="003A176D">
        <w:rPr>
          <w:sz w:val="20"/>
          <w:szCs w:val="20"/>
        </w:rPr>
        <w:t>, 2020</w:t>
      </w:r>
      <w:r w:rsidRPr="003A176D">
        <w:rPr>
          <w:sz w:val="20"/>
          <w:szCs w:val="20"/>
        </w:rPr>
        <w:t xml:space="preserve"> the Company has </w:t>
      </w:r>
      <w:r w:rsidR="00014300" w:rsidRPr="003A176D">
        <w:rPr>
          <w:sz w:val="20"/>
          <w:szCs w:val="20"/>
        </w:rPr>
        <w:t>granted</w:t>
      </w:r>
      <w:r w:rsidRPr="003A176D">
        <w:rPr>
          <w:sz w:val="20"/>
          <w:szCs w:val="20"/>
        </w:rPr>
        <w:t xml:space="preserve"> </w:t>
      </w:r>
      <w:r w:rsidR="003C6430" w:rsidRPr="003A176D">
        <w:rPr>
          <w:sz w:val="20"/>
          <w:szCs w:val="20"/>
        </w:rPr>
        <w:t xml:space="preserve">4,190,000 </w:t>
      </w:r>
      <w:r w:rsidRPr="003A176D">
        <w:rPr>
          <w:sz w:val="20"/>
          <w:szCs w:val="20"/>
        </w:rPr>
        <w:t xml:space="preserve">options </w:t>
      </w:r>
      <w:r w:rsidR="008F0E3F" w:rsidRPr="003A176D">
        <w:rPr>
          <w:sz w:val="20"/>
          <w:szCs w:val="20"/>
        </w:rPr>
        <w:t>(December 31, 201</w:t>
      </w:r>
      <w:r w:rsidR="00137FAA" w:rsidRPr="003A176D">
        <w:rPr>
          <w:sz w:val="20"/>
          <w:szCs w:val="20"/>
        </w:rPr>
        <w:t>9</w:t>
      </w:r>
      <w:r w:rsidR="008F0E3F" w:rsidRPr="003A176D">
        <w:rPr>
          <w:sz w:val="20"/>
          <w:szCs w:val="20"/>
        </w:rPr>
        <w:t xml:space="preserve"> – </w:t>
      </w:r>
      <w:r w:rsidR="00137FAA" w:rsidRPr="003A176D">
        <w:rPr>
          <w:sz w:val="20"/>
          <w:szCs w:val="20"/>
        </w:rPr>
        <w:t>3,015,000</w:t>
      </w:r>
      <w:r w:rsidR="008F0E3F" w:rsidRPr="003A176D">
        <w:rPr>
          <w:sz w:val="20"/>
          <w:szCs w:val="20"/>
        </w:rPr>
        <w:t xml:space="preserve">) </w:t>
      </w:r>
      <w:r w:rsidRPr="003A176D">
        <w:rPr>
          <w:sz w:val="20"/>
          <w:szCs w:val="20"/>
        </w:rPr>
        <w:t>to employees and key advisors of a possible pool of 6,</w:t>
      </w:r>
      <w:r w:rsidR="003C6430" w:rsidRPr="003A176D">
        <w:rPr>
          <w:sz w:val="20"/>
          <w:szCs w:val="20"/>
        </w:rPr>
        <w:t>907,916</w:t>
      </w:r>
      <w:r w:rsidR="009C52CC" w:rsidRPr="003A176D">
        <w:rPr>
          <w:sz w:val="20"/>
          <w:szCs w:val="20"/>
        </w:rPr>
        <w:t xml:space="preserve">. </w:t>
      </w:r>
    </w:p>
    <w:p w14:paraId="39E57D45" w14:textId="77777777" w:rsidR="00025AE0" w:rsidRPr="003A176D" w:rsidRDefault="00025AE0" w:rsidP="0091531E">
      <w:pPr>
        <w:tabs>
          <w:tab w:val="left" w:pos="810"/>
          <w:tab w:val="left" w:pos="1080"/>
          <w:tab w:val="left" w:pos="1800"/>
          <w:tab w:val="left" w:pos="2160"/>
        </w:tabs>
        <w:autoSpaceDE w:val="0"/>
        <w:autoSpaceDN w:val="0"/>
        <w:adjustRightInd w:val="0"/>
        <w:spacing w:after="0" w:line="240" w:lineRule="auto"/>
        <w:jc w:val="both"/>
        <w:rPr>
          <w:sz w:val="20"/>
          <w:szCs w:val="20"/>
        </w:rPr>
      </w:pPr>
    </w:p>
    <w:p w14:paraId="67B4467E"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The following table summarizes the continuity of the Company’s stock options:</w:t>
      </w:r>
    </w:p>
    <w:tbl>
      <w:tblPr>
        <w:tblW w:w="8996" w:type="dxa"/>
        <w:tblInd w:w="360" w:type="dxa"/>
        <w:tblCellMar>
          <w:left w:w="0" w:type="dxa"/>
          <w:right w:w="0" w:type="dxa"/>
        </w:tblCellMar>
        <w:tblLook w:val="0000" w:firstRow="0" w:lastRow="0" w:firstColumn="0" w:lastColumn="0" w:noHBand="0" w:noVBand="0"/>
      </w:tblPr>
      <w:tblGrid>
        <w:gridCol w:w="6407"/>
        <w:gridCol w:w="1259"/>
        <w:gridCol w:w="175"/>
        <w:gridCol w:w="1155"/>
      </w:tblGrid>
      <w:tr w:rsidR="00025AE0" w:rsidRPr="003A176D" w14:paraId="4AE0F076" w14:textId="77777777" w:rsidTr="00720E28">
        <w:tc>
          <w:tcPr>
            <w:tcW w:w="6407" w:type="dxa"/>
            <w:tcBorders>
              <w:top w:val="single" w:sz="4" w:space="0" w:color="auto"/>
              <w:bottom w:val="single" w:sz="4" w:space="0" w:color="auto"/>
            </w:tcBorders>
            <w:vAlign w:val="bottom"/>
          </w:tcPr>
          <w:p w14:paraId="0A0137DA"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259" w:type="dxa"/>
            <w:tcBorders>
              <w:top w:val="single" w:sz="4" w:space="0" w:color="auto"/>
              <w:bottom w:val="single" w:sz="4" w:space="0" w:color="auto"/>
            </w:tcBorders>
            <w:vAlign w:val="bottom"/>
          </w:tcPr>
          <w:p w14:paraId="6BC86522"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r w:rsidRPr="003A176D">
              <w:rPr>
                <w:sz w:val="20"/>
                <w:szCs w:val="20"/>
              </w:rPr>
              <w:t>Number</w:t>
            </w:r>
            <w:r w:rsidRPr="003A176D">
              <w:rPr>
                <w:sz w:val="20"/>
                <w:szCs w:val="20"/>
              </w:rPr>
              <w:br/>
              <w:t>of options</w:t>
            </w:r>
          </w:p>
        </w:tc>
        <w:tc>
          <w:tcPr>
            <w:tcW w:w="175" w:type="dxa"/>
            <w:tcBorders>
              <w:top w:val="single" w:sz="4" w:space="0" w:color="auto"/>
              <w:bottom w:val="single" w:sz="4" w:space="0" w:color="auto"/>
            </w:tcBorders>
            <w:vAlign w:val="bottom"/>
          </w:tcPr>
          <w:p w14:paraId="01DCB960"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155" w:type="dxa"/>
            <w:tcBorders>
              <w:top w:val="single" w:sz="4" w:space="0" w:color="auto"/>
              <w:bottom w:val="single" w:sz="4" w:space="0" w:color="auto"/>
            </w:tcBorders>
            <w:tcMar>
              <w:left w:w="0" w:type="dxa"/>
              <w:right w:w="0" w:type="dxa"/>
            </w:tcMar>
            <w:vAlign w:val="bottom"/>
          </w:tcPr>
          <w:p w14:paraId="0BC03A45"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Weighted average</w:t>
            </w:r>
            <w:r w:rsidRPr="003A176D">
              <w:rPr>
                <w:sz w:val="20"/>
                <w:szCs w:val="20"/>
              </w:rPr>
              <w:br/>
              <w:t>exercise price</w:t>
            </w:r>
          </w:p>
          <w:p w14:paraId="68882ADB"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r w:rsidRPr="003A176D">
              <w:rPr>
                <w:sz w:val="20"/>
                <w:szCs w:val="20"/>
              </w:rPr>
              <w:t>$</w:t>
            </w:r>
          </w:p>
        </w:tc>
      </w:tr>
      <w:tr w:rsidR="00025AE0" w:rsidRPr="003A176D" w14:paraId="419A0CC4" w14:textId="77777777" w:rsidTr="00F4053A">
        <w:trPr>
          <w:trHeight w:val="66"/>
        </w:trPr>
        <w:tc>
          <w:tcPr>
            <w:tcW w:w="6407" w:type="dxa"/>
          </w:tcPr>
          <w:p w14:paraId="4674EC81" w14:textId="443E842C"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Outstanding, December 31, 201</w:t>
            </w:r>
            <w:r w:rsidR="00137FAA" w:rsidRPr="003A176D">
              <w:rPr>
                <w:sz w:val="20"/>
                <w:szCs w:val="20"/>
              </w:rPr>
              <w:t>9</w:t>
            </w:r>
          </w:p>
        </w:tc>
        <w:tc>
          <w:tcPr>
            <w:tcW w:w="1259" w:type="dxa"/>
          </w:tcPr>
          <w:p w14:paraId="0EA1F4E5" w14:textId="518415CA" w:rsidR="00025AE0" w:rsidRPr="003A176D" w:rsidRDefault="00137FAA"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3,015,000</w:t>
            </w:r>
          </w:p>
        </w:tc>
        <w:tc>
          <w:tcPr>
            <w:tcW w:w="175" w:type="dxa"/>
          </w:tcPr>
          <w:p w14:paraId="763CBB79" w14:textId="77777777" w:rsidR="00025AE0" w:rsidRPr="003A176D" w:rsidRDefault="00025AE0"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Pr>
          <w:p w14:paraId="12F0F956" w14:textId="0AA0B862" w:rsidR="00025AE0" w:rsidRPr="003A176D" w:rsidRDefault="008F0E3F"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0.5</w:t>
            </w:r>
            <w:r w:rsidR="00137FAA" w:rsidRPr="003A176D">
              <w:rPr>
                <w:bCs/>
                <w:sz w:val="20"/>
                <w:szCs w:val="20"/>
              </w:rPr>
              <w:t>0</w:t>
            </w:r>
          </w:p>
        </w:tc>
      </w:tr>
      <w:tr w:rsidR="008F0E3F" w:rsidRPr="003A176D" w14:paraId="44F06F7F" w14:textId="77777777" w:rsidTr="00F4053A">
        <w:trPr>
          <w:trHeight w:val="66"/>
        </w:trPr>
        <w:tc>
          <w:tcPr>
            <w:tcW w:w="6407" w:type="dxa"/>
          </w:tcPr>
          <w:p w14:paraId="41CA4726" w14:textId="681502E5" w:rsidR="008F0E3F" w:rsidRPr="003A176D" w:rsidRDefault="008F0E3F" w:rsidP="00025AE0">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Granted</w:t>
            </w:r>
          </w:p>
        </w:tc>
        <w:tc>
          <w:tcPr>
            <w:tcW w:w="1259" w:type="dxa"/>
          </w:tcPr>
          <w:p w14:paraId="081842F1" w14:textId="6922BD89" w:rsidR="008F0E3F" w:rsidRPr="003A176D" w:rsidRDefault="003C6430"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1,175,000</w:t>
            </w:r>
          </w:p>
        </w:tc>
        <w:tc>
          <w:tcPr>
            <w:tcW w:w="175" w:type="dxa"/>
          </w:tcPr>
          <w:p w14:paraId="25CCCBA1" w14:textId="77777777" w:rsidR="008F0E3F" w:rsidRPr="003A176D" w:rsidRDefault="008F0E3F"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Pr>
          <w:p w14:paraId="3CAC9C2E" w14:textId="007BDE69" w:rsidR="008F0E3F" w:rsidRPr="003A176D" w:rsidRDefault="008F0E3F"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0.</w:t>
            </w:r>
            <w:r w:rsidR="003C6430" w:rsidRPr="003A176D">
              <w:rPr>
                <w:bCs/>
                <w:sz w:val="20"/>
                <w:szCs w:val="20"/>
              </w:rPr>
              <w:t>39</w:t>
            </w:r>
          </w:p>
        </w:tc>
      </w:tr>
      <w:tr w:rsidR="00025AE0" w:rsidRPr="003A176D" w14:paraId="5E90629B" w14:textId="77777777" w:rsidTr="00F4053A">
        <w:trPr>
          <w:trHeight w:val="66"/>
        </w:trPr>
        <w:tc>
          <w:tcPr>
            <w:tcW w:w="6407" w:type="dxa"/>
            <w:tcBorders>
              <w:bottom w:val="single" w:sz="4" w:space="0" w:color="auto"/>
            </w:tcBorders>
            <w:shd w:val="clear" w:color="auto" w:fill="auto"/>
          </w:tcPr>
          <w:p w14:paraId="0BADE308" w14:textId="032675D7" w:rsidR="008F0E3F" w:rsidRPr="003A176D" w:rsidRDefault="008F0E3F" w:rsidP="008F0E3F">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Cancelled</w:t>
            </w:r>
          </w:p>
        </w:tc>
        <w:tc>
          <w:tcPr>
            <w:tcW w:w="1259" w:type="dxa"/>
            <w:tcBorders>
              <w:bottom w:val="single" w:sz="4" w:space="0" w:color="auto"/>
            </w:tcBorders>
            <w:shd w:val="clear" w:color="auto" w:fill="auto"/>
          </w:tcPr>
          <w:p w14:paraId="28EB6AB9" w14:textId="7719575D" w:rsidR="00025AE0" w:rsidRPr="003A176D" w:rsidRDefault="00137FAA"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w:t>
            </w:r>
          </w:p>
        </w:tc>
        <w:tc>
          <w:tcPr>
            <w:tcW w:w="175" w:type="dxa"/>
            <w:tcBorders>
              <w:bottom w:val="single" w:sz="4" w:space="0" w:color="auto"/>
            </w:tcBorders>
            <w:shd w:val="clear" w:color="auto" w:fill="auto"/>
          </w:tcPr>
          <w:p w14:paraId="6A69F340" w14:textId="77777777" w:rsidR="00025AE0" w:rsidRPr="003A176D" w:rsidRDefault="00025AE0"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Borders>
              <w:bottom w:val="single" w:sz="4" w:space="0" w:color="auto"/>
            </w:tcBorders>
            <w:shd w:val="clear" w:color="auto" w:fill="auto"/>
          </w:tcPr>
          <w:p w14:paraId="7DA5D95B" w14:textId="12CD9A0F" w:rsidR="00025AE0" w:rsidRPr="003A176D" w:rsidRDefault="00297B97" w:rsidP="00F4053A">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0.</w:t>
            </w:r>
            <w:r w:rsidR="00137FAA" w:rsidRPr="003A176D">
              <w:rPr>
                <w:bCs/>
                <w:sz w:val="20"/>
                <w:szCs w:val="20"/>
              </w:rPr>
              <w:t>50</w:t>
            </w:r>
          </w:p>
        </w:tc>
      </w:tr>
      <w:tr w:rsidR="00025AE0" w:rsidRPr="003A176D" w14:paraId="13C6A5D0" w14:textId="77777777" w:rsidTr="00F4053A">
        <w:trPr>
          <w:trHeight w:hRule="exact" w:val="115"/>
        </w:trPr>
        <w:tc>
          <w:tcPr>
            <w:tcW w:w="6407" w:type="dxa"/>
            <w:tcBorders>
              <w:top w:val="single" w:sz="4" w:space="0" w:color="auto"/>
            </w:tcBorders>
            <w:shd w:val="clear" w:color="auto" w:fill="auto"/>
          </w:tcPr>
          <w:p w14:paraId="6423B989"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sz w:val="20"/>
                <w:szCs w:val="20"/>
              </w:rPr>
            </w:pPr>
          </w:p>
        </w:tc>
        <w:tc>
          <w:tcPr>
            <w:tcW w:w="1259" w:type="dxa"/>
            <w:tcBorders>
              <w:top w:val="single" w:sz="4" w:space="0" w:color="auto"/>
            </w:tcBorders>
            <w:shd w:val="clear" w:color="auto" w:fill="auto"/>
            <w:vAlign w:val="bottom"/>
          </w:tcPr>
          <w:p w14:paraId="4991A5D2"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75" w:type="dxa"/>
            <w:tcBorders>
              <w:top w:val="single" w:sz="4" w:space="0" w:color="auto"/>
            </w:tcBorders>
            <w:shd w:val="clear" w:color="auto" w:fill="auto"/>
          </w:tcPr>
          <w:p w14:paraId="73933616"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155" w:type="dxa"/>
            <w:tcBorders>
              <w:top w:val="single" w:sz="4" w:space="0" w:color="auto"/>
            </w:tcBorders>
            <w:shd w:val="clear" w:color="auto" w:fill="auto"/>
          </w:tcPr>
          <w:p w14:paraId="718EF129"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r>
      <w:tr w:rsidR="00025AE0" w:rsidRPr="003A176D" w14:paraId="22352CDD" w14:textId="77777777" w:rsidTr="00F4053A">
        <w:tc>
          <w:tcPr>
            <w:tcW w:w="6407" w:type="dxa"/>
            <w:tcBorders>
              <w:bottom w:val="double" w:sz="4" w:space="0" w:color="auto"/>
            </w:tcBorders>
            <w:shd w:val="clear" w:color="auto" w:fill="auto"/>
          </w:tcPr>
          <w:p w14:paraId="46D3D00A" w14:textId="050A6B44"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 xml:space="preserve">Outstanding, </w:t>
            </w:r>
            <w:r w:rsidR="001F7609" w:rsidRPr="003A176D">
              <w:rPr>
                <w:sz w:val="20"/>
                <w:szCs w:val="20"/>
              </w:rPr>
              <w:t>March 31, 2020</w:t>
            </w:r>
          </w:p>
        </w:tc>
        <w:tc>
          <w:tcPr>
            <w:tcW w:w="1259" w:type="dxa"/>
            <w:tcBorders>
              <w:bottom w:val="double" w:sz="4" w:space="0" w:color="auto"/>
            </w:tcBorders>
            <w:shd w:val="clear" w:color="auto" w:fill="auto"/>
            <w:vAlign w:val="bottom"/>
          </w:tcPr>
          <w:p w14:paraId="46E0E14E" w14:textId="604F2369" w:rsidR="00025AE0" w:rsidRPr="003A176D" w:rsidRDefault="003C643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r w:rsidRPr="003A176D">
              <w:rPr>
                <w:sz w:val="20"/>
                <w:szCs w:val="20"/>
                <w:lang w:val="en-CA"/>
              </w:rPr>
              <w:t xml:space="preserve"> 4,190,000</w:t>
            </w:r>
          </w:p>
        </w:tc>
        <w:tc>
          <w:tcPr>
            <w:tcW w:w="175" w:type="dxa"/>
            <w:tcBorders>
              <w:bottom w:val="double" w:sz="4" w:space="0" w:color="auto"/>
            </w:tcBorders>
            <w:shd w:val="clear" w:color="auto" w:fill="auto"/>
          </w:tcPr>
          <w:p w14:paraId="3C3046BA" w14:textId="77777777" w:rsidR="00025AE0" w:rsidRPr="003A176D" w:rsidRDefault="00025AE0" w:rsidP="00025AE0">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155" w:type="dxa"/>
            <w:tcBorders>
              <w:bottom w:val="double" w:sz="4" w:space="0" w:color="auto"/>
            </w:tcBorders>
            <w:shd w:val="clear" w:color="auto" w:fill="auto"/>
            <w:vAlign w:val="bottom"/>
          </w:tcPr>
          <w:p w14:paraId="23161BCC" w14:textId="5142189C" w:rsidR="00025AE0" w:rsidRPr="003A176D" w:rsidRDefault="00297B97" w:rsidP="003C6430">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sz w:val="20"/>
                <w:szCs w:val="20"/>
                <w:lang w:val="en-CA"/>
              </w:rPr>
              <w:t>0</w:t>
            </w:r>
            <w:r w:rsidR="003C6430" w:rsidRPr="003A176D">
              <w:rPr>
                <w:sz w:val="20"/>
                <w:szCs w:val="20"/>
                <w:lang w:val="en-CA"/>
              </w:rPr>
              <w:t>.47</w:t>
            </w:r>
          </w:p>
        </w:tc>
      </w:tr>
    </w:tbl>
    <w:p w14:paraId="306C21A3" w14:textId="3EDD46E1" w:rsidR="00F64DD5" w:rsidRPr="003A176D" w:rsidRDefault="00F64DD5" w:rsidP="0091531E">
      <w:pPr>
        <w:autoSpaceDE w:val="0"/>
        <w:autoSpaceDN w:val="0"/>
        <w:adjustRightInd w:val="0"/>
        <w:spacing w:after="0" w:line="240" w:lineRule="auto"/>
        <w:rPr>
          <w:rFonts w:asciiTheme="minorHAnsi" w:hAnsiTheme="minorHAnsi" w:cs="Arial"/>
          <w:b/>
          <w:sz w:val="20"/>
          <w:szCs w:val="20"/>
        </w:rPr>
      </w:pPr>
    </w:p>
    <w:p w14:paraId="249EBCDE" w14:textId="1EA2F334" w:rsidR="00025AE0" w:rsidRPr="003A176D" w:rsidRDefault="00025AE0" w:rsidP="00025AE0">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 xml:space="preserve">Additional information regarding stock options outstanding as at </w:t>
      </w:r>
      <w:r w:rsidR="003C6430" w:rsidRPr="003A176D">
        <w:rPr>
          <w:rFonts w:asciiTheme="minorHAnsi" w:eastAsia="SimSun" w:hAnsiTheme="minorHAnsi" w:cs="Arial"/>
          <w:sz w:val="20"/>
          <w:szCs w:val="20"/>
          <w:lang w:val="en-CA" w:eastAsia="x-none"/>
        </w:rPr>
        <w:t>June 30</w:t>
      </w:r>
      <w:r w:rsidR="001F7609" w:rsidRPr="003A176D">
        <w:rPr>
          <w:rFonts w:asciiTheme="minorHAnsi" w:eastAsia="SimSun" w:hAnsiTheme="minorHAnsi" w:cs="Arial"/>
          <w:sz w:val="20"/>
          <w:szCs w:val="20"/>
          <w:lang w:val="en-CA" w:eastAsia="x-none"/>
        </w:rPr>
        <w:t>, 2020</w:t>
      </w:r>
      <w:r w:rsidRPr="003A176D">
        <w:rPr>
          <w:rFonts w:asciiTheme="minorHAnsi" w:eastAsia="SimSun" w:hAnsiTheme="minorHAnsi" w:cs="Arial"/>
          <w:sz w:val="20"/>
          <w:szCs w:val="20"/>
          <w:lang w:val="en-CA" w:eastAsia="x-none"/>
        </w:rPr>
        <w:t>, is as follows:</w:t>
      </w:r>
    </w:p>
    <w:tbl>
      <w:tblPr>
        <w:tblW w:w="8910" w:type="dxa"/>
        <w:tblInd w:w="450" w:type="dxa"/>
        <w:tblCellMar>
          <w:left w:w="0" w:type="dxa"/>
          <w:right w:w="0" w:type="dxa"/>
        </w:tblCellMar>
        <w:tblLook w:val="0000" w:firstRow="0" w:lastRow="0" w:firstColumn="0" w:lastColumn="0" w:noHBand="0" w:noVBand="0"/>
      </w:tblPr>
      <w:tblGrid>
        <w:gridCol w:w="1710"/>
        <w:gridCol w:w="1352"/>
        <w:gridCol w:w="1296"/>
        <w:gridCol w:w="1439"/>
        <w:gridCol w:w="270"/>
        <w:gridCol w:w="1313"/>
        <w:gridCol w:w="1530"/>
      </w:tblGrid>
      <w:tr w:rsidR="00025AE0" w:rsidRPr="003A176D" w14:paraId="2D31BDCF" w14:textId="77777777" w:rsidTr="00720E28">
        <w:tc>
          <w:tcPr>
            <w:tcW w:w="1710" w:type="dxa"/>
            <w:tcBorders>
              <w:top w:val="single" w:sz="4" w:space="0" w:color="auto"/>
              <w:left w:val="nil"/>
              <w:right w:val="nil"/>
            </w:tcBorders>
            <w:vAlign w:val="bottom"/>
          </w:tcPr>
          <w:p w14:paraId="78C0573A"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ab/>
            </w:r>
          </w:p>
        </w:tc>
        <w:tc>
          <w:tcPr>
            <w:tcW w:w="4087" w:type="dxa"/>
            <w:gridSpan w:val="3"/>
            <w:tcBorders>
              <w:top w:val="single" w:sz="4" w:space="0" w:color="auto"/>
              <w:left w:val="nil"/>
              <w:bottom w:val="single" w:sz="4" w:space="0" w:color="auto"/>
              <w:right w:val="nil"/>
            </w:tcBorders>
            <w:vAlign w:val="bottom"/>
          </w:tcPr>
          <w:p w14:paraId="05DF5053"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Outstanding</w:t>
            </w:r>
          </w:p>
        </w:tc>
        <w:tc>
          <w:tcPr>
            <w:tcW w:w="270" w:type="dxa"/>
            <w:tcBorders>
              <w:top w:val="single" w:sz="4" w:space="0" w:color="auto"/>
              <w:left w:val="nil"/>
              <w:right w:val="nil"/>
            </w:tcBorders>
            <w:vAlign w:val="bottom"/>
          </w:tcPr>
          <w:p w14:paraId="63192431"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843" w:type="dxa"/>
            <w:gridSpan w:val="2"/>
            <w:tcBorders>
              <w:top w:val="single" w:sz="4" w:space="0" w:color="auto"/>
              <w:left w:val="nil"/>
              <w:bottom w:val="single" w:sz="4" w:space="0" w:color="auto"/>
              <w:right w:val="nil"/>
            </w:tcBorders>
            <w:vAlign w:val="bottom"/>
          </w:tcPr>
          <w:p w14:paraId="568E53CD"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Exercisable</w:t>
            </w:r>
          </w:p>
        </w:tc>
      </w:tr>
      <w:tr w:rsidR="00025AE0" w:rsidRPr="003A176D" w14:paraId="2BE9ADB1" w14:textId="77777777" w:rsidTr="00025AE0">
        <w:trPr>
          <w:trHeight w:val="1087"/>
        </w:trPr>
        <w:tc>
          <w:tcPr>
            <w:tcW w:w="1710" w:type="dxa"/>
            <w:tcBorders>
              <w:left w:val="nil"/>
              <w:bottom w:val="single" w:sz="4" w:space="0" w:color="auto"/>
              <w:right w:val="nil"/>
            </w:tcBorders>
            <w:vAlign w:val="bottom"/>
          </w:tcPr>
          <w:p w14:paraId="684B7BF9"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Exercise price</w:t>
            </w:r>
          </w:p>
          <w:p w14:paraId="32DFEE21"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t>
            </w:r>
          </w:p>
        </w:tc>
        <w:tc>
          <w:tcPr>
            <w:tcW w:w="1352" w:type="dxa"/>
            <w:tcBorders>
              <w:top w:val="single" w:sz="4" w:space="0" w:color="auto"/>
              <w:left w:val="nil"/>
              <w:bottom w:val="single" w:sz="4" w:space="0" w:color="auto"/>
              <w:right w:val="nil"/>
            </w:tcBorders>
            <w:vAlign w:val="bottom"/>
          </w:tcPr>
          <w:p w14:paraId="53BF2654" w14:textId="77777777" w:rsidR="00025AE0" w:rsidRPr="003A176D" w:rsidRDefault="00025AE0" w:rsidP="00025AE0">
            <w:pPr>
              <w:overflowPunct w:val="0"/>
              <w:autoSpaceDE w:val="0"/>
              <w:autoSpaceDN w:val="0"/>
              <w:adjustRightInd w:val="0"/>
              <w:spacing w:after="0" w:line="240" w:lineRule="auto"/>
              <w:ind w:right="101"/>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Number of options</w:t>
            </w:r>
          </w:p>
        </w:tc>
        <w:tc>
          <w:tcPr>
            <w:tcW w:w="1296" w:type="dxa"/>
            <w:tcBorders>
              <w:top w:val="single" w:sz="4" w:space="0" w:color="auto"/>
              <w:left w:val="nil"/>
              <w:bottom w:val="single" w:sz="4" w:space="0" w:color="auto"/>
              <w:right w:val="nil"/>
            </w:tcBorders>
            <w:vAlign w:val="bottom"/>
          </w:tcPr>
          <w:p w14:paraId="672E4326"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Weighted average remaining contractual life (years)</w:t>
            </w:r>
          </w:p>
        </w:tc>
        <w:tc>
          <w:tcPr>
            <w:tcW w:w="1439" w:type="dxa"/>
            <w:tcBorders>
              <w:top w:val="single" w:sz="4" w:space="0" w:color="auto"/>
              <w:left w:val="nil"/>
              <w:bottom w:val="single" w:sz="4" w:space="0" w:color="auto"/>
              <w:right w:val="nil"/>
            </w:tcBorders>
            <w:vAlign w:val="bottom"/>
          </w:tcPr>
          <w:p w14:paraId="74D2F273"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Weighted average</w:t>
            </w:r>
          </w:p>
          <w:p w14:paraId="5BAC2A53"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exercise price</w:t>
            </w:r>
          </w:p>
          <w:p w14:paraId="76E0986D"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t>
            </w:r>
          </w:p>
        </w:tc>
        <w:tc>
          <w:tcPr>
            <w:tcW w:w="270" w:type="dxa"/>
            <w:tcBorders>
              <w:top w:val="nil"/>
              <w:left w:val="nil"/>
              <w:right w:val="nil"/>
            </w:tcBorders>
            <w:vAlign w:val="bottom"/>
          </w:tcPr>
          <w:p w14:paraId="21448B7B"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1313" w:type="dxa"/>
            <w:tcBorders>
              <w:top w:val="single" w:sz="4" w:space="0" w:color="auto"/>
              <w:left w:val="nil"/>
              <w:bottom w:val="single" w:sz="4" w:space="0" w:color="auto"/>
              <w:right w:val="nil"/>
            </w:tcBorders>
            <w:vAlign w:val="bottom"/>
          </w:tcPr>
          <w:p w14:paraId="5DA7A727" w14:textId="77777777" w:rsidR="00025AE0" w:rsidRPr="003A176D" w:rsidRDefault="00025AE0" w:rsidP="00025AE0">
            <w:pPr>
              <w:overflowPunct w:val="0"/>
              <w:autoSpaceDE w:val="0"/>
              <w:autoSpaceDN w:val="0"/>
              <w:adjustRightInd w:val="0"/>
              <w:spacing w:after="0" w:line="240" w:lineRule="auto"/>
              <w:ind w:right="101"/>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Number of options</w:t>
            </w:r>
          </w:p>
        </w:tc>
        <w:tc>
          <w:tcPr>
            <w:tcW w:w="1530" w:type="dxa"/>
            <w:tcBorders>
              <w:top w:val="single" w:sz="4" w:space="0" w:color="auto"/>
              <w:left w:val="nil"/>
              <w:bottom w:val="single" w:sz="4" w:space="0" w:color="auto"/>
              <w:right w:val="nil"/>
            </w:tcBorders>
            <w:vAlign w:val="bottom"/>
          </w:tcPr>
          <w:p w14:paraId="03C46939"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Weighted average</w:t>
            </w:r>
          </w:p>
          <w:p w14:paraId="21057252"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exercise price</w:t>
            </w:r>
          </w:p>
          <w:p w14:paraId="68FF799F"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t>
            </w:r>
          </w:p>
        </w:tc>
      </w:tr>
      <w:tr w:rsidR="00025AE0" w:rsidRPr="003A176D" w14:paraId="706AD15A" w14:textId="77777777" w:rsidTr="00552E94">
        <w:trPr>
          <w:trHeight w:hRule="exact" w:val="115"/>
        </w:trPr>
        <w:tc>
          <w:tcPr>
            <w:tcW w:w="1710" w:type="dxa"/>
            <w:tcBorders>
              <w:top w:val="single" w:sz="4" w:space="0" w:color="auto"/>
              <w:left w:val="nil"/>
              <w:right w:val="nil"/>
            </w:tcBorders>
            <w:vAlign w:val="bottom"/>
          </w:tcPr>
          <w:p w14:paraId="3EB92C7A"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1352" w:type="dxa"/>
            <w:tcBorders>
              <w:top w:val="single" w:sz="4" w:space="0" w:color="auto"/>
              <w:left w:val="nil"/>
              <w:right w:val="nil"/>
            </w:tcBorders>
          </w:tcPr>
          <w:p w14:paraId="60EC219B"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296" w:type="dxa"/>
            <w:tcBorders>
              <w:left w:val="nil"/>
              <w:right w:val="nil"/>
            </w:tcBorders>
            <w:vAlign w:val="bottom"/>
          </w:tcPr>
          <w:p w14:paraId="5DD2169E"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439" w:type="dxa"/>
            <w:tcBorders>
              <w:top w:val="single" w:sz="4" w:space="0" w:color="auto"/>
              <w:left w:val="nil"/>
              <w:right w:val="nil"/>
            </w:tcBorders>
            <w:vAlign w:val="bottom"/>
          </w:tcPr>
          <w:p w14:paraId="5FBA8709"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270" w:type="dxa"/>
            <w:tcBorders>
              <w:left w:val="nil"/>
              <w:right w:val="nil"/>
            </w:tcBorders>
            <w:vAlign w:val="bottom"/>
          </w:tcPr>
          <w:p w14:paraId="11DB43BB"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top w:val="single" w:sz="4" w:space="0" w:color="auto"/>
              <w:left w:val="nil"/>
              <w:right w:val="nil"/>
            </w:tcBorders>
            <w:vAlign w:val="bottom"/>
          </w:tcPr>
          <w:p w14:paraId="23C22025"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530" w:type="dxa"/>
            <w:tcBorders>
              <w:top w:val="single" w:sz="4" w:space="0" w:color="auto"/>
              <w:left w:val="nil"/>
              <w:right w:val="nil"/>
            </w:tcBorders>
            <w:vAlign w:val="bottom"/>
          </w:tcPr>
          <w:p w14:paraId="695802A8"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r>
      <w:tr w:rsidR="00025AE0" w:rsidRPr="003A176D" w14:paraId="66275738" w14:textId="77777777" w:rsidTr="00704BB5">
        <w:tc>
          <w:tcPr>
            <w:tcW w:w="1710" w:type="dxa"/>
            <w:tcBorders>
              <w:top w:val="nil"/>
              <w:left w:val="nil"/>
              <w:right w:val="nil"/>
            </w:tcBorders>
            <w:vAlign w:val="bottom"/>
          </w:tcPr>
          <w:p w14:paraId="6AA1EF82" w14:textId="77739ECD" w:rsidR="00025AE0" w:rsidRPr="003A176D" w:rsidRDefault="00297B97"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w:t>
            </w:r>
            <w:r w:rsidR="003C6430" w:rsidRPr="003A176D">
              <w:rPr>
                <w:rFonts w:asciiTheme="minorHAnsi" w:eastAsia="SimSun" w:hAnsiTheme="minorHAnsi" w:cs="Arial"/>
                <w:sz w:val="20"/>
                <w:szCs w:val="20"/>
                <w:lang w:val="en-CA"/>
              </w:rPr>
              <w:t>50</w:t>
            </w:r>
          </w:p>
        </w:tc>
        <w:tc>
          <w:tcPr>
            <w:tcW w:w="1352" w:type="dxa"/>
            <w:tcBorders>
              <w:top w:val="nil"/>
              <w:left w:val="nil"/>
              <w:right w:val="nil"/>
            </w:tcBorders>
          </w:tcPr>
          <w:p w14:paraId="616E3267" w14:textId="446226D2" w:rsidR="00025AE0" w:rsidRPr="003A176D" w:rsidRDefault="00D83F9D" w:rsidP="00025AE0">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3,015,000</w:t>
            </w:r>
          </w:p>
        </w:tc>
        <w:tc>
          <w:tcPr>
            <w:tcW w:w="1296" w:type="dxa"/>
            <w:tcBorders>
              <w:top w:val="nil"/>
              <w:left w:val="nil"/>
              <w:right w:val="nil"/>
            </w:tcBorders>
            <w:vAlign w:val="bottom"/>
          </w:tcPr>
          <w:p w14:paraId="5B909400" w14:textId="0E082739" w:rsidR="00025AE0" w:rsidRPr="003A176D" w:rsidRDefault="00D83F9D" w:rsidP="00025AE0">
            <w:pPr>
              <w:overflowPunct w:val="0"/>
              <w:autoSpaceDE w:val="0"/>
              <w:autoSpaceDN w:val="0"/>
              <w:adjustRightInd w:val="0"/>
              <w:spacing w:after="0" w:line="240" w:lineRule="auto"/>
              <w:ind w:right="476"/>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8.</w:t>
            </w:r>
            <w:r w:rsidR="00704BB5" w:rsidRPr="003A176D">
              <w:rPr>
                <w:rFonts w:asciiTheme="minorHAnsi" w:eastAsia="SimSun" w:hAnsiTheme="minorHAnsi" w:cs="Arial"/>
                <w:sz w:val="20"/>
                <w:szCs w:val="20"/>
                <w:lang w:val="en-CA"/>
              </w:rPr>
              <w:t>31</w:t>
            </w:r>
          </w:p>
        </w:tc>
        <w:tc>
          <w:tcPr>
            <w:tcW w:w="1439" w:type="dxa"/>
            <w:tcBorders>
              <w:top w:val="nil"/>
              <w:left w:val="nil"/>
              <w:right w:val="nil"/>
            </w:tcBorders>
            <w:vAlign w:val="bottom"/>
          </w:tcPr>
          <w:p w14:paraId="548AA422" w14:textId="20F5A68C" w:rsidR="00025AE0" w:rsidRPr="003A176D" w:rsidRDefault="00025AE0" w:rsidP="00025AE0">
            <w:pPr>
              <w:overflowPunct w:val="0"/>
              <w:autoSpaceDE w:val="0"/>
              <w:autoSpaceDN w:val="0"/>
              <w:adjustRightInd w:val="0"/>
              <w:spacing w:after="0" w:line="240" w:lineRule="auto"/>
              <w:ind w:right="482"/>
              <w:jc w:val="right"/>
              <w:textAlignment w:val="baseline"/>
              <w:rPr>
                <w:rFonts w:asciiTheme="minorHAnsi" w:eastAsia="SimSun" w:hAnsiTheme="minorHAnsi" w:cs="Arial"/>
                <w:sz w:val="20"/>
                <w:szCs w:val="20"/>
                <w:lang w:val="en-CA"/>
              </w:rPr>
            </w:pPr>
          </w:p>
        </w:tc>
        <w:tc>
          <w:tcPr>
            <w:tcW w:w="270" w:type="dxa"/>
            <w:tcBorders>
              <w:top w:val="nil"/>
              <w:left w:val="nil"/>
              <w:right w:val="nil"/>
            </w:tcBorders>
            <w:vAlign w:val="bottom"/>
          </w:tcPr>
          <w:p w14:paraId="65C787E9" w14:textId="77777777" w:rsidR="00025AE0" w:rsidRPr="003A176D" w:rsidRDefault="00025AE0"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top w:val="nil"/>
              <w:left w:val="nil"/>
              <w:right w:val="nil"/>
            </w:tcBorders>
          </w:tcPr>
          <w:p w14:paraId="32B5F480" w14:textId="0F6DCA84" w:rsidR="00025AE0" w:rsidRPr="003A176D" w:rsidRDefault="00025AE0">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p>
        </w:tc>
        <w:tc>
          <w:tcPr>
            <w:tcW w:w="1530" w:type="dxa"/>
            <w:tcBorders>
              <w:top w:val="nil"/>
              <w:left w:val="nil"/>
              <w:right w:val="nil"/>
            </w:tcBorders>
            <w:vAlign w:val="bottom"/>
          </w:tcPr>
          <w:p w14:paraId="097199D6" w14:textId="2336FBFC" w:rsidR="00025AE0" w:rsidRPr="003A176D" w:rsidRDefault="00025AE0" w:rsidP="00025AE0">
            <w:pPr>
              <w:overflowPunct w:val="0"/>
              <w:autoSpaceDE w:val="0"/>
              <w:autoSpaceDN w:val="0"/>
              <w:adjustRightInd w:val="0"/>
              <w:spacing w:after="0" w:line="240" w:lineRule="auto"/>
              <w:ind w:right="450"/>
              <w:jc w:val="right"/>
              <w:textAlignment w:val="baseline"/>
              <w:rPr>
                <w:rFonts w:asciiTheme="minorHAnsi" w:eastAsia="SimSun" w:hAnsiTheme="minorHAnsi"/>
                <w:bCs/>
                <w:sz w:val="20"/>
                <w:szCs w:val="20"/>
                <w:lang w:val="en-CA"/>
              </w:rPr>
            </w:pPr>
          </w:p>
        </w:tc>
      </w:tr>
      <w:tr w:rsidR="00704BB5" w:rsidRPr="003A176D" w14:paraId="31B0A03B" w14:textId="77777777" w:rsidTr="00704BB5">
        <w:tc>
          <w:tcPr>
            <w:tcW w:w="1710" w:type="dxa"/>
            <w:tcBorders>
              <w:top w:val="nil"/>
              <w:left w:val="nil"/>
              <w:right w:val="nil"/>
            </w:tcBorders>
            <w:vAlign w:val="bottom"/>
          </w:tcPr>
          <w:p w14:paraId="679487BD" w14:textId="7B5FB703" w:rsidR="00704BB5" w:rsidRPr="003A176D" w:rsidRDefault="00704BB5"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0.35</w:t>
            </w:r>
          </w:p>
        </w:tc>
        <w:tc>
          <w:tcPr>
            <w:tcW w:w="1352" w:type="dxa"/>
            <w:tcBorders>
              <w:top w:val="nil"/>
              <w:left w:val="nil"/>
              <w:right w:val="nil"/>
            </w:tcBorders>
          </w:tcPr>
          <w:p w14:paraId="48284D14" w14:textId="1C26090B" w:rsidR="00704BB5" w:rsidRPr="003A176D" w:rsidRDefault="00704BB5" w:rsidP="00025AE0">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500,000</w:t>
            </w:r>
          </w:p>
        </w:tc>
        <w:tc>
          <w:tcPr>
            <w:tcW w:w="1296" w:type="dxa"/>
            <w:tcBorders>
              <w:top w:val="nil"/>
              <w:left w:val="nil"/>
              <w:right w:val="nil"/>
            </w:tcBorders>
            <w:vAlign w:val="bottom"/>
          </w:tcPr>
          <w:p w14:paraId="4D21D5ED" w14:textId="20E5CF9E" w:rsidR="00704BB5" w:rsidRPr="003A176D" w:rsidRDefault="00704BB5" w:rsidP="00025AE0">
            <w:pPr>
              <w:overflowPunct w:val="0"/>
              <w:autoSpaceDE w:val="0"/>
              <w:autoSpaceDN w:val="0"/>
              <w:adjustRightInd w:val="0"/>
              <w:spacing w:after="0" w:line="240" w:lineRule="auto"/>
              <w:ind w:right="476"/>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9.76</w:t>
            </w:r>
          </w:p>
        </w:tc>
        <w:tc>
          <w:tcPr>
            <w:tcW w:w="1439" w:type="dxa"/>
            <w:tcBorders>
              <w:top w:val="nil"/>
              <w:left w:val="nil"/>
              <w:right w:val="nil"/>
            </w:tcBorders>
            <w:vAlign w:val="bottom"/>
          </w:tcPr>
          <w:p w14:paraId="2618C0E3" w14:textId="4D85E2EF" w:rsidR="00704BB5" w:rsidRPr="003A176D" w:rsidRDefault="00704BB5" w:rsidP="00025AE0">
            <w:pPr>
              <w:overflowPunct w:val="0"/>
              <w:autoSpaceDE w:val="0"/>
              <w:autoSpaceDN w:val="0"/>
              <w:adjustRightInd w:val="0"/>
              <w:spacing w:after="0" w:line="240" w:lineRule="auto"/>
              <w:ind w:right="482"/>
              <w:jc w:val="right"/>
              <w:textAlignment w:val="baseline"/>
              <w:rPr>
                <w:rFonts w:asciiTheme="minorHAnsi" w:eastAsia="SimSun" w:hAnsiTheme="minorHAnsi" w:cs="Arial"/>
                <w:sz w:val="20"/>
                <w:szCs w:val="20"/>
                <w:lang w:val="en-CA"/>
              </w:rPr>
            </w:pPr>
          </w:p>
        </w:tc>
        <w:tc>
          <w:tcPr>
            <w:tcW w:w="270" w:type="dxa"/>
            <w:tcBorders>
              <w:top w:val="nil"/>
              <w:left w:val="nil"/>
              <w:right w:val="nil"/>
            </w:tcBorders>
            <w:vAlign w:val="bottom"/>
          </w:tcPr>
          <w:p w14:paraId="1EAC8B80" w14:textId="77777777" w:rsidR="00704BB5" w:rsidRPr="003A176D" w:rsidRDefault="00704BB5"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top w:val="nil"/>
              <w:left w:val="nil"/>
              <w:right w:val="nil"/>
            </w:tcBorders>
          </w:tcPr>
          <w:p w14:paraId="5C706878" w14:textId="77777777" w:rsidR="00704BB5" w:rsidRPr="003A176D" w:rsidRDefault="00704BB5">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p>
        </w:tc>
        <w:tc>
          <w:tcPr>
            <w:tcW w:w="1530" w:type="dxa"/>
            <w:tcBorders>
              <w:top w:val="nil"/>
              <w:left w:val="nil"/>
              <w:right w:val="nil"/>
            </w:tcBorders>
            <w:vAlign w:val="bottom"/>
          </w:tcPr>
          <w:p w14:paraId="5F649B8F" w14:textId="77777777" w:rsidR="00704BB5" w:rsidRPr="003A176D" w:rsidRDefault="00704BB5" w:rsidP="00025AE0">
            <w:pPr>
              <w:overflowPunct w:val="0"/>
              <w:autoSpaceDE w:val="0"/>
              <w:autoSpaceDN w:val="0"/>
              <w:adjustRightInd w:val="0"/>
              <w:spacing w:after="0" w:line="240" w:lineRule="auto"/>
              <w:ind w:right="450"/>
              <w:jc w:val="right"/>
              <w:textAlignment w:val="baseline"/>
              <w:rPr>
                <w:rFonts w:asciiTheme="minorHAnsi" w:eastAsia="SimSun" w:hAnsiTheme="minorHAnsi"/>
                <w:bCs/>
                <w:sz w:val="20"/>
                <w:szCs w:val="20"/>
                <w:lang w:val="en-CA"/>
              </w:rPr>
            </w:pPr>
          </w:p>
        </w:tc>
      </w:tr>
      <w:tr w:rsidR="00704BB5" w:rsidRPr="003A176D" w14:paraId="4BB6A8D1" w14:textId="77777777" w:rsidTr="00704BB5">
        <w:tc>
          <w:tcPr>
            <w:tcW w:w="1710" w:type="dxa"/>
            <w:tcBorders>
              <w:left w:val="nil"/>
              <w:bottom w:val="single" w:sz="4" w:space="0" w:color="auto"/>
              <w:right w:val="nil"/>
            </w:tcBorders>
            <w:vAlign w:val="bottom"/>
          </w:tcPr>
          <w:p w14:paraId="6EA2F3FB" w14:textId="0F1D42C7" w:rsidR="00704BB5" w:rsidRPr="003A176D" w:rsidRDefault="00704BB5"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0.42</w:t>
            </w:r>
          </w:p>
        </w:tc>
        <w:tc>
          <w:tcPr>
            <w:tcW w:w="1352" w:type="dxa"/>
            <w:tcBorders>
              <w:left w:val="nil"/>
              <w:bottom w:val="single" w:sz="4" w:space="0" w:color="auto"/>
              <w:right w:val="nil"/>
            </w:tcBorders>
          </w:tcPr>
          <w:p w14:paraId="7C76DB77" w14:textId="4F150949" w:rsidR="00704BB5" w:rsidRPr="003A176D" w:rsidRDefault="00704BB5" w:rsidP="00025AE0">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675,000</w:t>
            </w:r>
          </w:p>
        </w:tc>
        <w:tc>
          <w:tcPr>
            <w:tcW w:w="1296" w:type="dxa"/>
            <w:tcBorders>
              <w:left w:val="nil"/>
              <w:bottom w:val="single" w:sz="4" w:space="0" w:color="auto"/>
              <w:right w:val="nil"/>
            </w:tcBorders>
            <w:vAlign w:val="bottom"/>
          </w:tcPr>
          <w:p w14:paraId="76CE6B06" w14:textId="1D1CDE30" w:rsidR="00704BB5" w:rsidRPr="003A176D" w:rsidRDefault="00704BB5" w:rsidP="00025AE0">
            <w:pPr>
              <w:overflowPunct w:val="0"/>
              <w:autoSpaceDE w:val="0"/>
              <w:autoSpaceDN w:val="0"/>
              <w:adjustRightInd w:val="0"/>
              <w:spacing w:after="0" w:line="240" w:lineRule="auto"/>
              <w:ind w:right="476"/>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9.86</w:t>
            </w:r>
          </w:p>
        </w:tc>
        <w:tc>
          <w:tcPr>
            <w:tcW w:w="1439" w:type="dxa"/>
            <w:tcBorders>
              <w:left w:val="nil"/>
              <w:bottom w:val="single" w:sz="4" w:space="0" w:color="auto"/>
              <w:right w:val="nil"/>
            </w:tcBorders>
            <w:vAlign w:val="bottom"/>
          </w:tcPr>
          <w:p w14:paraId="67ECBCB0" w14:textId="77777777" w:rsidR="00704BB5" w:rsidRPr="003A176D" w:rsidRDefault="00704BB5" w:rsidP="00025AE0">
            <w:pPr>
              <w:overflowPunct w:val="0"/>
              <w:autoSpaceDE w:val="0"/>
              <w:autoSpaceDN w:val="0"/>
              <w:adjustRightInd w:val="0"/>
              <w:spacing w:after="0" w:line="240" w:lineRule="auto"/>
              <w:ind w:right="482"/>
              <w:jc w:val="right"/>
              <w:textAlignment w:val="baseline"/>
              <w:rPr>
                <w:rFonts w:asciiTheme="minorHAnsi" w:eastAsia="SimSun" w:hAnsiTheme="minorHAnsi" w:cs="Arial"/>
                <w:sz w:val="20"/>
                <w:szCs w:val="20"/>
                <w:lang w:val="en-CA"/>
              </w:rPr>
            </w:pPr>
          </w:p>
        </w:tc>
        <w:tc>
          <w:tcPr>
            <w:tcW w:w="270" w:type="dxa"/>
            <w:tcBorders>
              <w:left w:val="nil"/>
              <w:bottom w:val="single" w:sz="4" w:space="0" w:color="auto"/>
              <w:right w:val="nil"/>
            </w:tcBorders>
            <w:vAlign w:val="bottom"/>
          </w:tcPr>
          <w:p w14:paraId="000FA15B" w14:textId="77777777" w:rsidR="00704BB5" w:rsidRPr="003A176D" w:rsidRDefault="00704BB5" w:rsidP="00025AE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left w:val="nil"/>
              <w:bottom w:val="single" w:sz="4" w:space="0" w:color="auto"/>
              <w:right w:val="nil"/>
            </w:tcBorders>
          </w:tcPr>
          <w:p w14:paraId="72ADC55F" w14:textId="77777777" w:rsidR="00704BB5" w:rsidRPr="003A176D" w:rsidRDefault="00704BB5">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p>
        </w:tc>
        <w:tc>
          <w:tcPr>
            <w:tcW w:w="1530" w:type="dxa"/>
            <w:tcBorders>
              <w:left w:val="nil"/>
              <w:bottom w:val="single" w:sz="4" w:space="0" w:color="auto"/>
              <w:right w:val="nil"/>
            </w:tcBorders>
            <w:vAlign w:val="bottom"/>
          </w:tcPr>
          <w:p w14:paraId="0F79B8E3" w14:textId="77777777" w:rsidR="00704BB5" w:rsidRPr="003A176D" w:rsidRDefault="00704BB5" w:rsidP="00025AE0">
            <w:pPr>
              <w:overflowPunct w:val="0"/>
              <w:autoSpaceDE w:val="0"/>
              <w:autoSpaceDN w:val="0"/>
              <w:adjustRightInd w:val="0"/>
              <w:spacing w:after="0" w:line="240" w:lineRule="auto"/>
              <w:ind w:right="450"/>
              <w:jc w:val="right"/>
              <w:textAlignment w:val="baseline"/>
              <w:rPr>
                <w:rFonts w:asciiTheme="minorHAnsi" w:eastAsia="SimSun" w:hAnsiTheme="minorHAnsi"/>
                <w:bCs/>
                <w:sz w:val="20"/>
                <w:szCs w:val="20"/>
                <w:lang w:val="en-CA"/>
              </w:rPr>
            </w:pPr>
          </w:p>
        </w:tc>
      </w:tr>
      <w:tr w:rsidR="00704BB5" w:rsidRPr="003A176D" w14:paraId="0D9008A7" w14:textId="77777777" w:rsidTr="00704BB5">
        <w:tc>
          <w:tcPr>
            <w:tcW w:w="1710" w:type="dxa"/>
            <w:tcBorders>
              <w:top w:val="single" w:sz="4" w:space="0" w:color="auto"/>
              <w:left w:val="nil"/>
              <w:bottom w:val="double" w:sz="4" w:space="0" w:color="auto"/>
              <w:right w:val="nil"/>
            </w:tcBorders>
            <w:vAlign w:val="bottom"/>
          </w:tcPr>
          <w:p w14:paraId="77FE7732" w14:textId="77777777" w:rsidR="00704BB5" w:rsidRPr="003A176D" w:rsidRDefault="00704BB5" w:rsidP="00704BB5">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1352" w:type="dxa"/>
            <w:tcBorders>
              <w:top w:val="single" w:sz="4" w:space="0" w:color="auto"/>
              <w:left w:val="nil"/>
              <w:bottom w:val="double" w:sz="4" w:space="0" w:color="auto"/>
              <w:right w:val="nil"/>
            </w:tcBorders>
          </w:tcPr>
          <w:p w14:paraId="782FB10C" w14:textId="60FD9591" w:rsidR="00704BB5" w:rsidRPr="003A176D" w:rsidRDefault="00704BB5" w:rsidP="00704BB5">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4,190,000</w:t>
            </w:r>
          </w:p>
        </w:tc>
        <w:tc>
          <w:tcPr>
            <w:tcW w:w="1296" w:type="dxa"/>
            <w:tcBorders>
              <w:top w:val="single" w:sz="4" w:space="0" w:color="auto"/>
              <w:left w:val="nil"/>
              <w:bottom w:val="double" w:sz="4" w:space="0" w:color="auto"/>
              <w:right w:val="nil"/>
            </w:tcBorders>
            <w:vAlign w:val="bottom"/>
          </w:tcPr>
          <w:p w14:paraId="58A80B2D" w14:textId="46903EDE" w:rsidR="00704BB5" w:rsidRPr="003A176D" w:rsidRDefault="00704BB5" w:rsidP="00704BB5">
            <w:pPr>
              <w:overflowPunct w:val="0"/>
              <w:autoSpaceDE w:val="0"/>
              <w:autoSpaceDN w:val="0"/>
              <w:adjustRightInd w:val="0"/>
              <w:spacing w:after="0" w:line="240" w:lineRule="auto"/>
              <w:ind w:right="476"/>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8.74</w:t>
            </w:r>
          </w:p>
        </w:tc>
        <w:tc>
          <w:tcPr>
            <w:tcW w:w="1439" w:type="dxa"/>
            <w:tcBorders>
              <w:top w:val="single" w:sz="4" w:space="0" w:color="auto"/>
              <w:left w:val="nil"/>
              <w:bottom w:val="double" w:sz="4" w:space="0" w:color="auto"/>
              <w:right w:val="nil"/>
            </w:tcBorders>
            <w:vAlign w:val="bottom"/>
          </w:tcPr>
          <w:p w14:paraId="41C193E4" w14:textId="0B031EE1" w:rsidR="00704BB5" w:rsidRPr="003A176D" w:rsidRDefault="00704BB5" w:rsidP="00704BB5">
            <w:pPr>
              <w:overflowPunct w:val="0"/>
              <w:autoSpaceDE w:val="0"/>
              <w:autoSpaceDN w:val="0"/>
              <w:adjustRightInd w:val="0"/>
              <w:spacing w:after="0" w:line="240" w:lineRule="auto"/>
              <w:ind w:right="482"/>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0.47</w:t>
            </w:r>
          </w:p>
        </w:tc>
        <w:tc>
          <w:tcPr>
            <w:tcW w:w="270" w:type="dxa"/>
            <w:tcBorders>
              <w:top w:val="single" w:sz="4" w:space="0" w:color="auto"/>
              <w:left w:val="nil"/>
              <w:right w:val="nil"/>
            </w:tcBorders>
            <w:vAlign w:val="bottom"/>
          </w:tcPr>
          <w:p w14:paraId="3A5363CD" w14:textId="77777777" w:rsidR="00704BB5" w:rsidRPr="003A176D" w:rsidRDefault="00704BB5" w:rsidP="00704BB5">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top w:val="single" w:sz="4" w:space="0" w:color="auto"/>
              <w:left w:val="nil"/>
              <w:bottom w:val="double" w:sz="4" w:space="0" w:color="auto"/>
              <w:right w:val="nil"/>
            </w:tcBorders>
          </w:tcPr>
          <w:p w14:paraId="2C287E60" w14:textId="2A80746E" w:rsidR="00704BB5" w:rsidRPr="003A176D" w:rsidRDefault="00704BB5" w:rsidP="00704BB5">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2,019,063</w:t>
            </w:r>
          </w:p>
        </w:tc>
        <w:tc>
          <w:tcPr>
            <w:tcW w:w="1530" w:type="dxa"/>
            <w:tcBorders>
              <w:top w:val="single" w:sz="4" w:space="0" w:color="auto"/>
              <w:left w:val="nil"/>
              <w:bottom w:val="double" w:sz="4" w:space="0" w:color="auto"/>
              <w:right w:val="nil"/>
            </w:tcBorders>
            <w:vAlign w:val="bottom"/>
          </w:tcPr>
          <w:p w14:paraId="2884E69E" w14:textId="3CA9F1E0" w:rsidR="00704BB5" w:rsidRPr="003A176D" w:rsidRDefault="00704BB5" w:rsidP="00704BB5">
            <w:pPr>
              <w:overflowPunct w:val="0"/>
              <w:autoSpaceDE w:val="0"/>
              <w:autoSpaceDN w:val="0"/>
              <w:adjustRightInd w:val="0"/>
              <w:spacing w:after="0" w:line="240" w:lineRule="auto"/>
              <w:ind w:right="450"/>
              <w:jc w:val="right"/>
              <w:textAlignment w:val="baseline"/>
              <w:rPr>
                <w:rFonts w:asciiTheme="minorHAnsi" w:eastAsia="SimSun" w:hAnsiTheme="minorHAnsi"/>
                <w:bCs/>
                <w:sz w:val="20"/>
                <w:szCs w:val="20"/>
                <w:lang w:val="en-CA"/>
              </w:rPr>
            </w:pPr>
            <w:r w:rsidRPr="003A176D">
              <w:rPr>
                <w:rFonts w:asciiTheme="minorHAnsi" w:eastAsia="SimSun" w:hAnsiTheme="minorHAnsi"/>
                <w:bCs/>
                <w:sz w:val="20"/>
                <w:szCs w:val="20"/>
                <w:lang w:val="en-CA"/>
              </w:rPr>
              <w:t>0.50</w:t>
            </w:r>
          </w:p>
        </w:tc>
      </w:tr>
    </w:tbl>
    <w:p w14:paraId="0E49ED31" w14:textId="77777777" w:rsidR="00025AE0" w:rsidRPr="003A176D" w:rsidRDefault="00025AE0" w:rsidP="00025AE0">
      <w:pPr>
        <w:spacing w:after="0" w:line="240" w:lineRule="auto"/>
        <w:rPr>
          <w:rFonts w:asciiTheme="minorHAnsi" w:eastAsia="SimSun" w:hAnsiTheme="minorHAnsi"/>
          <w:sz w:val="20"/>
          <w:szCs w:val="20"/>
          <w:lang w:bidi="en-US"/>
        </w:rPr>
      </w:pPr>
    </w:p>
    <w:p w14:paraId="451D2F37" w14:textId="77777777" w:rsidR="00025AE0" w:rsidRPr="003A176D" w:rsidRDefault="00025AE0" w:rsidP="00025AE0">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 xml:space="preserve">The fair values for stock options granted have been estimated using the Black-Scholes option pricing model assuming no expected dividends and the following weighted average assumptions: </w:t>
      </w:r>
    </w:p>
    <w:tbl>
      <w:tblPr>
        <w:tblW w:w="8820" w:type="dxa"/>
        <w:tblInd w:w="450" w:type="dxa"/>
        <w:tblCellMar>
          <w:left w:w="0" w:type="dxa"/>
          <w:right w:w="0" w:type="dxa"/>
        </w:tblCellMar>
        <w:tblLook w:val="0000" w:firstRow="0" w:lastRow="0" w:firstColumn="0" w:lastColumn="0" w:noHBand="0" w:noVBand="0"/>
      </w:tblPr>
      <w:tblGrid>
        <w:gridCol w:w="3240"/>
        <w:gridCol w:w="2610"/>
        <w:gridCol w:w="2970"/>
      </w:tblGrid>
      <w:tr w:rsidR="00025AE0" w:rsidRPr="003A176D" w14:paraId="62D251AF" w14:textId="77777777" w:rsidTr="002E6AE4">
        <w:tc>
          <w:tcPr>
            <w:tcW w:w="3240" w:type="dxa"/>
            <w:tcBorders>
              <w:bottom w:val="single" w:sz="4" w:space="0" w:color="auto"/>
            </w:tcBorders>
          </w:tcPr>
          <w:p w14:paraId="0BA93696" w14:textId="77777777" w:rsidR="00025AE0" w:rsidRPr="003A176D" w:rsidRDefault="00025AE0" w:rsidP="00025AE0">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p>
        </w:tc>
        <w:tc>
          <w:tcPr>
            <w:tcW w:w="2610" w:type="dxa"/>
            <w:tcBorders>
              <w:bottom w:val="single" w:sz="4" w:space="0" w:color="auto"/>
            </w:tcBorders>
            <w:vAlign w:val="bottom"/>
          </w:tcPr>
          <w:p w14:paraId="759FD7A7" w14:textId="63C6AC05" w:rsidR="00025AE0" w:rsidRPr="003A176D" w:rsidRDefault="00704BB5" w:rsidP="00025AE0">
            <w:pPr>
              <w:overflowPunct w:val="0"/>
              <w:autoSpaceDE w:val="0"/>
              <w:autoSpaceDN w:val="0"/>
              <w:adjustRightInd w:val="0"/>
              <w:spacing w:after="0" w:line="240" w:lineRule="auto"/>
              <w:jc w:val="center"/>
              <w:textAlignment w:val="baseline"/>
              <w:rPr>
                <w:rFonts w:asciiTheme="minorHAnsi" w:eastAsia="SimSun" w:hAnsiTheme="minorHAnsi" w:cs="Arial"/>
                <w:bCs/>
                <w:sz w:val="20"/>
                <w:szCs w:val="20"/>
                <w:lang w:val="en-CA"/>
              </w:rPr>
            </w:pPr>
            <w:r w:rsidRPr="003A176D">
              <w:rPr>
                <w:rFonts w:asciiTheme="minorHAnsi" w:eastAsia="SimSun" w:hAnsiTheme="minorHAnsi" w:cs="Arial"/>
                <w:bCs/>
                <w:sz w:val="20"/>
                <w:szCs w:val="20"/>
                <w:lang w:val="en-CA"/>
              </w:rPr>
              <w:t>June 30</w:t>
            </w:r>
            <w:r w:rsidR="00A14EB3" w:rsidRPr="003A176D">
              <w:rPr>
                <w:rFonts w:asciiTheme="minorHAnsi" w:eastAsia="SimSun" w:hAnsiTheme="minorHAnsi" w:cs="Arial"/>
                <w:bCs/>
                <w:sz w:val="20"/>
                <w:szCs w:val="20"/>
                <w:lang w:val="en-CA"/>
              </w:rPr>
              <w:t>, 2020</w:t>
            </w:r>
          </w:p>
        </w:tc>
        <w:tc>
          <w:tcPr>
            <w:tcW w:w="2970" w:type="dxa"/>
            <w:tcBorders>
              <w:bottom w:val="single" w:sz="4" w:space="0" w:color="auto"/>
            </w:tcBorders>
          </w:tcPr>
          <w:p w14:paraId="10212698" w14:textId="504319C8"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bCs/>
                <w:sz w:val="20"/>
                <w:szCs w:val="20"/>
                <w:lang w:val="en-CA"/>
              </w:rPr>
            </w:pPr>
            <w:r w:rsidRPr="003A176D">
              <w:rPr>
                <w:rFonts w:asciiTheme="minorHAnsi" w:eastAsia="SimSun" w:hAnsiTheme="minorHAnsi" w:cs="Arial"/>
                <w:bCs/>
                <w:sz w:val="20"/>
                <w:szCs w:val="20"/>
                <w:lang w:val="en-CA"/>
              </w:rPr>
              <w:t>December 31, 201</w:t>
            </w:r>
            <w:r w:rsidR="00D83F9D" w:rsidRPr="003A176D">
              <w:rPr>
                <w:rFonts w:asciiTheme="minorHAnsi" w:eastAsia="SimSun" w:hAnsiTheme="minorHAnsi" w:cs="Arial"/>
                <w:bCs/>
                <w:sz w:val="20"/>
                <w:szCs w:val="20"/>
                <w:lang w:val="en-CA"/>
              </w:rPr>
              <w:t>9</w:t>
            </w:r>
          </w:p>
        </w:tc>
      </w:tr>
      <w:tr w:rsidR="00025AE0" w:rsidRPr="003A176D" w14:paraId="23E63A4D" w14:textId="77777777" w:rsidTr="002E6AE4">
        <w:trPr>
          <w:trHeight w:hRule="exact" w:val="115"/>
        </w:trPr>
        <w:tc>
          <w:tcPr>
            <w:tcW w:w="3240" w:type="dxa"/>
            <w:tcBorders>
              <w:top w:val="single" w:sz="4" w:space="0" w:color="auto"/>
            </w:tcBorders>
          </w:tcPr>
          <w:p w14:paraId="399496D1" w14:textId="77777777" w:rsidR="00025AE0" w:rsidRPr="003A176D" w:rsidRDefault="00025AE0" w:rsidP="00025AE0">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p>
        </w:tc>
        <w:tc>
          <w:tcPr>
            <w:tcW w:w="2610" w:type="dxa"/>
            <w:tcBorders>
              <w:top w:val="single" w:sz="4" w:space="0" w:color="auto"/>
            </w:tcBorders>
          </w:tcPr>
          <w:p w14:paraId="146AAD84" w14:textId="24743318"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70" w:type="dxa"/>
            <w:tcBorders>
              <w:top w:val="single" w:sz="4" w:space="0" w:color="auto"/>
            </w:tcBorders>
          </w:tcPr>
          <w:p w14:paraId="5B8F4F68" w14:textId="77777777" w:rsidR="00025AE0" w:rsidRPr="003A176D" w:rsidRDefault="00025AE0"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r>
      <w:tr w:rsidR="00025AE0" w:rsidRPr="003A176D" w14:paraId="410E641C" w14:textId="77777777" w:rsidTr="002E6AE4">
        <w:tc>
          <w:tcPr>
            <w:tcW w:w="3240" w:type="dxa"/>
          </w:tcPr>
          <w:p w14:paraId="52575691" w14:textId="77777777" w:rsidR="00025AE0" w:rsidRPr="003A176D" w:rsidRDefault="00025AE0" w:rsidP="00025AE0">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Risk-free interest rate</w:t>
            </w:r>
          </w:p>
        </w:tc>
        <w:tc>
          <w:tcPr>
            <w:tcW w:w="2610" w:type="dxa"/>
            <w:vAlign w:val="bottom"/>
          </w:tcPr>
          <w:p w14:paraId="7BA0D429" w14:textId="5AA944D3" w:rsidR="00025AE0" w:rsidRPr="003A176D" w:rsidRDefault="00704BB5">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1.77</w:t>
            </w:r>
            <w:r w:rsidR="00025AE0" w:rsidRPr="003A176D">
              <w:rPr>
                <w:rFonts w:asciiTheme="minorHAnsi" w:eastAsia="SimSun" w:hAnsiTheme="minorHAnsi" w:cs="Arial"/>
                <w:sz w:val="20"/>
                <w:szCs w:val="20"/>
                <w:lang w:val="en-CA"/>
              </w:rPr>
              <w:t>%</w:t>
            </w:r>
          </w:p>
        </w:tc>
        <w:tc>
          <w:tcPr>
            <w:tcW w:w="2970" w:type="dxa"/>
          </w:tcPr>
          <w:p w14:paraId="63F820C7" w14:textId="4867F5E9" w:rsidR="00025AE0" w:rsidRPr="003A176D" w:rsidRDefault="003168F8"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2.</w:t>
            </w:r>
            <w:r w:rsidR="00D83F9D" w:rsidRPr="003A176D">
              <w:rPr>
                <w:rFonts w:asciiTheme="minorHAnsi" w:eastAsia="SimSun" w:hAnsiTheme="minorHAnsi" w:cs="Arial"/>
                <w:sz w:val="20"/>
                <w:szCs w:val="20"/>
                <w:lang w:val="en-CA"/>
              </w:rPr>
              <w:t>59</w:t>
            </w:r>
            <w:r w:rsidRPr="003A176D">
              <w:rPr>
                <w:rFonts w:asciiTheme="minorHAnsi" w:eastAsia="SimSun" w:hAnsiTheme="minorHAnsi" w:cs="Arial"/>
                <w:sz w:val="20"/>
                <w:szCs w:val="20"/>
                <w:lang w:val="en-CA"/>
              </w:rPr>
              <w:t>%</w:t>
            </w:r>
          </w:p>
        </w:tc>
      </w:tr>
      <w:tr w:rsidR="00025AE0" w:rsidRPr="003A176D" w14:paraId="0BEF5A8A" w14:textId="77777777" w:rsidTr="002E6AE4">
        <w:tc>
          <w:tcPr>
            <w:tcW w:w="3240" w:type="dxa"/>
          </w:tcPr>
          <w:p w14:paraId="60235CA3" w14:textId="77777777" w:rsidR="00025AE0" w:rsidRPr="003A176D" w:rsidRDefault="00025AE0" w:rsidP="00025AE0">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Expected life (in years)</w:t>
            </w:r>
          </w:p>
        </w:tc>
        <w:tc>
          <w:tcPr>
            <w:tcW w:w="2610" w:type="dxa"/>
            <w:vAlign w:val="bottom"/>
          </w:tcPr>
          <w:p w14:paraId="47A5CA95" w14:textId="6443B489" w:rsidR="00025AE0" w:rsidRPr="003A176D" w:rsidRDefault="00A764E8"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10</w:t>
            </w:r>
          </w:p>
        </w:tc>
        <w:tc>
          <w:tcPr>
            <w:tcW w:w="2970" w:type="dxa"/>
          </w:tcPr>
          <w:p w14:paraId="3E598926" w14:textId="53EC1598" w:rsidR="00025AE0" w:rsidRPr="003A176D" w:rsidRDefault="003168F8"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10</w:t>
            </w:r>
          </w:p>
        </w:tc>
      </w:tr>
      <w:tr w:rsidR="00025AE0" w:rsidRPr="003A176D" w14:paraId="723974FB" w14:textId="77777777" w:rsidTr="00E623A6">
        <w:tc>
          <w:tcPr>
            <w:tcW w:w="3240" w:type="dxa"/>
            <w:tcBorders>
              <w:bottom w:val="single" w:sz="4" w:space="0" w:color="auto"/>
            </w:tcBorders>
          </w:tcPr>
          <w:p w14:paraId="78710A8A" w14:textId="77777777" w:rsidR="00025AE0" w:rsidRPr="003A176D" w:rsidRDefault="00025AE0" w:rsidP="00025AE0">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Expected volatility</w:t>
            </w:r>
          </w:p>
        </w:tc>
        <w:tc>
          <w:tcPr>
            <w:tcW w:w="2610" w:type="dxa"/>
            <w:tcBorders>
              <w:bottom w:val="single" w:sz="4" w:space="0" w:color="auto"/>
            </w:tcBorders>
            <w:vAlign w:val="bottom"/>
          </w:tcPr>
          <w:p w14:paraId="23AE48FF" w14:textId="6BD0B111" w:rsidR="00025AE0" w:rsidRPr="003A176D" w:rsidRDefault="00704BB5"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118</w:t>
            </w:r>
            <w:r w:rsidR="00025AE0" w:rsidRPr="003A176D">
              <w:rPr>
                <w:rFonts w:asciiTheme="minorHAnsi" w:eastAsia="SimSun" w:hAnsiTheme="minorHAnsi" w:cs="Arial"/>
                <w:sz w:val="20"/>
                <w:szCs w:val="20"/>
                <w:lang w:val="en-CA"/>
              </w:rPr>
              <w:t>%</w:t>
            </w:r>
          </w:p>
        </w:tc>
        <w:tc>
          <w:tcPr>
            <w:tcW w:w="2970" w:type="dxa"/>
            <w:tcBorders>
              <w:bottom w:val="single" w:sz="4" w:space="0" w:color="auto"/>
            </w:tcBorders>
          </w:tcPr>
          <w:p w14:paraId="703311A9" w14:textId="36F47C7D" w:rsidR="00025AE0" w:rsidRPr="003A176D" w:rsidRDefault="003168F8" w:rsidP="00025AE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115%</w:t>
            </w:r>
          </w:p>
        </w:tc>
      </w:tr>
    </w:tbl>
    <w:p w14:paraId="776BF9A0" w14:textId="77777777" w:rsidR="00CD3BA1" w:rsidRPr="003A176D" w:rsidRDefault="00CD3BA1" w:rsidP="00CD3BA1">
      <w:pPr>
        <w:autoSpaceDE w:val="0"/>
        <w:autoSpaceDN w:val="0"/>
        <w:adjustRightInd w:val="0"/>
        <w:spacing w:after="0" w:line="240" w:lineRule="auto"/>
        <w:rPr>
          <w:rFonts w:asciiTheme="minorHAnsi" w:hAnsiTheme="minorHAnsi" w:cs="Arial"/>
          <w:b/>
          <w:sz w:val="20"/>
          <w:szCs w:val="20"/>
        </w:rPr>
      </w:pPr>
    </w:p>
    <w:p w14:paraId="39C0DF0A" w14:textId="44A9468F" w:rsidR="00CD3BA1" w:rsidRPr="003A176D" w:rsidRDefault="00CD3BA1"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 xml:space="preserve">The fair value of stock options vested during the </w:t>
      </w:r>
      <w:r w:rsidR="00704BB5" w:rsidRPr="003A176D">
        <w:rPr>
          <w:rFonts w:asciiTheme="minorHAnsi" w:eastAsia="SimSun" w:hAnsiTheme="minorHAnsi" w:cs="Arial"/>
          <w:sz w:val="20"/>
          <w:szCs w:val="20"/>
          <w:lang w:val="en-CA" w:eastAsia="x-none"/>
        </w:rPr>
        <w:t>six</w:t>
      </w:r>
      <w:r w:rsidR="003168F8" w:rsidRPr="003A176D">
        <w:rPr>
          <w:rFonts w:asciiTheme="minorHAnsi" w:eastAsia="SimSun" w:hAnsiTheme="minorHAnsi" w:cs="Arial"/>
          <w:sz w:val="20"/>
          <w:szCs w:val="20"/>
          <w:lang w:val="en-CA" w:eastAsia="x-none"/>
        </w:rPr>
        <w:t xml:space="preserve"> months ended </w:t>
      </w:r>
      <w:r w:rsidR="00704BB5" w:rsidRPr="003A176D">
        <w:rPr>
          <w:rFonts w:asciiTheme="minorHAnsi" w:eastAsia="SimSun" w:hAnsiTheme="minorHAnsi" w:cs="Arial"/>
          <w:sz w:val="20"/>
          <w:szCs w:val="20"/>
          <w:lang w:val="en-CA" w:eastAsia="x-none"/>
        </w:rPr>
        <w:t>June 30</w:t>
      </w:r>
      <w:r w:rsidR="00A14EB3" w:rsidRPr="003A176D">
        <w:rPr>
          <w:rFonts w:asciiTheme="minorHAnsi" w:eastAsia="SimSun" w:hAnsiTheme="minorHAnsi" w:cs="Arial"/>
          <w:sz w:val="20"/>
          <w:szCs w:val="20"/>
          <w:lang w:val="en-CA" w:eastAsia="x-none"/>
        </w:rPr>
        <w:t>,2020</w:t>
      </w:r>
      <w:r w:rsidRPr="003A176D">
        <w:rPr>
          <w:rFonts w:asciiTheme="minorHAnsi" w:eastAsia="SimSun" w:hAnsiTheme="minorHAnsi" w:cs="Arial"/>
          <w:sz w:val="20"/>
          <w:szCs w:val="20"/>
          <w:lang w:val="en-CA" w:eastAsia="x-none"/>
        </w:rPr>
        <w:t xml:space="preserve"> </w:t>
      </w:r>
      <w:r w:rsidR="003168F8" w:rsidRPr="003A176D">
        <w:rPr>
          <w:rFonts w:asciiTheme="minorHAnsi" w:eastAsia="SimSun" w:hAnsiTheme="minorHAnsi" w:cs="Arial"/>
          <w:sz w:val="20"/>
          <w:szCs w:val="20"/>
          <w:lang w:val="en-CA" w:eastAsia="x-none"/>
        </w:rPr>
        <w:t>was $</w:t>
      </w:r>
      <w:r w:rsidR="00704BB5" w:rsidRPr="003A176D">
        <w:rPr>
          <w:rFonts w:asciiTheme="minorHAnsi" w:eastAsia="SimSun" w:hAnsiTheme="minorHAnsi" w:cs="Arial"/>
          <w:sz w:val="20"/>
          <w:szCs w:val="20"/>
          <w:lang w:val="en-CA" w:eastAsia="x-none"/>
        </w:rPr>
        <w:t>250,421</w:t>
      </w:r>
      <w:r w:rsidR="00A14EB3" w:rsidRPr="003A176D">
        <w:rPr>
          <w:rFonts w:asciiTheme="minorHAnsi" w:eastAsia="SimSun" w:hAnsiTheme="minorHAnsi" w:cs="Arial"/>
          <w:sz w:val="20"/>
          <w:szCs w:val="20"/>
          <w:lang w:val="en-CA" w:eastAsia="x-none"/>
        </w:rPr>
        <w:t xml:space="preserve"> </w:t>
      </w:r>
      <w:r w:rsidR="003168F8" w:rsidRPr="003A176D">
        <w:rPr>
          <w:rFonts w:asciiTheme="minorHAnsi" w:eastAsia="SimSun" w:hAnsiTheme="minorHAnsi" w:cs="Arial"/>
          <w:sz w:val="20"/>
          <w:szCs w:val="20"/>
          <w:lang w:val="en-CA" w:eastAsia="x-none"/>
        </w:rPr>
        <w:t>(</w:t>
      </w:r>
      <w:r w:rsidR="00704BB5" w:rsidRPr="003A176D">
        <w:rPr>
          <w:rFonts w:asciiTheme="minorHAnsi" w:eastAsia="SimSun" w:hAnsiTheme="minorHAnsi" w:cs="Arial"/>
          <w:sz w:val="20"/>
          <w:szCs w:val="20"/>
          <w:lang w:val="en-CA" w:eastAsia="x-none"/>
        </w:rPr>
        <w:t>June 30</w:t>
      </w:r>
      <w:r w:rsidR="00A14EB3" w:rsidRPr="003A176D">
        <w:rPr>
          <w:rFonts w:asciiTheme="minorHAnsi" w:eastAsia="SimSun" w:hAnsiTheme="minorHAnsi" w:cs="Arial"/>
          <w:sz w:val="20"/>
          <w:szCs w:val="20"/>
          <w:lang w:val="en-CA" w:eastAsia="x-none"/>
        </w:rPr>
        <w:t>, 2019</w:t>
      </w:r>
      <w:r w:rsidR="003168F8" w:rsidRPr="003A176D">
        <w:rPr>
          <w:rFonts w:asciiTheme="minorHAnsi" w:eastAsia="SimSun" w:hAnsiTheme="minorHAnsi" w:cs="Arial"/>
          <w:sz w:val="20"/>
          <w:szCs w:val="20"/>
          <w:lang w:val="en-CA" w:eastAsia="x-none"/>
        </w:rPr>
        <w:t xml:space="preserve"> - </w:t>
      </w:r>
      <w:r w:rsidRPr="003A176D">
        <w:rPr>
          <w:rFonts w:asciiTheme="minorHAnsi" w:eastAsia="SimSun" w:hAnsiTheme="minorHAnsi" w:cs="Arial"/>
          <w:sz w:val="20"/>
          <w:szCs w:val="20"/>
          <w:lang w:val="en-CA" w:eastAsia="x-none"/>
        </w:rPr>
        <w:t>$</w:t>
      </w:r>
      <w:r w:rsidR="00704BB5" w:rsidRPr="003A176D">
        <w:rPr>
          <w:rFonts w:asciiTheme="minorHAnsi" w:eastAsia="SimSun" w:hAnsiTheme="minorHAnsi" w:cs="Arial"/>
          <w:sz w:val="20"/>
          <w:szCs w:val="20"/>
          <w:lang w:val="en-CA" w:eastAsia="x-none"/>
        </w:rPr>
        <w:t>386,824</w:t>
      </w:r>
      <w:r w:rsidR="003168F8" w:rsidRPr="003A176D">
        <w:rPr>
          <w:rFonts w:asciiTheme="minorHAnsi" w:eastAsia="SimSun" w:hAnsiTheme="minorHAnsi" w:cs="Arial"/>
          <w:sz w:val="20"/>
          <w:szCs w:val="20"/>
          <w:lang w:val="en-CA" w:eastAsia="x-none"/>
        </w:rPr>
        <w:t>)</w:t>
      </w:r>
      <w:r w:rsidRPr="003A176D">
        <w:rPr>
          <w:rFonts w:asciiTheme="minorHAnsi" w:eastAsia="SimSun" w:hAnsiTheme="minorHAnsi" w:cs="Arial"/>
          <w:sz w:val="20"/>
          <w:szCs w:val="20"/>
          <w:lang w:val="en-CA" w:eastAsia="x-none"/>
        </w:rPr>
        <w:t xml:space="preserve">. The weighted average fair value of stock options granted during the </w:t>
      </w:r>
      <w:r w:rsidR="009B5AE5" w:rsidRPr="003A176D">
        <w:rPr>
          <w:rFonts w:asciiTheme="minorHAnsi" w:eastAsia="SimSun" w:hAnsiTheme="minorHAnsi" w:cs="Arial"/>
          <w:sz w:val="20"/>
          <w:szCs w:val="20"/>
          <w:lang w:val="en-CA" w:eastAsia="x-none"/>
        </w:rPr>
        <w:t>three</w:t>
      </w:r>
      <w:r w:rsidR="003168F8" w:rsidRPr="003A176D">
        <w:rPr>
          <w:rFonts w:asciiTheme="minorHAnsi" w:eastAsia="SimSun" w:hAnsiTheme="minorHAnsi" w:cs="Arial"/>
          <w:sz w:val="20"/>
          <w:szCs w:val="20"/>
          <w:lang w:val="en-CA" w:eastAsia="x-none"/>
        </w:rPr>
        <w:t xml:space="preserve"> months</w:t>
      </w:r>
      <w:r w:rsidRPr="003A176D">
        <w:rPr>
          <w:rFonts w:asciiTheme="minorHAnsi" w:eastAsia="SimSun" w:hAnsiTheme="minorHAnsi" w:cs="Arial"/>
          <w:sz w:val="20"/>
          <w:szCs w:val="20"/>
          <w:lang w:val="en-CA" w:eastAsia="x-none"/>
        </w:rPr>
        <w:t xml:space="preserve"> ended </w:t>
      </w:r>
      <w:r w:rsidR="00A14EB3" w:rsidRPr="003A176D">
        <w:rPr>
          <w:rFonts w:asciiTheme="minorHAnsi" w:eastAsia="SimSun" w:hAnsiTheme="minorHAnsi" w:cs="Arial"/>
          <w:sz w:val="20"/>
          <w:szCs w:val="20"/>
          <w:lang w:val="en-CA" w:eastAsia="x-none"/>
        </w:rPr>
        <w:t>March 31,2020</w:t>
      </w:r>
      <w:r w:rsidRPr="003A176D">
        <w:rPr>
          <w:rFonts w:asciiTheme="minorHAnsi" w:eastAsia="SimSun" w:hAnsiTheme="minorHAnsi" w:cs="Arial"/>
          <w:sz w:val="20"/>
          <w:szCs w:val="20"/>
          <w:lang w:val="en-CA" w:eastAsia="x-none"/>
        </w:rPr>
        <w:t xml:space="preserve"> was $</w:t>
      </w:r>
      <w:r w:rsidR="00704BB5" w:rsidRPr="003A176D">
        <w:rPr>
          <w:rFonts w:asciiTheme="minorHAnsi" w:eastAsia="SimSun" w:hAnsiTheme="minorHAnsi" w:cs="Arial"/>
          <w:sz w:val="20"/>
          <w:szCs w:val="20"/>
          <w:lang w:val="en-CA" w:eastAsia="x-none"/>
        </w:rPr>
        <w:t>0.39</w:t>
      </w:r>
      <w:r w:rsidRPr="003A176D">
        <w:rPr>
          <w:rFonts w:asciiTheme="minorHAnsi" w:eastAsia="SimSun" w:hAnsiTheme="minorHAnsi" w:cs="Arial"/>
          <w:sz w:val="20"/>
          <w:szCs w:val="20"/>
          <w:lang w:val="en-CA" w:eastAsia="x-none"/>
        </w:rPr>
        <w:t xml:space="preserve"> (</w:t>
      </w:r>
      <w:r w:rsidR="00A14EB3" w:rsidRPr="003A176D">
        <w:rPr>
          <w:rFonts w:asciiTheme="minorHAnsi" w:eastAsia="SimSun" w:hAnsiTheme="minorHAnsi" w:cs="Arial"/>
          <w:sz w:val="20"/>
          <w:szCs w:val="20"/>
          <w:lang w:val="en-CA" w:eastAsia="x-none"/>
        </w:rPr>
        <w:t>March 31, 2019</w:t>
      </w:r>
      <w:r w:rsidRPr="003A176D">
        <w:rPr>
          <w:rFonts w:asciiTheme="minorHAnsi" w:eastAsia="SimSun" w:hAnsiTheme="minorHAnsi" w:cs="Arial"/>
          <w:sz w:val="20"/>
          <w:szCs w:val="20"/>
          <w:lang w:val="en-CA" w:eastAsia="x-none"/>
        </w:rPr>
        <w:t xml:space="preserve"> - $</w:t>
      </w:r>
      <w:r w:rsidR="00770970" w:rsidRPr="003A176D">
        <w:rPr>
          <w:rFonts w:asciiTheme="minorHAnsi" w:eastAsia="SimSun" w:hAnsiTheme="minorHAnsi" w:cs="Arial"/>
          <w:sz w:val="20"/>
          <w:szCs w:val="20"/>
          <w:lang w:val="en-CA" w:eastAsia="x-none"/>
        </w:rPr>
        <w:t>0.</w:t>
      </w:r>
      <w:r w:rsidR="00A14EB3" w:rsidRPr="003A176D">
        <w:rPr>
          <w:rFonts w:asciiTheme="minorHAnsi" w:eastAsia="SimSun" w:hAnsiTheme="minorHAnsi" w:cs="Arial"/>
          <w:sz w:val="20"/>
          <w:szCs w:val="20"/>
          <w:lang w:val="en-CA" w:eastAsia="x-none"/>
        </w:rPr>
        <w:t>50</w:t>
      </w:r>
      <w:r w:rsidRPr="003A176D">
        <w:rPr>
          <w:rFonts w:asciiTheme="minorHAnsi" w:eastAsia="SimSun" w:hAnsiTheme="minorHAnsi" w:cs="Arial"/>
          <w:sz w:val="20"/>
          <w:szCs w:val="20"/>
          <w:lang w:val="en-CA" w:eastAsia="x-none"/>
        </w:rPr>
        <w:t>) per stock option.</w:t>
      </w:r>
    </w:p>
    <w:p w14:paraId="3CAB5197" w14:textId="2D04ACCC" w:rsidR="001F7609" w:rsidRPr="003A176D" w:rsidRDefault="001F7609" w:rsidP="00092141">
      <w:pPr>
        <w:autoSpaceDE w:val="0"/>
        <w:autoSpaceDN w:val="0"/>
        <w:adjustRightInd w:val="0"/>
        <w:spacing w:after="0" w:line="240" w:lineRule="auto"/>
        <w:ind w:left="360" w:hanging="360"/>
        <w:jc w:val="both"/>
        <w:rPr>
          <w:rFonts w:cs="Calibri"/>
          <w:b/>
          <w:sz w:val="20"/>
          <w:szCs w:val="20"/>
        </w:rPr>
      </w:pPr>
    </w:p>
    <w:p w14:paraId="2765E793" w14:textId="0B71C799" w:rsidR="00704BB5" w:rsidRPr="003A176D" w:rsidRDefault="00704BB5" w:rsidP="00092141">
      <w:pPr>
        <w:autoSpaceDE w:val="0"/>
        <w:autoSpaceDN w:val="0"/>
        <w:adjustRightInd w:val="0"/>
        <w:spacing w:after="0" w:line="240" w:lineRule="auto"/>
        <w:ind w:left="360" w:hanging="360"/>
        <w:jc w:val="both"/>
        <w:rPr>
          <w:rFonts w:cs="Calibri"/>
          <w:b/>
          <w:sz w:val="20"/>
          <w:szCs w:val="20"/>
        </w:rPr>
      </w:pPr>
    </w:p>
    <w:p w14:paraId="27030037" w14:textId="392C0A55" w:rsidR="00704BB5" w:rsidRPr="003A176D" w:rsidRDefault="00704BB5" w:rsidP="00092141">
      <w:pPr>
        <w:autoSpaceDE w:val="0"/>
        <w:autoSpaceDN w:val="0"/>
        <w:adjustRightInd w:val="0"/>
        <w:spacing w:after="0" w:line="240" w:lineRule="auto"/>
        <w:ind w:left="360" w:hanging="360"/>
        <w:jc w:val="both"/>
        <w:rPr>
          <w:rFonts w:cs="Calibri"/>
          <w:b/>
          <w:sz w:val="20"/>
          <w:szCs w:val="20"/>
        </w:rPr>
      </w:pPr>
    </w:p>
    <w:p w14:paraId="69953C3D" w14:textId="1D34D671" w:rsidR="00704BB5" w:rsidRPr="003A176D" w:rsidRDefault="00704BB5" w:rsidP="00092141">
      <w:pPr>
        <w:autoSpaceDE w:val="0"/>
        <w:autoSpaceDN w:val="0"/>
        <w:adjustRightInd w:val="0"/>
        <w:spacing w:after="0" w:line="240" w:lineRule="auto"/>
        <w:ind w:left="360" w:hanging="360"/>
        <w:jc w:val="both"/>
        <w:rPr>
          <w:rFonts w:cs="Calibri"/>
          <w:b/>
          <w:sz w:val="20"/>
          <w:szCs w:val="20"/>
        </w:rPr>
      </w:pPr>
    </w:p>
    <w:p w14:paraId="0F135E35" w14:textId="7511D0B9" w:rsidR="00704BB5" w:rsidRPr="003A176D" w:rsidRDefault="00704BB5" w:rsidP="00092141">
      <w:pPr>
        <w:autoSpaceDE w:val="0"/>
        <w:autoSpaceDN w:val="0"/>
        <w:adjustRightInd w:val="0"/>
        <w:spacing w:after="0" w:line="240" w:lineRule="auto"/>
        <w:ind w:left="360" w:hanging="360"/>
        <w:jc w:val="both"/>
        <w:rPr>
          <w:rFonts w:cs="Calibri"/>
          <w:b/>
          <w:sz w:val="20"/>
          <w:szCs w:val="20"/>
        </w:rPr>
      </w:pPr>
    </w:p>
    <w:p w14:paraId="47812F42" w14:textId="748D5D07" w:rsidR="00704BB5" w:rsidRPr="003A176D" w:rsidRDefault="00704BB5" w:rsidP="00092141">
      <w:pPr>
        <w:autoSpaceDE w:val="0"/>
        <w:autoSpaceDN w:val="0"/>
        <w:adjustRightInd w:val="0"/>
        <w:spacing w:after="0" w:line="240" w:lineRule="auto"/>
        <w:ind w:left="360" w:hanging="360"/>
        <w:jc w:val="both"/>
        <w:rPr>
          <w:rFonts w:cs="Calibri"/>
          <w:b/>
          <w:sz w:val="20"/>
          <w:szCs w:val="20"/>
        </w:rPr>
      </w:pPr>
    </w:p>
    <w:p w14:paraId="6E36C509" w14:textId="4631CEE6" w:rsidR="001909DF" w:rsidRPr="003A176D" w:rsidRDefault="001909DF" w:rsidP="00092141">
      <w:pPr>
        <w:autoSpaceDE w:val="0"/>
        <w:autoSpaceDN w:val="0"/>
        <w:adjustRightInd w:val="0"/>
        <w:spacing w:after="0" w:line="240" w:lineRule="auto"/>
        <w:ind w:left="360" w:hanging="360"/>
        <w:jc w:val="both"/>
        <w:rPr>
          <w:rFonts w:cs="Calibri"/>
          <w:b/>
          <w:sz w:val="20"/>
          <w:szCs w:val="20"/>
        </w:rPr>
      </w:pPr>
    </w:p>
    <w:p w14:paraId="7FDB254B" w14:textId="1532A2FD" w:rsidR="001909DF" w:rsidRPr="003A176D" w:rsidRDefault="001909DF" w:rsidP="00092141">
      <w:pPr>
        <w:autoSpaceDE w:val="0"/>
        <w:autoSpaceDN w:val="0"/>
        <w:adjustRightInd w:val="0"/>
        <w:spacing w:after="0" w:line="240" w:lineRule="auto"/>
        <w:ind w:left="360" w:hanging="360"/>
        <w:jc w:val="both"/>
        <w:rPr>
          <w:rFonts w:cs="Calibri"/>
          <w:b/>
          <w:sz w:val="20"/>
          <w:szCs w:val="20"/>
        </w:rPr>
      </w:pPr>
    </w:p>
    <w:p w14:paraId="52A37763" w14:textId="6427E2A3" w:rsidR="001909DF" w:rsidRPr="003A176D" w:rsidRDefault="001909DF" w:rsidP="00092141">
      <w:pPr>
        <w:autoSpaceDE w:val="0"/>
        <w:autoSpaceDN w:val="0"/>
        <w:adjustRightInd w:val="0"/>
        <w:spacing w:after="0" w:line="240" w:lineRule="auto"/>
        <w:ind w:left="360" w:hanging="360"/>
        <w:jc w:val="both"/>
        <w:rPr>
          <w:rFonts w:cs="Calibri"/>
          <w:b/>
          <w:sz w:val="20"/>
          <w:szCs w:val="20"/>
        </w:rPr>
      </w:pPr>
    </w:p>
    <w:p w14:paraId="692E609A" w14:textId="77777777" w:rsidR="001909DF" w:rsidRPr="003A176D" w:rsidRDefault="001909DF" w:rsidP="00092141">
      <w:pPr>
        <w:autoSpaceDE w:val="0"/>
        <w:autoSpaceDN w:val="0"/>
        <w:adjustRightInd w:val="0"/>
        <w:spacing w:after="0" w:line="240" w:lineRule="auto"/>
        <w:ind w:left="360" w:hanging="360"/>
        <w:jc w:val="both"/>
        <w:rPr>
          <w:rFonts w:cs="Calibri"/>
          <w:b/>
          <w:sz w:val="20"/>
          <w:szCs w:val="20"/>
        </w:rPr>
      </w:pPr>
    </w:p>
    <w:p w14:paraId="20BBD789" w14:textId="7CB8591F" w:rsidR="00092141" w:rsidRPr="003A176D" w:rsidRDefault="00CE6FDF" w:rsidP="00092141">
      <w:pPr>
        <w:autoSpaceDE w:val="0"/>
        <w:autoSpaceDN w:val="0"/>
        <w:adjustRightInd w:val="0"/>
        <w:spacing w:after="0" w:line="240" w:lineRule="auto"/>
        <w:ind w:left="360" w:hanging="360"/>
        <w:jc w:val="both"/>
        <w:rPr>
          <w:rFonts w:cs="Calibri"/>
          <w:b/>
          <w:sz w:val="20"/>
          <w:szCs w:val="20"/>
        </w:rPr>
      </w:pPr>
      <w:r w:rsidRPr="003A176D">
        <w:rPr>
          <w:rFonts w:cs="Calibri"/>
          <w:b/>
          <w:sz w:val="20"/>
          <w:szCs w:val="20"/>
        </w:rPr>
        <w:lastRenderedPageBreak/>
        <w:t>9</w:t>
      </w:r>
      <w:r w:rsidR="00092141" w:rsidRPr="003A176D">
        <w:rPr>
          <w:rFonts w:cs="Calibri"/>
          <w:b/>
          <w:sz w:val="20"/>
          <w:szCs w:val="20"/>
        </w:rPr>
        <w:t>.    Warrants</w:t>
      </w:r>
    </w:p>
    <w:p w14:paraId="672DF015" w14:textId="77777777" w:rsidR="006451C3" w:rsidRPr="003A176D" w:rsidRDefault="006451C3"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p>
    <w:p w14:paraId="50347148" w14:textId="184599DE" w:rsidR="001F7609" w:rsidRPr="003A176D" w:rsidRDefault="00092141"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 xml:space="preserve">On </w:t>
      </w:r>
      <w:r w:rsidR="009D1E45" w:rsidRPr="003A176D">
        <w:rPr>
          <w:rFonts w:asciiTheme="minorHAnsi" w:eastAsia="SimSun" w:hAnsiTheme="minorHAnsi" w:cs="Arial"/>
          <w:sz w:val="20"/>
          <w:szCs w:val="20"/>
          <w:lang w:val="en-CA" w:eastAsia="x-none"/>
        </w:rPr>
        <w:t>March 26, 2020,</w:t>
      </w:r>
      <w:r w:rsidRPr="003A176D">
        <w:rPr>
          <w:rFonts w:asciiTheme="minorHAnsi" w:eastAsia="SimSun" w:hAnsiTheme="minorHAnsi" w:cs="Arial"/>
          <w:sz w:val="20"/>
          <w:szCs w:val="20"/>
          <w:lang w:val="en-CA" w:eastAsia="x-none"/>
        </w:rPr>
        <w:t xml:space="preserve"> the Company issued </w:t>
      </w:r>
      <w:r w:rsidR="00704BB5" w:rsidRPr="003A176D">
        <w:rPr>
          <w:rFonts w:asciiTheme="minorHAnsi" w:eastAsia="SimSun" w:hAnsiTheme="minorHAnsi" w:cs="Arial"/>
          <w:sz w:val="20"/>
          <w:szCs w:val="20"/>
          <w:lang w:val="en-CA" w:eastAsia="x-none"/>
        </w:rPr>
        <w:t>564,439</w:t>
      </w:r>
      <w:r w:rsidRPr="003A176D">
        <w:rPr>
          <w:rFonts w:asciiTheme="minorHAnsi" w:eastAsia="SimSun" w:hAnsiTheme="minorHAnsi" w:cs="Arial"/>
          <w:sz w:val="20"/>
          <w:szCs w:val="20"/>
          <w:lang w:val="en-CA" w:eastAsia="x-none"/>
        </w:rPr>
        <w:t xml:space="preserve"> warrants in connection with the </w:t>
      </w:r>
      <w:r w:rsidR="001F7609" w:rsidRPr="003A176D">
        <w:rPr>
          <w:rFonts w:asciiTheme="minorHAnsi" w:eastAsia="SimSun" w:hAnsiTheme="minorHAnsi" w:cs="Arial"/>
          <w:sz w:val="20"/>
          <w:szCs w:val="20"/>
          <w:lang w:val="en-CA" w:eastAsia="x-none"/>
        </w:rPr>
        <w:t>subscription receipt financing</w:t>
      </w:r>
      <w:r w:rsidR="007B08E5" w:rsidRPr="003A176D">
        <w:rPr>
          <w:rFonts w:asciiTheme="minorHAnsi" w:eastAsia="SimSun" w:hAnsiTheme="minorHAnsi" w:cs="Arial"/>
          <w:sz w:val="20"/>
          <w:szCs w:val="20"/>
          <w:lang w:val="en-CA" w:eastAsia="x-none"/>
        </w:rPr>
        <w:t>. T</w:t>
      </w:r>
      <w:r w:rsidR="007B08E5" w:rsidRPr="003A176D">
        <w:rPr>
          <w:sz w:val="20"/>
          <w:szCs w:val="20"/>
        </w:rPr>
        <w:t>he fair value for warrants granted have been estimated using the Black-Scholes pricing model as described below.</w:t>
      </w:r>
    </w:p>
    <w:p w14:paraId="67B6FAFD" w14:textId="57150E7D" w:rsidR="009953B0" w:rsidRPr="003A176D" w:rsidRDefault="009953B0"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On March 26, 2020</w:t>
      </w:r>
      <w:r w:rsidR="009D1E45" w:rsidRPr="003A176D">
        <w:rPr>
          <w:rFonts w:asciiTheme="minorHAnsi" w:eastAsia="SimSun" w:hAnsiTheme="minorHAnsi" w:cs="Arial"/>
          <w:sz w:val="20"/>
          <w:szCs w:val="20"/>
          <w:lang w:val="en-CA" w:eastAsia="x-none"/>
        </w:rPr>
        <w:t>,</w:t>
      </w:r>
      <w:r w:rsidRPr="003A176D">
        <w:rPr>
          <w:rFonts w:asciiTheme="minorHAnsi" w:eastAsia="SimSun" w:hAnsiTheme="minorHAnsi" w:cs="Arial"/>
          <w:sz w:val="20"/>
          <w:szCs w:val="20"/>
          <w:lang w:val="en-CA" w:eastAsia="x-none"/>
        </w:rPr>
        <w:t xml:space="preserve"> the Company assumed 814,000 warrants previously issued by HIC (note </w:t>
      </w:r>
      <w:r w:rsidR="007D4C7E" w:rsidRPr="003A176D">
        <w:rPr>
          <w:rFonts w:asciiTheme="minorHAnsi" w:eastAsia="SimSun" w:hAnsiTheme="minorHAnsi" w:cs="Arial"/>
          <w:sz w:val="20"/>
          <w:szCs w:val="20"/>
          <w:lang w:val="en-CA" w:eastAsia="x-none"/>
        </w:rPr>
        <w:t>5</w:t>
      </w:r>
      <w:r w:rsidRPr="003A176D">
        <w:rPr>
          <w:rFonts w:asciiTheme="minorHAnsi" w:eastAsia="SimSun" w:hAnsiTheme="minorHAnsi" w:cs="Arial"/>
          <w:sz w:val="20"/>
          <w:szCs w:val="20"/>
          <w:lang w:val="en-CA" w:eastAsia="x-none"/>
        </w:rPr>
        <w:t xml:space="preserve">). </w:t>
      </w:r>
    </w:p>
    <w:p w14:paraId="678C50B2" w14:textId="4184EAFC" w:rsidR="00215F07" w:rsidRPr="003A176D" w:rsidRDefault="00215F07" w:rsidP="00215F07">
      <w:pPr>
        <w:tabs>
          <w:tab w:val="left" w:pos="426"/>
        </w:tabs>
        <w:autoSpaceDE w:val="0"/>
        <w:autoSpaceDN w:val="0"/>
        <w:adjustRightInd w:val="0"/>
        <w:spacing w:after="0" w:line="240" w:lineRule="auto"/>
        <w:ind w:left="360"/>
        <w:jc w:val="both"/>
        <w:rPr>
          <w:sz w:val="20"/>
          <w:szCs w:val="20"/>
        </w:rPr>
      </w:pPr>
      <w:r w:rsidRPr="003A176D">
        <w:rPr>
          <w:sz w:val="20"/>
          <w:szCs w:val="20"/>
        </w:rPr>
        <w:t xml:space="preserve">On June 18, 2020 124,320 warrants that had been previously issued by HIC were exercised. The exercise price was $0.05 per share, and total proceeds were $6,216.  </w:t>
      </w:r>
    </w:p>
    <w:p w14:paraId="6CD3CAED" w14:textId="77777777" w:rsidR="00215F07" w:rsidRPr="003A176D" w:rsidRDefault="00215F07" w:rsidP="00215F07">
      <w:pPr>
        <w:tabs>
          <w:tab w:val="left" w:pos="426"/>
        </w:tabs>
        <w:autoSpaceDE w:val="0"/>
        <w:autoSpaceDN w:val="0"/>
        <w:adjustRightInd w:val="0"/>
        <w:spacing w:after="0" w:line="240" w:lineRule="auto"/>
        <w:ind w:left="360"/>
        <w:jc w:val="both"/>
        <w:rPr>
          <w:sz w:val="20"/>
          <w:szCs w:val="20"/>
        </w:rPr>
      </w:pPr>
    </w:p>
    <w:p w14:paraId="0AD2AA3E" w14:textId="49CD71C4" w:rsidR="00092141" w:rsidRPr="003A176D" w:rsidRDefault="001F7609"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The following table summarizes the continuity of the Company’s warrants:</w:t>
      </w:r>
    </w:p>
    <w:tbl>
      <w:tblPr>
        <w:tblW w:w="8996" w:type="dxa"/>
        <w:tblInd w:w="360" w:type="dxa"/>
        <w:tblCellMar>
          <w:left w:w="0" w:type="dxa"/>
          <w:right w:w="0" w:type="dxa"/>
        </w:tblCellMar>
        <w:tblLook w:val="0000" w:firstRow="0" w:lastRow="0" w:firstColumn="0" w:lastColumn="0" w:noHBand="0" w:noVBand="0"/>
      </w:tblPr>
      <w:tblGrid>
        <w:gridCol w:w="6407"/>
        <w:gridCol w:w="1259"/>
        <w:gridCol w:w="175"/>
        <w:gridCol w:w="1155"/>
      </w:tblGrid>
      <w:tr w:rsidR="001F7609" w:rsidRPr="003A176D" w14:paraId="5DAEBC2A" w14:textId="77777777" w:rsidTr="007D4C7E">
        <w:tc>
          <w:tcPr>
            <w:tcW w:w="6407" w:type="dxa"/>
            <w:tcBorders>
              <w:top w:val="single" w:sz="4" w:space="0" w:color="auto"/>
              <w:bottom w:val="single" w:sz="8" w:space="0" w:color="auto"/>
            </w:tcBorders>
            <w:vAlign w:val="bottom"/>
          </w:tcPr>
          <w:p w14:paraId="2A3175B5"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259" w:type="dxa"/>
            <w:tcBorders>
              <w:top w:val="single" w:sz="4" w:space="0" w:color="auto"/>
              <w:bottom w:val="single" w:sz="8" w:space="0" w:color="auto"/>
            </w:tcBorders>
            <w:vAlign w:val="bottom"/>
          </w:tcPr>
          <w:p w14:paraId="467D6011" w14:textId="597118A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r w:rsidRPr="003A176D">
              <w:rPr>
                <w:sz w:val="20"/>
                <w:szCs w:val="20"/>
              </w:rPr>
              <w:t>Number</w:t>
            </w:r>
            <w:r w:rsidRPr="003A176D">
              <w:rPr>
                <w:sz w:val="20"/>
                <w:szCs w:val="20"/>
              </w:rPr>
              <w:br/>
              <w:t>of warrants</w:t>
            </w:r>
          </w:p>
        </w:tc>
        <w:tc>
          <w:tcPr>
            <w:tcW w:w="175" w:type="dxa"/>
            <w:tcBorders>
              <w:top w:val="single" w:sz="4" w:space="0" w:color="auto"/>
              <w:bottom w:val="single" w:sz="8" w:space="0" w:color="auto"/>
            </w:tcBorders>
            <w:vAlign w:val="bottom"/>
          </w:tcPr>
          <w:p w14:paraId="52DB58AC"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155" w:type="dxa"/>
            <w:tcBorders>
              <w:top w:val="single" w:sz="4" w:space="0" w:color="auto"/>
              <w:bottom w:val="single" w:sz="8" w:space="0" w:color="auto"/>
            </w:tcBorders>
            <w:tcMar>
              <w:left w:w="0" w:type="dxa"/>
              <w:right w:w="0" w:type="dxa"/>
            </w:tcMar>
            <w:vAlign w:val="bottom"/>
          </w:tcPr>
          <w:p w14:paraId="43E598EC"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Weighted average</w:t>
            </w:r>
            <w:r w:rsidRPr="003A176D">
              <w:rPr>
                <w:sz w:val="20"/>
                <w:szCs w:val="20"/>
              </w:rPr>
              <w:br/>
              <w:t>exercise price</w:t>
            </w:r>
          </w:p>
          <w:p w14:paraId="5A2878CA"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r w:rsidRPr="003A176D">
              <w:rPr>
                <w:sz w:val="20"/>
                <w:szCs w:val="20"/>
              </w:rPr>
              <w:t>$</w:t>
            </w:r>
          </w:p>
        </w:tc>
      </w:tr>
      <w:tr w:rsidR="001F7609" w:rsidRPr="003A176D" w14:paraId="12C4B09A" w14:textId="77777777" w:rsidTr="007D4C7E">
        <w:trPr>
          <w:trHeight w:val="66"/>
        </w:trPr>
        <w:tc>
          <w:tcPr>
            <w:tcW w:w="6407" w:type="dxa"/>
            <w:tcBorders>
              <w:top w:val="single" w:sz="8" w:space="0" w:color="auto"/>
            </w:tcBorders>
          </w:tcPr>
          <w:p w14:paraId="13758ED9"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Outstanding, December 31, 2019</w:t>
            </w:r>
          </w:p>
        </w:tc>
        <w:tc>
          <w:tcPr>
            <w:tcW w:w="1259" w:type="dxa"/>
            <w:tcBorders>
              <w:top w:val="single" w:sz="8" w:space="0" w:color="auto"/>
            </w:tcBorders>
          </w:tcPr>
          <w:p w14:paraId="1FF5CA6A" w14:textId="3C103213"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w:t>
            </w:r>
          </w:p>
        </w:tc>
        <w:tc>
          <w:tcPr>
            <w:tcW w:w="175" w:type="dxa"/>
            <w:tcBorders>
              <w:top w:val="single" w:sz="8" w:space="0" w:color="auto"/>
            </w:tcBorders>
          </w:tcPr>
          <w:p w14:paraId="33630519"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Borders>
              <w:top w:val="single" w:sz="8" w:space="0" w:color="auto"/>
            </w:tcBorders>
          </w:tcPr>
          <w:p w14:paraId="78C75995" w14:textId="66E59C51" w:rsidR="001F7609" w:rsidRPr="003A176D" w:rsidRDefault="009953B0"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w:t>
            </w:r>
          </w:p>
        </w:tc>
      </w:tr>
      <w:tr w:rsidR="001F7609" w:rsidRPr="003A176D" w14:paraId="454C7E9F" w14:textId="77777777" w:rsidTr="003C5C84">
        <w:trPr>
          <w:trHeight w:val="66"/>
        </w:trPr>
        <w:tc>
          <w:tcPr>
            <w:tcW w:w="6407" w:type="dxa"/>
          </w:tcPr>
          <w:p w14:paraId="1EB7C702"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Granted</w:t>
            </w:r>
          </w:p>
        </w:tc>
        <w:tc>
          <w:tcPr>
            <w:tcW w:w="1259" w:type="dxa"/>
          </w:tcPr>
          <w:p w14:paraId="0B5A6103" w14:textId="6DA76D40" w:rsidR="001F7609" w:rsidRPr="003A176D" w:rsidRDefault="00704BB5"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564,439</w:t>
            </w:r>
          </w:p>
        </w:tc>
        <w:tc>
          <w:tcPr>
            <w:tcW w:w="175" w:type="dxa"/>
          </w:tcPr>
          <w:p w14:paraId="254855EE"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Pr>
          <w:p w14:paraId="63155AE2" w14:textId="4FD7BA39"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0.</w:t>
            </w:r>
            <w:r w:rsidR="009953B0" w:rsidRPr="003A176D">
              <w:rPr>
                <w:bCs/>
                <w:sz w:val="20"/>
                <w:szCs w:val="20"/>
              </w:rPr>
              <w:t>35</w:t>
            </w:r>
          </w:p>
        </w:tc>
      </w:tr>
      <w:tr w:rsidR="001F7609" w:rsidRPr="003A176D" w14:paraId="24F02AA6" w14:textId="77777777" w:rsidTr="003C5C84">
        <w:trPr>
          <w:trHeight w:val="66"/>
        </w:trPr>
        <w:tc>
          <w:tcPr>
            <w:tcW w:w="6407" w:type="dxa"/>
          </w:tcPr>
          <w:p w14:paraId="565E2880" w14:textId="74BDE206"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Acquired in connection with HIC amalgamation</w:t>
            </w:r>
          </w:p>
        </w:tc>
        <w:tc>
          <w:tcPr>
            <w:tcW w:w="1259" w:type="dxa"/>
          </w:tcPr>
          <w:p w14:paraId="7544A9F6" w14:textId="0384AF59" w:rsidR="001F7609" w:rsidRPr="003A176D" w:rsidRDefault="009953B0"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814,000</w:t>
            </w:r>
          </w:p>
        </w:tc>
        <w:tc>
          <w:tcPr>
            <w:tcW w:w="175" w:type="dxa"/>
          </w:tcPr>
          <w:p w14:paraId="66393F0C"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Pr>
          <w:p w14:paraId="3D3492CA" w14:textId="196B8989" w:rsidR="001F7609" w:rsidRPr="003A176D" w:rsidRDefault="009953B0"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0.05</w:t>
            </w:r>
          </w:p>
        </w:tc>
      </w:tr>
      <w:tr w:rsidR="00215F07" w:rsidRPr="003A176D" w14:paraId="1A319D30" w14:textId="77777777" w:rsidTr="00E6252D">
        <w:trPr>
          <w:trHeight w:val="66"/>
        </w:trPr>
        <w:tc>
          <w:tcPr>
            <w:tcW w:w="6407" w:type="dxa"/>
          </w:tcPr>
          <w:p w14:paraId="3BDBD01A" w14:textId="751EA8F2" w:rsidR="00215F07" w:rsidRPr="003A176D" w:rsidRDefault="00215F07" w:rsidP="00E6252D">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Exercised</w:t>
            </w:r>
          </w:p>
        </w:tc>
        <w:tc>
          <w:tcPr>
            <w:tcW w:w="1259" w:type="dxa"/>
          </w:tcPr>
          <w:p w14:paraId="7ACB36A1" w14:textId="08742C15" w:rsidR="00215F07" w:rsidRPr="003A176D" w:rsidRDefault="00215F07" w:rsidP="00E6252D">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(124,320)</w:t>
            </w:r>
          </w:p>
        </w:tc>
        <w:tc>
          <w:tcPr>
            <w:tcW w:w="175" w:type="dxa"/>
          </w:tcPr>
          <w:p w14:paraId="60FBBFBD" w14:textId="77777777" w:rsidR="00215F07" w:rsidRPr="003A176D" w:rsidRDefault="00215F07" w:rsidP="00E6252D">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Pr>
          <w:p w14:paraId="34F79C3D" w14:textId="77777777" w:rsidR="00215F07" w:rsidRPr="003A176D" w:rsidRDefault="00215F07" w:rsidP="00E6252D">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0.05</w:t>
            </w:r>
          </w:p>
        </w:tc>
      </w:tr>
      <w:tr w:rsidR="001F7609" w:rsidRPr="003A176D" w14:paraId="63F5274B" w14:textId="77777777" w:rsidTr="007D4C7E">
        <w:trPr>
          <w:trHeight w:val="66"/>
        </w:trPr>
        <w:tc>
          <w:tcPr>
            <w:tcW w:w="6407" w:type="dxa"/>
            <w:tcBorders>
              <w:bottom w:val="single" w:sz="8" w:space="0" w:color="auto"/>
            </w:tcBorders>
            <w:shd w:val="clear" w:color="auto" w:fill="auto"/>
          </w:tcPr>
          <w:p w14:paraId="22A27088"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sz w:val="20"/>
                <w:szCs w:val="20"/>
              </w:rPr>
            </w:pPr>
            <w:r w:rsidRPr="003A176D">
              <w:rPr>
                <w:sz w:val="20"/>
                <w:szCs w:val="20"/>
              </w:rPr>
              <w:t>Cancelled</w:t>
            </w:r>
          </w:p>
        </w:tc>
        <w:tc>
          <w:tcPr>
            <w:tcW w:w="1259" w:type="dxa"/>
            <w:tcBorders>
              <w:bottom w:val="single" w:sz="8" w:space="0" w:color="auto"/>
            </w:tcBorders>
            <w:shd w:val="clear" w:color="auto" w:fill="auto"/>
          </w:tcPr>
          <w:p w14:paraId="4CC3D1EB"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w:t>
            </w:r>
          </w:p>
        </w:tc>
        <w:tc>
          <w:tcPr>
            <w:tcW w:w="175" w:type="dxa"/>
            <w:tcBorders>
              <w:bottom w:val="single" w:sz="8" w:space="0" w:color="auto"/>
            </w:tcBorders>
            <w:shd w:val="clear" w:color="auto" w:fill="auto"/>
          </w:tcPr>
          <w:p w14:paraId="0F590D46"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p>
        </w:tc>
        <w:tc>
          <w:tcPr>
            <w:tcW w:w="1155" w:type="dxa"/>
            <w:tcBorders>
              <w:bottom w:val="single" w:sz="8" w:space="0" w:color="auto"/>
            </w:tcBorders>
            <w:shd w:val="clear" w:color="auto" w:fill="auto"/>
          </w:tcPr>
          <w:p w14:paraId="665EF54B" w14:textId="11CAD685" w:rsidR="001F7609" w:rsidRPr="003A176D" w:rsidRDefault="009953B0" w:rsidP="003C5C84">
            <w:pPr>
              <w:tabs>
                <w:tab w:val="left" w:pos="810"/>
                <w:tab w:val="left" w:pos="1080"/>
                <w:tab w:val="left" w:pos="1800"/>
                <w:tab w:val="left" w:pos="2160"/>
              </w:tabs>
              <w:autoSpaceDE w:val="0"/>
              <w:autoSpaceDN w:val="0"/>
              <w:adjustRightInd w:val="0"/>
              <w:spacing w:after="0" w:line="240" w:lineRule="auto"/>
              <w:ind w:left="360"/>
              <w:jc w:val="right"/>
              <w:rPr>
                <w:bCs/>
                <w:sz w:val="20"/>
                <w:szCs w:val="20"/>
              </w:rPr>
            </w:pPr>
            <w:r w:rsidRPr="003A176D">
              <w:rPr>
                <w:bCs/>
                <w:sz w:val="20"/>
                <w:szCs w:val="20"/>
              </w:rPr>
              <w:t>-</w:t>
            </w:r>
          </w:p>
        </w:tc>
      </w:tr>
      <w:tr w:rsidR="001F7609" w:rsidRPr="003A176D" w14:paraId="42FE7761" w14:textId="77777777" w:rsidTr="007D4C7E">
        <w:trPr>
          <w:trHeight w:hRule="exact" w:val="115"/>
        </w:trPr>
        <w:tc>
          <w:tcPr>
            <w:tcW w:w="6407" w:type="dxa"/>
            <w:tcBorders>
              <w:top w:val="single" w:sz="8" w:space="0" w:color="auto"/>
            </w:tcBorders>
            <w:shd w:val="clear" w:color="auto" w:fill="auto"/>
          </w:tcPr>
          <w:p w14:paraId="4EF15B69"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sz w:val="20"/>
                <w:szCs w:val="20"/>
              </w:rPr>
            </w:pPr>
          </w:p>
        </w:tc>
        <w:tc>
          <w:tcPr>
            <w:tcW w:w="1259" w:type="dxa"/>
            <w:tcBorders>
              <w:top w:val="single" w:sz="8" w:space="0" w:color="auto"/>
            </w:tcBorders>
            <w:shd w:val="clear" w:color="auto" w:fill="auto"/>
            <w:vAlign w:val="bottom"/>
          </w:tcPr>
          <w:p w14:paraId="1C4CABF4"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75" w:type="dxa"/>
            <w:tcBorders>
              <w:top w:val="single" w:sz="8" w:space="0" w:color="auto"/>
            </w:tcBorders>
            <w:shd w:val="clear" w:color="auto" w:fill="auto"/>
          </w:tcPr>
          <w:p w14:paraId="446D7D31"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c>
          <w:tcPr>
            <w:tcW w:w="1155" w:type="dxa"/>
            <w:tcBorders>
              <w:top w:val="single" w:sz="8" w:space="0" w:color="auto"/>
            </w:tcBorders>
            <w:shd w:val="clear" w:color="auto" w:fill="auto"/>
          </w:tcPr>
          <w:p w14:paraId="37689A91" w14:textId="77777777" w:rsidR="001F7609" w:rsidRPr="003A176D" w:rsidRDefault="001F7609" w:rsidP="003C5C84">
            <w:pPr>
              <w:tabs>
                <w:tab w:val="left" w:pos="810"/>
                <w:tab w:val="left" w:pos="1080"/>
                <w:tab w:val="left" w:pos="1800"/>
                <w:tab w:val="left" w:pos="2160"/>
              </w:tabs>
              <w:autoSpaceDE w:val="0"/>
              <w:autoSpaceDN w:val="0"/>
              <w:adjustRightInd w:val="0"/>
              <w:spacing w:after="0" w:line="240" w:lineRule="auto"/>
              <w:ind w:left="360"/>
              <w:jc w:val="both"/>
              <w:rPr>
                <w:bCs/>
                <w:sz w:val="20"/>
                <w:szCs w:val="20"/>
              </w:rPr>
            </w:pPr>
          </w:p>
        </w:tc>
      </w:tr>
      <w:tr w:rsidR="001F7609" w:rsidRPr="003A176D" w14:paraId="1ECEA22F" w14:textId="77777777" w:rsidTr="007D4C7E">
        <w:tc>
          <w:tcPr>
            <w:tcW w:w="6407" w:type="dxa"/>
            <w:tcBorders>
              <w:bottom w:val="single" w:sz="18" w:space="0" w:color="auto"/>
            </w:tcBorders>
            <w:shd w:val="clear" w:color="auto" w:fill="auto"/>
          </w:tcPr>
          <w:p w14:paraId="3736A1C0" w14:textId="68EF9B17" w:rsidR="001F7609" w:rsidRPr="003A176D" w:rsidRDefault="001F7609" w:rsidP="003C5C84">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 xml:space="preserve">Outstanding, </w:t>
            </w:r>
            <w:r w:rsidR="00215F07" w:rsidRPr="003A176D">
              <w:rPr>
                <w:rFonts w:asciiTheme="minorHAnsi" w:eastAsia="SimSun" w:hAnsiTheme="minorHAnsi" w:cs="Arial"/>
                <w:sz w:val="20"/>
                <w:szCs w:val="20"/>
                <w:lang w:val="en-CA"/>
              </w:rPr>
              <w:t>June 30</w:t>
            </w:r>
            <w:r w:rsidR="009953B0" w:rsidRPr="003A176D">
              <w:rPr>
                <w:rFonts w:asciiTheme="minorHAnsi" w:eastAsia="SimSun" w:hAnsiTheme="minorHAnsi" w:cs="Arial"/>
                <w:sz w:val="20"/>
                <w:szCs w:val="20"/>
                <w:lang w:val="en-CA"/>
              </w:rPr>
              <w:t>, 2020</w:t>
            </w:r>
          </w:p>
        </w:tc>
        <w:tc>
          <w:tcPr>
            <w:tcW w:w="1259" w:type="dxa"/>
            <w:tcBorders>
              <w:bottom w:val="single" w:sz="18" w:space="0" w:color="auto"/>
            </w:tcBorders>
            <w:shd w:val="clear" w:color="auto" w:fill="auto"/>
            <w:vAlign w:val="bottom"/>
          </w:tcPr>
          <w:p w14:paraId="45E8109A" w14:textId="11F678D7" w:rsidR="001F7609"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w:t>
            </w:r>
            <w:r w:rsidR="00215F07" w:rsidRPr="003A176D">
              <w:rPr>
                <w:rFonts w:asciiTheme="minorHAnsi" w:eastAsia="SimSun" w:hAnsiTheme="minorHAnsi" w:cs="Arial"/>
                <w:sz w:val="20"/>
                <w:szCs w:val="20"/>
                <w:lang w:val="en-CA"/>
              </w:rPr>
              <w:t>254,119</w:t>
            </w:r>
          </w:p>
        </w:tc>
        <w:tc>
          <w:tcPr>
            <w:tcW w:w="175" w:type="dxa"/>
            <w:tcBorders>
              <w:bottom w:val="single" w:sz="18" w:space="0" w:color="auto"/>
            </w:tcBorders>
            <w:shd w:val="clear" w:color="auto" w:fill="auto"/>
          </w:tcPr>
          <w:p w14:paraId="72D1B337" w14:textId="77777777" w:rsidR="001F7609" w:rsidRPr="003A176D" w:rsidRDefault="001F7609" w:rsidP="00215F07">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p>
        </w:tc>
        <w:tc>
          <w:tcPr>
            <w:tcW w:w="1155" w:type="dxa"/>
            <w:tcBorders>
              <w:bottom w:val="single" w:sz="18" w:space="0" w:color="auto"/>
            </w:tcBorders>
            <w:shd w:val="clear" w:color="auto" w:fill="auto"/>
            <w:vAlign w:val="bottom"/>
          </w:tcPr>
          <w:p w14:paraId="71D54BEC" w14:textId="0695B4A8" w:rsidR="001F7609" w:rsidRPr="003A176D" w:rsidRDefault="001F7609"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w:t>
            </w:r>
            <w:r w:rsidR="009953B0" w:rsidRPr="003A176D">
              <w:rPr>
                <w:rFonts w:asciiTheme="minorHAnsi" w:eastAsia="SimSun" w:hAnsiTheme="minorHAnsi" w:cs="Arial"/>
                <w:sz w:val="20"/>
                <w:szCs w:val="20"/>
                <w:lang w:val="en-CA"/>
              </w:rPr>
              <w:t>1</w:t>
            </w:r>
            <w:r w:rsidR="00215F07" w:rsidRPr="003A176D">
              <w:rPr>
                <w:rFonts w:asciiTheme="minorHAnsi" w:eastAsia="SimSun" w:hAnsiTheme="minorHAnsi" w:cs="Arial"/>
                <w:sz w:val="20"/>
                <w:szCs w:val="20"/>
                <w:lang w:val="en-CA"/>
              </w:rPr>
              <w:t>9</w:t>
            </w:r>
          </w:p>
        </w:tc>
      </w:tr>
    </w:tbl>
    <w:p w14:paraId="69923CC0" w14:textId="1E4F8FBE" w:rsidR="001F7609" w:rsidRPr="003A176D" w:rsidRDefault="001F7609"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p>
    <w:p w14:paraId="1BCB41C7" w14:textId="7161FC32" w:rsidR="009953B0" w:rsidRPr="003A176D" w:rsidRDefault="009953B0" w:rsidP="00CD3BA1">
      <w:pPr>
        <w:overflowPunct w:val="0"/>
        <w:autoSpaceDE w:val="0"/>
        <w:autoSpaceDN w:val="0"/>
        <w:adjustRightInd w:val="0"/>
        <w:spacing w:after="120" w:line="240" w:lineRule="auto"/>
        <w:ind w:left="432"/>
        <w:jc w:val="both"/>
        <w:textAlignment w:val="baseline"/>
        <w:rPr>
          <w:sz w:val="20"/>
          <w:szCs w:val="20"/>
        </w:rPr>
      </w:pPr>
      <w:r w:rsidRPr="003A176D">
        <w:rPr>
          <w:sz w:val="20"/>
          <w:szCs w:val="20"/>
        </w:rPr>
        <w:t xml:space="preserve">Additional information regarding warrants outstanding as at </w:t>
      </w:r>
      <w:r w:rsidR="00215F07" w:rsidRPr="003A176D">
        <w:rPr>
          <w:sz w:val="20"/>
          <w:szCs w:val="20"/>
        </w:rPr>
        <w:t>June 30</w:t>
      </w:r>
      <w:r w:rsidRPr="003A176D">
        <w:rPr>
          <w:sz w:val="20"/>
          <w:szCs w:val="20"/>
        </w:rPr>
        <w:t>, 2020, is as follows:</w:t>
      </w:r>
    </w:p>
    <w:tbl>
      <w:tblPr>
        <w:tblW w:w="8910" w:type="dxa"/>
        <w:tblInd w:w="450" w:type="dxa"/>
        <w:tblCellMar>
          <w:left w:w="0" w:type="dxa"/>
          <w:right w:w="0" w:type="dxa"/>
        </w:tblCellMar>
        <w:tblLook w:val="0000" w:firstRow="0" w:lastRow="0" w:firstColumn="0" w:lastColumn="0" w:noHBand="0" w:noVBand="0"/>
      </w:tblPr>
      <w:tblGrid>
        <w:gridCol w:w="1710"/>
        <w:gridCol w:w="1352"/>
        <w:gridCol w:w="1296"/>
        <w:gridCol w:w="1439"/>
        <w:gridCol w:w="270"/>
        <w:gridCol w:w="1313"/>
        <w:gridCol w:w="1530"/>
      </w:tblGrid>
      <w:tr w:rsidR="009953B0" w:rsidRPr="003A176D" w14:paraId="79D17FDF" w14:textId="77777777" w:rsidTr="003C5C84">
        <w:tc>
          <w:tcPr>
            <w:tcW w:w="1710" w:type="dxa"/>
            <w:tcBorders>
              <w:top w:val="single" w:sz="4" w:space="0" w:color="auto"/>
              <w:left w:val="nil"/>
              <w:right w:val="nil"/>
            </w:tcBorders>
            <w:vAlign w:val="bottom"/>
          </w:tcPr>
          <w:p w14:paraId="3E0C4A05"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ab/>
            </w:r>
          </w:p>
        </w:tc>
        <w:tc>
          <w:tcPr>
            <w:tcW w:w="4087" w:type="dxa"/>
            <w:gridSpan w:val="3"/>
            <w:tcBorders>
              <w:top w:val="single" w:sz="4" w:space="0" w:color="auto"/>
              <w:left w:val="nil"/>
              <w:bottom w:val="single" w:sz="4" w:space="0" w:color="auto"/>
              <w:right w:val="nil"/>
            </w:tcBorders>
            <w:vAlign w:val="bottom"/>
          </w:tcPr>
          <w:p w14:paraId="78807968"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Outstanding</w:t>
            </w:r>
          </w:p>
        </w:tc>
        <w:tc>
          <w:tcPr>
            <w:tcW w:w="270" w:type="dxa"/>
            <w:tcBorders>
              <w:top w:val="single" w:sz="4" w:space="0" w:color="auto"/>
              <w:left w:val="nil"/>
              <w:right w:val="nil"/>
            </w:tcBorders>
            <w:vAlign w:val="bottom"/>
          </w:tcPr>
          <w:p w14:paraId="73BE7194"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843" w:type="dxa"/>
            <w:gridSpan w:val="2"/>
            <w:tcBorders>
              <w:top w:val="single" w:sz="4" w:space="0" w:color="auto"/>
              <w:left w:val="nil"/>
              <w:bottom w:val="single" w:sz="4" w:space="0" w:color="auto"/>
              <w:right w:val="nil"/>
            </w:tcBorders>
            <w:vAlign w:val="bottom"/>
          </w:tcPr>
          <w:p w14:paraId="6C18430F"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Exercisable</w:t>
            </w:r>
          </w:p>
        </w:tc>
      </w:tr>
      <w:tr w:rsidR="009953B0" w:rsidRPr="003A176D" w14:paraId="1DB4C154" w14:textId="77777777" w:rsidTr="007D4C7E">
        <w:trPr>
          <w:trHeight w:val="1087"/>
        </w:trPr>
        <w:tc>
          <w:tcPr>
            <w:tcW w:w="1710" w:type="dxa"/>
            <w:tcBorders>
              <w:left w:val="nil"/>
              <w:bottom w:val="single" w:sz="8" w:space="0" w:color="auto"/>
              <w:right w:val="nil"/>
            </w:tcBorders>
            <w:vAlign w:val="bottom"/>
          </w:tcPr>
          <w:p w14:paraId="75237DBA"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Exercise price</w:t>
            </w:r>
          </w:p>
          <w:p w14:paraId="6D9B422D"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t>
            </w:r>
          </w:p>
        </w:tc>
        <w:tc>
          <w:tcPr>
            <w:tcW w:w="1352" w:type="dxa"/>
            <w:tcBorders>
              <w:top w:val="single" w:sz="4" w:space="0" w:color="auto"/>
              <w:left w:val="nil"/>
              <w:bottom w:val="single" w:sz="8" w:space="0" w:color="auto"/>
              <w:right w:val="nil"/>
            </w:tcBorders>
            <w:vAlign w:val="bottom"/>
          </w:tcPr>
          <w:p w14:paraId="7846B10E" w14:textId="6E3AFD82" w:rsidR="009953B0" w:rsidRPr="003A176D" w:rsidRDefault="009953B0" w:rsidP="003C5C84">
            <w:pPr>
              <w:overflowPunct w:val="0"/>
              <w:autoSpaceDE w:val="0"/>
              <w:autoSpaceDN w:val="0"/>
              <w:adjustRightInd w:val="0"/>
              <w:spacing w:after="0" w:line="240" w:lineRule="auto"/>
              <w:ind w:right="101"/>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Number of warrants</w:t>
            </w:r>
          </w:p>
        </w:tc>
        <w:tc>
          <w:tcPr>
            <w:tcW w:w="1296" w:type="dxa"/>
            <w:tcBorders>
              <w:top w:val="single" w:sz="4" w:space="0" w:color="auto"/>
              <w:left w:val="nil"/>
              <w:bottom w:val="single" w:sz="8" w:space="0" w:color="auto"/>
              <w:right w:val="nil"/>
            </w:tcBorders>
            <w:vAlign w:val="bottom"/>
          </w:tcPr>
          <w:p w14:paraId="4B0357E7"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Weighted average remaining contractual life (years)</w:t>
            </w:r>
          </w:p>
        </w:tc>
        <w:tc>
          <w:tcPr>
            <w:tcW w:w="1439" w:type="dxa"/>
            <w:tcBorders>
              <w:top w:val="single" w:sz="4" w:space="0" w:color="auto"/>
              <w:left w:val="nil"/>
              <w:bottom w:val="single" w:sz="8" w:space="0" w:color="auto"/>
              <w:right w:val="nil"/>
            </w:tcBorders>
            <w:vAlign w:val="bottom"/>
          </w:tcPr>
          <w:p w14:paraId="5A500F75"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Weighted average</w:t>
            </w:r>
          </w:p>
          <w:p w14:paraId="4C6DF3D7"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exercise price</w:t>
            </w:r>
          </w:p>
          <w:p w14:paraId="31304E02"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t>
            </w:r>
          </w:p>
        </w:tc>
        <w:tc>
          <w:tcPr>
            <w:tcW w:w="270" w:type="dxa"/>
            <w:tcBorders>
              <w:top w:val="nil"/>
              <w:left w:val="nil"/>
              <w:bottom w:val="single" w:sz="8" w:space="0" w:color="auto"/>
              <w:right w:val="nil"/>
            </w:tcBorders>
            <w:vAlign w:val="bottom"/>
          </w:tcPr>
          <w:p w14:paraId="252D6078"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1313" w:type="dxa"/>
            <w:tcBorders>
              <w:top w:val="single" w:sz="4" w:space="0" w:color="auto"/>
              <w:left w:val="nil"/>
              <w:bottom w:val="single" w:sz="8" w:space="0" w:color="auto"/>
              <w:right w:val="nil"/>
            </w:tcBorders>
            <w:vAlign w:val="bottom"/>
          </w:tcPr>
          <w:p w14:paraId="58DAA8D8" w14:textId="6B36A744" w:rsidR="009953B0" w:rsidRPr="003A176D" w:rsidRDefault="009953B0" w:rsidP="003C5C84">
            <w:pPr>
              <w:overflowPunct w:val="0"/>
              <w:autoSpaceDE w:val="0"/>
              <w:autoSpaceDN w:val="0"/>
              <w:adjustRightInd w:val="0"/>
              <w:spacing w:after="0" w:line="240" w:lineRule="auto"/>
              <w:ind w:right="101"/>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Number of warrants</w:t>
            </w:r>
          </w:p>
        </w:tc>
        <w:tc>
          <w:tcPr>
            <w:tcW w:w="1530" w:type="dxa"/>
            <w:tcBorders>
              <w:top w:val="single" w:sz="4" w:space="0" w:color="auto"/>
              <w:left w:val="nil"/>
              <w:bottom w:val="single" w:sz="8" w:space="0" w:color="auto"/>
              <w:right w:val="nil"/>
            </w:tcBorders>
            <w:vAlign w:val="bottom"/>
          </w:tcPr>
          <w:p w14:paraId="578C4AB9"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Weighted average</w:t>
            </w:r>
          </w:p>
          <w:p w14:paraId="3C1B7665"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exercise price</w:t>
            </w:r>
          </w:p>
          <w:p w14:paraId="0499DCB5"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w:t>
            </w:r>
          </w:p>
        </w:tc>
      </w:tr>
      <w:tr w:rsidR="009953B0" w:rsidRPr="003A176D" w14:paraId="68BFD2BD" w14:textId="77777777" w:rsidTr="007D4C7E">
        <w:trPr>
          <w:trHeight w:hRule="exact" w:val="115"/>
        </w:trPr>
        <w:tc>
          <w:tcPr>
            <w:tcW w:w="1710" w:type="dxa"/>
            <w:tcBorders>
              <w:top w:val="single" w:sz="8" w:space="0" w:color="auto"/>
              <w:left w:val="nil"/>
              <w:right w:val="nil"/>
            </w:tcBorders>
            <w:vAlign w:val="bottom"/>
          </w:tcPr>
          <w:p w14:paraId="3A69887C" w14:textId="77777777"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1352" w:type="dxa"/>
            <w:tcBorders>
              <w:top w:val="single" w:sz="8" w:space="0" w:color="auto"/>
              <w:left w:val="nil"/>
              <w:right w:val="nil"/>
            </w:tcBorders>
          </w:tcPr>
          <w:p w14:paraId="7DA5D622"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296" w:type="dxa"/>
            <w:tcBorders>
              <w:top w:val="single" w:sz="8" w:space="0" w:color="auto"/>
              <w:left w:val="nil"/>
              <w:right w:val="nil"/>
            </w:tcBorders>
            <w:vAlign w:val="bottom"/>
          </w:tcPr>
          <w:p w14:paraId="5E14D56E"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439" w:type="dxa"/>
            <w:tcBorders>
              <w:top w:val="single" w:sz="8" w:space="0" w:color="auto"/>
              <w:left w:val="nil"/>
              <w:right w:val="nil"/>
            </w:tcBorders>
            <w:vAlign w:val="bottom"/>
          </w:tcPr>
          <w:p w14:paraId="604CB932"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270" w:type="dxa"/>
            <w:tcBorders>
              <w:top w:val="single" w:sz="8" w:space="0" w:color="auto"/>
              <w:left w:val="nil"/>
              <w:right w:val="nil"/>
            </w:tcBorders>
            <w:vAlign w:val="bottom"/>
          </w:tcPr>
          <w:p w14:paraId="7A69A401"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top w:val="single" w:sz="8" w:space="0" w:color="auto"/>
              <w:left w:val="nil"/>
              <w:right w:val="nil"/>
            </w:tcBorders>
            <w:vAlign w:val="bottom"/>
          </w:tcPr>
          <w:p w14:paraId="41C5A955"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530" w:type="dxa"/>
            <w:tcBorders>
              <w:top w:val="single" w:sz="8" w:space="0" w:color="auto"/>
              <w:left w:val="nil"/>
              <w:right w:val="nil"/>
            </w:tcBorders>
            <w:vAlign w:val="bottom"/>
          </w:tcPr>
          <w:p w14:paraId="56FDFC2B"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r>
      <w:tr w:rsidR="009953B0" w:rsidRPr="003A176D" w14:paraId="5708BFD4" w14:textId="77777777" w:rsidTr="009953B0">
        <w:trPr>
          <w:trHeight w:hRule="exact" w:val="316"/>
        </w:trPr>
        <w:tc>
          <w:tcPr>
            <w:tcW w:w="1710" w:type="dxa"/>
            <w:tcBorders>
              <w:left w:val="nil"/>
              <w:right w:val="nil"/>
            </w:tcBorders>
            <w:shd w:val="clear" w:color="auto" w:fill="auto"/>
            <w:vAlign w:val="bottom"/>
          </w:tcPr>
          <w:p w14:paraId="3064F2E7" w14:textId="3AC4B18E" w:rsidR="009953B0" w:rsidRPr="003A176D" w:rsidRDefault="009953B0" w:rsidP="009953B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0.35</w:t>
            </w:r>
          </w:p>
        </w:tc>
        <w:tc>
          <w:tcPr>
            <w:tcW w:w="1352" w:type="dxa"/>
            <w:tcBorders>
              <w:left w:val="nil"/>
              <w:right w:val="nil"/>
            </w:tcBorders>
            <w:shd w:val="clear" w:color="auto" w:fill="auto"/>
            <w:vAlign w:val="bottom"/>
          </w:tcPr>
          <w:p w14:paraId="2BC7485C" w14:textId="2CFC4827" w:rsidR="009953B0" w:rsidRPr="003A176D" w:rsidRDefault="00215F07"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564,439</w:t>
            </w:r>
          </w:p>
        </w:tc>
        <w:tc>
          <w:tcPr>
            <w:tcW w:w="1296" w:type="dxa"/>
            <w:tcBorders>
              <w:left w:val="nil"/>
              <w:right w:val="nil"/>
            </w:tcBorders>
            <w:shd w:val="clear" w:color="auto" w:fill="auto"/>
            <w:vAlign w:val="bottom"/>
          </w:tcPr>
          <w:p w14:paraId="172FACFE"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439" w:type="dxa"/>
            <w:tcBorders>
              <w:left w:val="nil"/>
              <w:right w:val="nil"/>
            </w:tcBorders>
            <w:shd w:val="clear" w:color="auto" w:fill="auto"/>
            <w:vAlign w:val="bottom"/>
          </w:tcPr>
          <w:p w14:paraId="1B0C4F43"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270" w:type="dxa"/>
            <w:tcBorders>
              <w:left w:val="nil"/>
              <w:right w:val="nil"/>
            </w:tcBorders>
            <w:shd w:val="clear" w:color="auto" w:fill="auto"/>
            <w:vAlign w:val="bottom"/>
          </w:tcPr>
          <w:p w14:paraId="42497FA7"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left w:val="nil"/>
              <w:right w:val="nil"/>
            </w:tcBorders>
            <w:shd w:val="clear" w:color="auto" w:fill="auto"/>
            <w:vAlign w:val="bottom"/>
          </w:tcPr>
          <w:p w14:paraId="18B2F9FE"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530" w:type="dxa"/>
            <w:tcBorders>
              <w:left w:val="nil"/>
              <w:right w:val="nil"/>
            </w:tcBorders>
            <w:shd w:val="clear" w:color="auto" w:fill="auto"/>
            <w:vAlign w:val="bottom"/>
          </w:tcPr>
          <w:p w14:paraId="252D5453"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r>
      <w:tr w:rsidR="009953B0" w:rsidRPr="003A176D" w14:paraId="7E2F34C2" w14:textId="77777777" w:rsidTr="009953B0">
        <w:trPr>
          <w:trHeight w:hRule="exact" w:val="316"/>
        </w:trPr>
        <w:tc>
          <w:tcPr>
            <w:tcW w:w="1710" w:type="dxa"/>
            <w:tcBorders>
              <w:left w:val="nil"/>
              <w:bottom w:val="single" w:sz="4" w:space="0" w:color="auto"/>
              <w:right w:val="nil"/>
            </w:tcBorders>
            <w:shd w:val="clear" w:color="auto" w:fill="auto"/>
            <w:vAlign w:val="bottom"/>
          </w:tcPr>
          <w:p w14:paraId="023A8239" w14:textId="23FCC6E2" w:rsidR="009953B0" w:rsidRPr="003A176D" w:rsidRDefault="009953B0" w:rsidP="009953B0">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0.05</w:t>
            </w:r>
          </w:p>
        </w:tc>
        <w:tc>
          <w:tcPr>
            <w:tcW w:w="1352" w:type="dxa"/>
            <w:tcBorders>
              <w:left w:val="nil"/>
              <w:bottom w:val="single" w:sz="4" w:space="0" w:color="auto"/>
              <w:right w:val="nil"/>
            </w:tcBorders>
            <w:shd w:val="clear" w:color="auto" w:fill="auto"/>
            <w:vAlign w:val="bottom"/>
          </w:tcPr>
          <w:p w14:paraId="19A27FD4" w14:textId="7D966721" w:rsidR="009953B0" w:rsidRPr="003A176D" w:rsidRDefault="00215F07"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689,68</w:t>
            </w:r>
            <w:r w:rsidR="009953B0" w:rsidRPr="003A176D">
              <w:rPr>
                <w:rFonts w:asciiTheme="minorHAnsi" w:eastAsia="SimSun" w:hAnsiTheme="minorHAnsi" w:cs="Arial"/>
                <w:sz w:val="20"/>
                <w:szCs w:val="20"/>
                <w:lang w:val="en-CA"/>
              </w:rPr>
              <w:t>0</w:t>
            </w:r>
          </w:p>
        </w:tc>
        <w:tc>
          <w:tcPr>
            <w:tcW w:w="1296" w:type="dxa"/>
            <w:tcBorders>
              <w:left w:val="nil"/>
              <w:bottom w:val="single" w:sz="4" w:space="0" w:color="auto"/>
              <w:right w:val="nil"/>
            </w:tcBorders>
            <w:shd w:val="clear" w:color="auto" w:fill="auto"/>
            <w:vAlign w:val="bottom"/>
          </w:tcPr>
          <w:p w14:paraId="0A0EA790"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439" w:type="dxa"/>
            <w:tcBorders>
              <w:left w:val="nil"/>
              <w:bottom w:val="single" w:sz="4" w:space="0" w:color="auto"/>
              <w:right w:val="nil"/>
            </w:tcBorders>
            <w:shd w:val="clear" w:color="auto" w:fill="auto"/>
            <w:vAlign w:val="bottom"/>
          </w:tcPr>
          <w:p w14:paraId="6F3EE4A0"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270" w:type="dxa"/>
            <w:tcBorders>
              <w:left w:val="nil"/>
              <w:bottom w:val="single" w:sz="4" w:space="0" w:color="auto"/>
              <w:right w:val="nil"/>
            </w:tcBorders>
            <w:shd w:val="clear" w:color="auto" w:fill="auto"/>
            <w:vAlign w:val="bottom"/>
          </w:tcPr>
          <w:p w14:paraId="5AD5B97F"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left w:val="nil"/>
              <w:bottom w:val="single" w:sz="4" w:space="0" w:color="auto"/>
              <w:right w:val="nil"/>
            </w:tcBorders>
            <w:shd w:val="clear" w:color="auto" w:fill="auto"/>
            <w:vAlign w:val="bottom"/>
          </w:tcPr>
          <w:p w14:paraId="543A2237"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530" w:type="dxa"/>
            <w:tcBorders>
              <w:left w:val="nil"/>
              <w:bottom w:val="single" w:sz="4" w:space="0" w:color="auto"/>
              <w:right w:val="nil"/>
            </w:tcBorders>
            <w:shd w:val="clear" w:color="auto" w:fill="auto"/>
            <w:vAlign w:val="bottom"/>
          </w:tcPr>
          <w:p w14:paraId="553F7318" w14:textId="77777777" w:rsidR="009953B0" w:rsidRPr="003A176D" w:rsidRDefault="009953B0" w:rsidP="009953B0">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r>
      <w:tr w:rsidR="009953B0" w:rsidRPr="003A176D" w14:paraId="4DECB269" w14:textId="77777777" w:rsidTr="003C5C84">
        <w:tc>
          <w:tcPr>
            <w:tcW w:w="1710" w:type="dxa"/>
            <w:tcBorders>
              <w:top w:val="single" w:sz="4" w:space="0" w:color="auto"/>
              <w:left w:val="nil"/>
              <w:bottom w:val="single" w:sz="12" w:space="0" w:color="auto"/>
              <w:right w:val="nil"/>
            </w:tcBorders>
            <w:vAlign w:val="bottom"/>
          </w:tcPr>
          <w:p w14:paraId="220483B0" w14:textId="56A36330" w:rsidR="009953B0" w:rsidRPr="003A176D" w:rsidRDefault="009953B0"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TOTAL</w:t>
            </w:r>
          </w:p>
        </w:tc>
        <w:tc>
          <w:tcPr>
            <w:tcW w:w="1352" w:type="dxa"/>
            <w:tcBorders>
              <w:top w:val="single" w:sz="4" w:space="0" w:color="auto"/>
              <w:left w:val="nil"/>
              <w:bottom w:val="single" w:sz="12" w:space="0" w:color="auto"/>
              <w:right w:val="nil"/>
            </w:tcBorders>
          </w:tcPr>
          <w:p w14:paraId="223CC76A" w14:textId="56A2540B" w:rsidR="009953B0" w:rsidRPr="003A176D" w:rsidRDefault="009953B0" w:rsidP="003C5C84">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w:t>
            </w:r>
            <w:r w:rsidR="00215F07" w:rsidRPr="003A176D">
              <w:rPr>
                <w:rFonts w:asciiTheme="minorHAnsi" w:eastAsia="SimSun" w:hAnsiTheme="minorHAnsi" w:cs="Arial"/>
                <w:sz w:val="20"/>
                <w:szCs w:val="20"/>
                <w:lang w:val="en-CA"/>
              </w:rPr>
              <w:t>254,119</w:t>
            </w:r>
          </w:p>
        </w:tc>
        <w:tc>
          <w:tcPr>
            <w:tcW w:w="1296" w:type="dxa"/>
            <w:tcBorders>
              <w:top w:val="single" w:sz="4" w:space="0" w:color="auto"/>
              <w:left w:val="nil"/>
              <w:bottom w:val="single" w:sz="12" w:space="0" w:color="auto"/>
              <w:right w:val="nil"/>
            </w:tcBorders>
            <w:vAlign w:val="bottom"/>
          </w:tcPr>
          <w:p w14:paraId="10BAE422" w14:textId="7990AB0F" w:rsidR="009953B0" w:rsidRPr="003A176D" w:rsidRDefault="00215F07" w:rsidP="003C5C84">
            <w:pPr>
              <w:overflowPunct w:val="0"/>
              <w:autoSpaceDE w:val="0"/>
              <w:autoSpaceDN w:val="0"/>
              <w:adjustRightInd w:val="0"/>
              <w:spacing w:after="0" w:line="240" w:lineRule="auto"/>
              <w:ind w:right="476"/>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1.75</w:t>
            </w:r>
          </w:p>
        </w:tc>
        <w:tc>
          <w:tcPr>
            <w:tcW w:w="1439" w:type="dxa"/>
            <w:tcBorders>
              <w:top w:val="single" w:sz="4" w:space="0" w:color="auto"/>
              <w:left w:val="nil"/>
              <w:bottom w:val="single" w:sz="12" w:space="0" w:color="auto"/>
              <w:right w:val="nil"/>
            </w:tcBorders>
            <w:vAlign w:val="bottom"/>
          </w:tcPr>
          <w:p w14:paraId="6CCEAFC9" w14:textId="48425E6C" w:rsidR="009953B0" w:rsidRPr="003A176D" w:rsidRDefault="00215F07" w:rsidP="003C5C84">
            <w:pPr>
              <w:overflowPunct w:val="0"/>
              <w:autoSpaceDE w:val="0"/>
              <w:autoSpaceDN w:val="0"/>
              <w:adjustRightInd w:val="0"/>
              <w:spacing w:after="0" w:line="240" w:lineRule="auto"/>
              <w:ind w:right="482"/>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.19</w:t>
            </w:r>
          </w:p>
        </w:tc>
        <w:tc>
          <w:tcPr>
            <w:tcW w:w="270" w:type="dxa"/>
            <w:tcBorders>
              <w:top w:val="single" w:sz="4" w:space="0" w:color="auto"/>
              <w:left w:val="nil"/>
              <w:bottom w:val="single" w:sz="12" w:space="0" w:color="auto"/>
              <w:right w:val="nil"/>
            </w:tcBorders>
            <w:vAlign w:val="bottom"/>
          </w:tcPr>
          <w:p w14:paraId="503A9E24" w14:textId="77777777" w:rsidR="009953B0" w:rsidRPr="003A176D" w:rsidRDefault="009953B0" w:rsidP="003C5C84">
            <w:pPr>
              <w:overflowPunct w:val="0"/>
              <w:autoSpaceDE w:val="0"/>
              <w:autoSpaceDN w:val="0"/>
              <w:adjustRightInd w:val="0"/>
              <w:spacing w:after="0" w:line="240" w:lineRule="auto"/>
              <w:jc w:val="right"/>
              <w:textAlignment w:val="baseline"/>
              <w:rPr>
                <w:rFonts w:asciiTheme="minorHAnsi" w:eastAsia="SimSun" w:hAnsiTheme="minorHAnsi" w:cs="Arial"/>
                <w:sz w:val="20"/>
                <w:szCs w:val="20"/>
                <w:lang w:val="en-CA"/>
              </w:rPr>
            </w:pPr>
          </w:p>
        </w:tc>
        <w:tc>
          <w:tcPr>
            <w:tcW w:w="1313" w:type="dxa"/>
            <w:tcBorders>
              <w:top w:val="single" w:sz="4" w:space="0" w:color="auto"/>
              <w:left w:val="nil"/>
              <w:bottom w:val="single" w:sz="12" w:space="0" w:color="auto"/>
              <w:right w:val="nil"/>
            </w:tcBorders>
          </w:tcPr>
          <w:p w14:paraId="73D1A91C" w14:textId="024750C2" w:rsidR="009953B0" w:rsidRPr="003A176D" w:rsidRDefault="009953B0" w:rsidP="003C5C84">
            <w:pPr>
              <w:overflowPunct w:val="0"/>
              <w:autoSpaceDE w:val="0"/>
              <w:autoSpaceDN w:val="0"/>
              <w:adjustRightInd w:val="0"/>
              <w:spacing w:after="0" w:line="240" w:lineRule="auto"/>
              <w:ind w:right="144"/>
              <w:jc w:val="right"/>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w:t>
            </w:r>
            <w:r w:rsidR="00215F07" w:rsidRPr="003A176D">
              <w:rPr>
                <w:rFonts w:asciiTheme="minorHAnsi" w:eastAsia="SimSun" w:hAnsiTheme="minorHAnsi" w:cs="Arial"/>
                <w:sz w:val="20"/>
                <w:szCs w:val="20"/>
                <w:lang w:val="en-CA"/>
              </w:rPr>
              <w:t>,254,119</w:t>
            </w:r>
          </w:p>
        </w:tc>
        <w:tc>
          <w:tcPr>
            <w:tcW w:w="1530" w:type="dxa"/>
            <w:tcBorders>
              <w:top w:val="single" w:sz="4" w:space="0" w:color="auto"/>
              <w:left w:val="nil"/>
              <w:bottom w:val="single" w:sz="12" w:space="0" w:color="auto"/>
              <w:right w:val="nil"/>
            </w:tcBorders>
            <w:vAlign w:val="bottom"/>
          </w:tcPr>
          <w:p w14:paraId="4D5195CD" w14:textId="4C08CA8F" w:rsidR="009953B0" w:rsidRPr="003A176D" w:rsidRDefault="009953B0" w:rsidP="003C5C84">
            <w:pPr>
              <w:overflowPunct w:val="0"/>
              <w:autoSpaceDE w:val="0"/>
              <w:autoSpaceDN w:val="0"/>
              <w:adjustRightInd w:val="0"/>
              <w:spacing w:after="0" w:line="240" w:lineRule="auto"/>
              <w:ind w:right="450"/>
              <w:jc w:val="right"/>
              <w:textAlignment w:val="baseline"/>
              <w:rPr>
                <w:rFonts w:asciiTheme="minorHAnsi" w:eastAsia="SimSun" w:hAnsiTheme="minorHAnsi"/>
                <w:bCs/>
                <w:sz w:val="20"/>
                <w:szCs w:val="20"/>
                <w:lang w:val="en-CA"/>
              </w:rPr>
            </w:pPr>
            <w:r w:rsidRPr="003A176D">
              <w:rPr>
                <w:rFonts w:asciiTheme="minorHAnsi" w:eastAsia="SimSun" w:hAnsiTheme="minorHAnsi"/>
                <w:bCs/>
                <w:sz w:val="20"/>
                <w:szCs w:val="20"/>
                <w:lang w:val="en-CA"/>
              </w:rPr>
              <w:t>0.1</w:t>
            </w:r>
            <w:r w:rsidR="00215F07" w:rsidRPr="003A176D">
              <w:rPr>
                <w:rFonts w:asciiTheme="minorHAnsi" w:eastAsia="SimSun" w:hAnsiTheme="minorHAnsi"/>
                <w:bCs/>
                <w:sz w:val="20"/>
                <w:szCs w:val="20"/>
                <w:lang w:val="en-CA"/>
              </w:rPr>
              <w:t>9</w:t>
            </w:r>
          </w:p>
        </w:tc>
      </w:tr>
    </w:tbl>
    <w:p w14:paraId="75BFD061" w14:textId="77777777" w:rsidR="009953B0" w:rsidRPr="003A176D" w:rsidRDefault="009953B0"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p>
    <w:p w14:paraId="7F0A3309" w14:textId="5ADAC6E1" w:rsidR="00092141" w:rsidRPr="003A176D" w:rsidRDefault="009953B0" w:rsidP="00CD3BA1">
      <w:pPr>
        <w:overflowPunct w:val="0"/>
        <w:autoSpaceDE w:val="0"/>
        <w:autoSpaceDN w:val="0"/>
        <w:adjustRightInd w:val="0"/>
        <w:spacing w:after="120" w:line="240" w:lineRule="auto"/>
        <w:ind w:left="432"/>
        <w:jc w:val="both"/>
        <w:textAlignment w:val="baseline"/>
        <w:rPr>
          <w:sz w:val="20"/>
          <w:szCs w:val="20"/>
        </w:rPr>
      </w:pPr>
      <w:r w:rsidRPr="003A176D">
        <w:rPr>
          <w:sz w:val="20"/>
          <w:szCs w:val="20"/>
        </w:rPr>
        <w:t>The fair value for warrants granted have been estimated using the Black-Scholes pricing model assuming no expected dividends and the following weighted average assumptions:</w:t>
      </w:r>
    </w:p>
    <w:tbl>
      <w:tblPr>
        <w:tblW w:w="8820" w:type="dxa"/>
        <w:tblInd w:w="450" w:type="dxa"/>
        <w:tblCellMar>
          <w:left w:w="0" w:type="dxa"/>
          <w:right w:w="0" w:type="dxa"/>
        </w:tblCellMar>
        <w:tblLook w:val="0000" w:firstRow="0" w:lastRow="0" w:firstColumn="0" w:lastColumn="0" w:noHBand="0" w:noVBand="0"/>
      </w:tblPr>
      <w:tblGrid>
        <w:gridCol w:w="3240"/>
        <w:gridCol w:w="2610"/>
        <w:gridCol w:w="2970"/>
      </w:tblGrid>
      <w:tr w:rsidR="003B72B2" w:rsidRPr="003A176D" w14:paraId="3A443357" w14:textId="77777777" w:rsidTr="003C5C84">
        <w:tc>
          <w:tcPr>
            <w:tcW w:w="3240" w:type="dxa"/>
            <w:tcBorders>
              <w:bottom w:val="single" w:sz="4" w:space="0" w:color="auto"/>
            </w:tcBorders>
          </w:tcPr>
          <w:p w14:paraId="78F77271" w14:textId="77777777" w:rsidR="003B72B2" w:rsidRPr="003A176D" w:rsidRDefault="003B72B2" w:rsidP="003C5C84">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p>
        </w:tc>
        <w:tc>
          <w:tcPr>
            <w:tcW w:w="2610" w:type="dxa"/>
            <w:tcBorders>
              <w:bottom w:val="single" w:sz="4" w:space="0" w:color="auto"/>
            </w:tcBorders>
            <w:vAlign w:val="bottom"/>
          </w:tcPr>
          <w:p w14:paraId="47EE4FF6" w14:textId="4B61A2EF"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bCs/>
                <w:sz w:val="20"/>
                <w:szCs w:val="20"/>
                <w:lang w:val="en-CA"/>
              </w:rPr>
            </w:pPr>
          </w:p>
        </w:tc>
        <w:tc>
          <w:tcPr>
            <w:tcW w:w="2970" w:type="dxa"/>
            <w:tcBorders>
              <w:bottom w:val="single" w:sz="4" w:space="0" w:color="auto"/>
            </w:tcBorders>
          </w:tcPr>
          <w:p w14:paraId="1C7E7466" w14:textId="7D2B2285" w:rsidR="003B72B2" w:rsidRPr="003A176D" w:rsidRDefault="00215F07" w:rsidP="003C5C84">
            <w:pPr>
              <w:overflowPunct w:val="0"/>
              <w:autoSpaceDE w:val="0"/>
              <w:autoSpaceDN w:val="0"/>
              <w:adjustRightInd w:val="0"/>
              <w:spacing w:after="0" w:line="240" w:lineRule="auto"/>
              <w:jc w:val="center"/>
              <w:textAlignment w:val="baseline"/>
              <w:rPr>
                <w:rFonts w:asciiTheme="minorHAnsi" w:eastAsia="SimSun" w:hAnsiTheme="minorHAnsi" w:cs="Arial"/>
                <w:bCs/>
                <w:sz w:val="20"/>
                <w:szCs w:val="20"/>
                <w:lang w:val="en-CA"/>
              </w:rPr>
            </w:pPr>
            <w:r w:rsidRPr="003A176D">
              <w:rPr>
                <w:rFonts w:asciiTheme="minorHAnsi" w:eastAsia="SimSun" w:hAnsiTheme="minorHAnsi" w:cs="Arial"/>
                <w:bCs/>
                <w:sz w:val="20"/>
                <w:szCs w:val="20"/>
                <w:lang w:val="en-CA"/>
              </w:rPr>
              <w:t>June 30</w:t>
            </w:r>
            <w:r w:rsidR="003B72B2" w:rsidRPr="003A176D">
              <w:rPr>
                <w:rFonts w:asciiTheme="minorHAnsi" w:eastAsia="SimSun" w:hAnsiTheme="minorHAnsi" w:cs="Arial"/>
                <w:bCs/>
                <w:sz w:val="20"/>
                <w:szCs w:val="20"/>
                <w:lang w:val="en-CA"/>
              </w:rPr>
              <w:t>, 2020</w:t>
            </w:r>
          </w:p>
        </w:tc>
      </w:tr>
      <w:tr w:rsidR="003B72B2" w:rsidRPr="003A176D" w14:paraId="2FBCBF6C" w14:textId="77777777" w:rsidTr="003C5C84">
        <w:trPr>
          <w:trHeight w:hRule="exact" w:val="115"/>
        </w:trPr>
        <w:tc>
          <w:tcPr>
            <w:tcW w:w="3240" w:type="dxa"/>
            <w:tcBorders>
              <w:top w:val="single" w:sz="4" w:space="0" w:color="auto"/>
            </w:tcBorders>
          </w:tcPr>
          <w:p w14:paraId="6572529E" w14:textId="77777777" w:rsidR="003B72B2" w:rsidRPr="003A176D" w:rsidRDefault="003B72B2" w:rsidP="003C5C84">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p>
        </w:tc>
        <w:tc>
          <w:tcPr>
            <w:tcW w:w="2610" w:type="dxa"/>
            <w:tcBorders>
              <w:top w:val="single" w:sz="4" w:space="0" w:color="auto"/>
            </w:tcBorders>
          </w:tcPr>
          <w:p w14:paraId="6DD85236" w14:textId="77777777"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70" w:type="dxa"/>
            <w:tcBorders>
              <w:top w:val="single" w:sz="4" w:space="0" w:color="auto"/>
            </w:tcBorders>
          </w:tcPr>
          <w:p w14:paraId="1ED6C127" w14:textId="77777777"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r>
      <w:tr w:rsidR="003B72B2" w:rsidRPr="003A176D" w14:paraId="3F570073" w14:textId="77777777" w:rsidTr="003C5C84">
        <w:tc>
          <w:tcPr>
            <w:tcW w:w="3240" w:type="dxa"/>
          </w:tcPr>
          <w:p w14:paraId="77086C4C" w14:textId="77777777" w:rsidR="003B72B2" w:rsidRPr="003A176D" w:rsidRDefault="003B72B2" w:rsidP="003C5C84">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Risk-free interest rate</w:t>
            </w:r>
          </w:p>
        </w:tc>
        <w:tc>
          <w:tcPr>
            <w:tcW w:w="2610" w:type="dxa"/>
            <w:vAlign w:val="bottom"/>
          </w:tcPr>
          <w:p w14:paraId="192F8630" w14:textId="7BB47AB2"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70" w:type="dxa"/>
          </w:tcPr>
          <w:p w14:paraId="4F3BAC8A" w14:textId="1B9BF5C2"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w:t>
            </w:r>
            <w:r w:rsidR="00215F07" w:rsidRPr="003A176D">
              <w:rPr>
                <w:rFonts w:asciiTheme="minorHAnsi" w:eastAsia="SimSun" w:hAnsiTheme="minorHAnsi" w:cs="Arial"/>
                <w:sz w:val="20"/>
                <w:szCs w:val="20"/>
                <w:lang w:val="en-CA"/>
              </w:rPr>
              <w:t>60</w:t>
            </w:r>
            <w:r w:rsidRPr="003A176D">
              <w:rPr>
                <w:rFonts w:asciiTheme="minorHAnsi" w:eastAsia="SimSun" w:hAnsiTheme="minorHAnsi" w:cs="Arial"/>
                <w:sz w:val="20"/>
                <w:szCs w:val="20"/>
                <w:lang w:val="en-CA"/>
              </w:rPr>
              <w:t>%</w:t>
            </w:r>
          </w:p>
        </w:tc>
      </w:tr>
      <w:tr w:rsidR="003B72B2" w:rsidRPr="003A176D" w14:paraId="751031A3" w14:textId="77777777" w:rsidTr="003C5C84">
        <w:tc>
          <w:tcPr>
            <w:tcW w:w="3240" w:type="dxa"/>
          </w:tcPr>
          <w:p w14:paraId="07B91F36" w14:textId="77777777" w:rsidR="003B72B2" w:rsidRPr="003A176D" w:rsidRDefault="003B72B2" w:rsidP="003C5C84">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Expected life (in years)</w:t>
            </w:r>
          </w:p>
        </w:tc>
        <w:tc>
          <w:tcPr>
            <w:tcW w:w="2610" w:type="dxa"/>
            <w:vAlign w:val="bottom"/>
          </w:tcPr>
          <w:p w14:paraId="63EF0F84" w14:textId="55D3F0A1"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70" w:type="dxa"/>
          </w:tcPr>
          <w:p w14:paraId="65331DEE" w14:textId="12C69E04"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2</w:t>
            </w:r>
          </w:p>
        </w:tc>
      </w:tr>
      <w:tr w:rsidR="003B72B2" w:rsidRPr="003A176D" w14:paraId="2CE79591" w14:textId="77777777" w:rsidTr="00E623A6">
        <w:tc>
          <w:tcPr>
            <w:tcW w:w="3240" w:type="dxa"/>
            <w:tcBorders>
              <w:bottom w:val="single" w:sz="4" w:space="0" w:color="auto"/>
            </w:tcBorders>
          </w:tcPr>
          <w:p w14:paraId="094D35ED" w14:textId="77777777" w:rsidR="003B72B2" w:rsidRPr="003A176D" w:rsidRDefault="003B72B2" w:rsidP="003C5C84">
            <w:pPr>
              <w:overflowPunct w:val="0"/>
              <w:autoSpaceDE w:val="0"/>
              <w:autoSpaceDN w:val="0"/>
              <w:adjustRightInd w:val="0"/>
              <w:spacing w:after="0" w:line="240" w:lineRule="auto"/>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Expected volatility</w:t>
            </w:r>
          </w:p>
        </w:tc>
        <w:tc>
          <w:tcPr>
            <w:tcW w:w="2610" w:type="dxa"/>
            <w:tcBorders>
              <w:bottom w:val="single" w:sz="4" w:space="0" w:color="auto"/>
            </w:tcBorders>
            <w:vAlign w:val="bottom"/>
          </w:tcPr>
          <w:p w14:paraId="721A7460" w14:textId="3EC334F8"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p>
        </w:tc>
        <w:tc>
          <w:tcPr>
            <w:tcW w:w="2970" w:type="dxa"/>
            <w:tcBorders>
              <w:bottom w:val="single" w:sz="4" w:space="0" w:color="auto"/>
            </w:tcBorders>
          </w:tcPr>
          <w:p w14:paraId="7BEF7850" w14:textId="2010A6C2" w:rsidR="003B72B2" w:rsidRPr="003A176D" w:rsidRDefault="003B72B2" w:rsidP="003C5C84">
            <w:pPr>
              <w:overflowPunct w:val="0"/>
              <w:autoSpaceDE w:val="0"/>
              <w:autoSpaceDN w:val="0"/>
              <w:adjustRightInd w:val="0"/>
              <w:spacing w:after="0" w:line="240" w:lineRule="auto"/>
              <w:jc w:val="center"/>
              <w:textAlignment w:val="baseline"/>
              <w:rPr>
                <w:rFonts w:asciiTheme="minorHAnsi" w:eastAsia="SimSun" w:hAnsiTheme="minorHAnsi" w:cs="Arial"/>
                <w:sz w:val="20"/>
                <w:szCs w:val="20"/>
                <w:lang w:val="en-CA"/>
              </w:rPr>
            </w:pPr>
            <w:r w:rsidRPr="003A176D">
              <w:rPr>
                <w:rFonts w:asciiTheme="minorHAnsi" w:eastAsia="SimSun" w:hAnsiTheme="minorHAnsi" w:cs="Arial"/>
                <w:sz w:val="20"/>
                <w:szCs w:val="20"/>
                <w:lang w:val="en-CA"/>
              </w:rPr>
              <w:t>195%</w:t>
            </w:r>
          </w:p>
        </w:tc>
      </w:tr>
    </w:tbl>
    <w:p w14:paraId="160C826D" w14:textId="29420683" w:rsidR="009953B0" w:rsidRPr="003A176D" w:rsidRDefault="009953B0" w:rsidP="00CD3BA1">
      <w:pPr>
        <w:overflowPunct w:val="0"/>
        <w:autoSpaceDE w:val="0"/>
        <w:autoSpaceDN w:val="0"/>
        <w:adjustRightInd w:val="0"/>
        <w:spacing w:after="120" w:line="240" w:lineRule="auto"/>
        <w:ind w:left="432"/>
        <w:jc w:val="both"/>
        <w:textAlignment w:val="baseline"/>
        <w:rPr>
          <w:sz w:val="20"/>
          <w:szCs w:val="20"/>
        </w:rPr>
      </w:pPr>
    </w:p>
    <w:p w14:paraId="3DABD270" w14:textId="2349DBBB" w:rsidR="00205A92" w:rsidRPr="003A176D" w:rsidRDefault="00C915B1" w:rsidP="00CD3BA1">
      <w:pPr>
        <w:overflowPunct w:val="0"/>
        <w:autoSpaceDE w:val="0"/>
        <w:autoSpaceDN w:val="0"/>
        <w:adjustRightInd w:val="0"/>
        <w:spacing w:after="120" w:line="240" w:lineRule="auto"/>
        <w:ind w:left="432"/>
        <w:jc w:val="both"/>
        <w:textAlignment w:val="baseline"/>
        <w:rPr>
          <w:rFonts w:asciiTheme="minorHAnsi" w:eastAsia="SimSun" w:hAnsiTheme="minorHAnsi" w:cs="Arial"/>
          <w:sz w:val="20"/>
          <w:szCs w:val="20"/>
          <w:lang w:val="en-CA" w:eastAsia="x-none"/>
        </w:rPr>
      </w:pPr>
      <w:r w:rsidRPr="003A176D">
        <w:rPr>
          <w:rFonts w:asciiTheme="minorHAnsi" w:eastAsia="SimSun" w:hAnsiTheme="minorHAnsi" w:cs="Arial"/>
          <w:sz w:val="20"/>
          <w:szCs w:val="20"/>
          <w:lang w:val="en-CA" w:eastAsia="x-none"/>
        </w:rPr>
        <w:t xml:space="preserve">The fair value of warrants vested during the </w:t>
      </w:r>
      <w:r w:rsidR="00215F07" w:rsidRPr="003A176D">
        <w:rPr>
          <w:rFonts w:asciiTheme="minorHAnsi" w:eastAsia="SimSun" w:hAnsiTheme="minorHAnsi" w:cs="Arial"/>
          <w:sz w:val="20"/>
          <w:szCs w:val="20"/>
          <w:lang w:val="en-CA" w:eastAsia="x-none"/>
        </w:rPr>
        <w:t>six</w:t>
      </w:r>
      <w:r w:rsidRPr="003A176D">
        <w:rPr>
          <w:rFonts w:asciiTheme="minorHAnsi" w:eastAsia="SimSun" w:hAnsiTheme="minorHAnsi" w:cs="Arial"/>
          <w:sz w:val="20"/>
          <w:szCs w:val="20"/>
          <w:lang w:val="en-CA" w:eastAsia="x-none"/>
        </w:rPr>
        <w:t xml:space="preserve"> months ended March 31 ,2020 was $</w:t>
      </w:r>
      <w:r w:rsidR="00215F07" w:rsidRPr="003A176D">
        <w:rPr>
          <w:rFonts w:asciiTheme="minorHAnsi" w:eastAsia="SimSun" w:hAnsiTheme="minorHAnsi" w:cs="Arial"/>
          <w:sz w:val="20"/>
          <w:szCs w:val="20"/>
          <w:lang w:val="en-CA" w:eastAsia="x-none"/>
        </w:rPr>
        <w:t>162,925</w:t>
      </w:r>
      <w:r w:rsidRPr="003A176D">
        <w:rPr>
          <w:rFonts w:asciiTheme="minorHAnsi" w:eastAsia="SimSun" w:hAnsiTheme="minorHAnsi" w:cs="Arial"/>
          <w:sz w:val="20"/>
          <w:szCs w:val="20"/>
          <w:lang w:val="en-CA" w:eastAsia="x-none"/>
        </w:rPr>
        <w:t xml:space="preserve"> (March 31, 2019 - $nil).</w:t>
      </w:r>
    </w:p>
    <w:p w14:paraId="637F6B19" w14:textId="77777777" w:rsidR="00215F07" w:rsidRPr="003A176D" w:rsidRDefault="00215F07" w:rsidP="00CD3BA1">
      <w:pPr>
        <w:overflowPunct w:val="0"/>
        <w:autoSpaceDE w:val="0"/>
        <w:autoSpaceDN w:val="0"/>
        <w:adjustRightInd w:val="0"/>
        <w:spacing w:after="120" w:line="240" w:lineRule="auto"/>
        <w:ind w:left="432"/>
        <w:jc w:val="both"/>
        <w:textAlignment w:val="baseline"/>
        <w:rPr>
          <w:sz w:val="20"/>
          <w:szCs w:val="20"/>
        </w:rPr>
      </w:pPr>
    </w:p>
    <w:p w14:paraId="67160E23" w14:textId="7BB4C774" w:rsidR="005E7046" w:rsidRPr="003A176D" w:rsidRDefault="00CE6FDF" w:rsidP="008F2272">
      <w:pPr>
        <w:autoSpaceDE w:val="0"/>
        <w:autoSpaceDN w:val="0"/>
        <w:adjustRightInd w:val="0"/>
        <w:spacing w:after="0" w:line="240" w:lineRule="auto"/>
        <w:ind w:left="360" w:hanging="360"/>
        <w:jc w:val="both"/>
        <w:rPr>
          <w:rFonts w:cs="Calibri"/>
          <w:b/>
          <w:sz w:val="20"/>
          <w:szCs w:val="20"/>
        </w:rPr>
      </w:pPr>
      <w:r w:rsidRPr="003A176D">
        <w:rPr>
          <w:rFonts w:cs="Calibri"/>
          <w:b/>
          <w:sz w:val="20"/>
          <w:szCs w:val="20"/>
        </w:rPr>
        <w:lastRenderedPageBreak/>
        <w:t>10</w:t>
      </w:r>
      <w:r w:rsidR="00511D4E" w:rsidRPr="003A176D">
        <w:rPr>
          <w:rFonts w:cs="Calibri"/>
          <w:b/>
          <w:sz w:val="20"/>
          <w:szCs w:val="20"/>
        </w:rPr>
        <w:t xml:space="preserve">.   </w:t>
      </w:r>
      <w:r w:rsidR="005E7046" w:rsidRPr="003A176D">
        <w:rPr>
          <w:rFonts w:cs="Calibri"/>
          <w:b/>
          <w:sz w:val="20"/>
          <w:szCs w:val="20"/>
        </w:rPr>
        <w:t xml:space="preserve">Related </w:t>
      </w:r>
      <w:r w:rsidR="00B926BF" w:rsidRPr="003A176D">
        <w:rPr>
          <w:rFonts w:cs="Calibri"/>
          <w:b/>
          <w:sz w:val="20"/>
          <w:szCs w:val="20"/>
        </w:rPr>
        <w:t>P</w:t>
      </w:r>
      <w:r w:rsidR="005E7046" w:rsidRPr="003A176D">
        <w:rPr>
          <w:rFonts w:cs="Calibri"/>
          <w:b/>
          <w:sz w:val="20"/>
          <w:szCs w:val="20"/>
        </w:rPr>
        <w:t xml:space="preserve">arty </w:t>
      </w:r>
      <w:r w:rsidR="00EC0A8A" w:rsidRPr="003A176D">
        <w:rPr>
          <w:rFonts w:cs="Calibri"/>
          <w:b/>
          <w:sz w:val="20"/>
          <w:szCs w:val="20"/>
        </w:rPr>
        <w:t xml:space="preserve">Transactions and </w:t>
      </w:r>
      <w:r w:rsidR="00B926BF" w:rsidRPr="003A176D">
        <w:rPr>
          <w:rFonts w:cs="Calibri"/>
          <w:b/>
          <w:sz w:val="20"/>
          <w:szCs w:val="20"/>
        </w:rPr>
        <w:t>B</w:t>
      </w:r>
      <w:r w:rsidR="005E7046" w:rsidRPr="003A176D">
        <w:rPr>
          <w:rFonts w:cs="Calibri"/>
          <w:b/>
          <w:sz w:val="20"/>
          <w:szCs w:val="20"/>
        </w:rPr>
        <w:t xml:space="preserve">alances </w:t>
      </w:r>
    </w:p>
    <w:p w14:paraId="34B11BC4" w14:textId="098302A7" w:rsidR="00207715" w:rsidRPr="003A176D" w:rsidRDefault="00207715" w:rsidP="00207715">
      <w:pPr>
        <w:autoSpaceDE w:val="0"/>
        <w:autoSpaceDN w:val="0"/>
        <w:adjustRightInd w:val="0"/>
        <w:spacing w:after="0" w:line="240" w:lineRule="auto"/>
        <w:ind w:left="426"/>
        <w:jc w:val="both"/>
        <w:rPr>
          <w:rFonts w:asciiTheme="minorHAnsi" w:hAnsiTheme="minorHAnsi" w:cstheme="minorHAnsi"/>
          <w:b/>
          <w:sz w:val="20"/>
          <w:szCs w:val="20"/>
        </w:rPr>
      </w:pPr>
    </w:p>
    <w:p w14:paraId="4F8AB5AB" w14:textId="136F9C9D" w:rsidR="00187109" w:rsidRPr="003A176D" w:rsidRDefault="00E571F3" w:rsidP="00BD7336">
      <w:pPr>
        <w:autoSpaceDE w:val="0"/>
        <w:autoSpaceDN w:val="0"/>
        <w:adjustRightInd w:val="0"/>
        <w:spacing w:after="0" w:line="240" w:lineRule="auto"/>
        <w:ind w:left="426"/>
        <w:jc w:val="both"/>
        <w:rPr>
          <w:sz w:val="20"/>
          <w:szCs w:val="20"/>
        </w:rPr>
      </w:pPr>
      <w:bookmarkStart w:id="31" w:name="_Hlk49440579"/>
      <w:r w:rsidRPr="003A176D">
        <w:rPr>
          <w:rFonts w:cs="Calibri"/>
          <w:sz w:val="20"/>
          <w:szCs w:val="20"/>
        </w:rPr>
        <w:t>At</w:t>
      </w:r>
      <w:r w:rsidR="00207715" w:rsidRPr="003A176D">
        <w:rPr>
          <w:rFonts w:cs="Calibri"/>
          <w:sz w:val="20"/>
          <w:szCs w:val="20"/>
        </w:rPr>
        <w:t xml:space="preserve"> </w:t>
      </w:r>
      <w:r w:rsidR="00215F07" w:rsidRPr="003A176D">
        <w:rPr>
          <w:rFonts w:cs="Calibri"/>
          <w:sz w:val="20"/>
          <w:szCs w:val="20"/>
        </w:rPr>
        <w:t>June</w:t>
      </w:r>
      <w:r w:rsidR="004A6361">
        <w:rPr>
          <w:rFonts w:cs="Calibri"/>
          <w:sz w:val="20"/>
          <w:szCs w:val="20"/>
        </w:rPr>
        <w:t xml:space="preserve"> 30, </w:t>
      </w:r>
      <w:r w:rsidR="00522367" w:rsidRPr="003A176D">
        <w:rPr>
          <w:rFonts w:cs="Calibri"/>
          <w:sz w:val="20"/>
          <w:szCs w:val="20"/>
        </w:rPr>
        <w:t>2020</w:t>
      </w:r>
      <w:r w:rsidR="00207715" w:rsidRPr="003A176D">
        <w:rPr>
          <w:rFonts w:cs="Calibri"/>
          <w:sz w:val="20"/>
          <w:szCs w:val="20"/>
        </w:rPr>
        <w:t>, the Company had $</w:t>
      </w:r>
      <w:r w:rsidR="00522367" w:rsidRPr="003A176D">
        <w:rPr>
          <w:rFonts w:cs="Calibri"/>
          <w:sz w:val="20"/>
          <w:szCs w:val="20"/>
        </w:rPr>
        <w:t>658,212</w:t>
      </w:r>
      <w:r w:rsidR="003168F8" w:rsidRPr="003A176D">
        <w:rPr>
          <w:rFonts w:cs="Calibri"/>
          <w:sz w:val="20"/>
          <w:szCs w:val="20"/>
        </w:rPr>
        <w:t xml:space="preserve"> (December 31, 201</w:t>
      </w:r>
      <w:r w:rsidR="00522367" w:rsidRPr="003A176D">
        <w:rPr>
          <w:rFonts w:cs="Calibri"/>
          <w:sz w:val="20"/>
          <w:szCs w:val="20"/>
        </w:rPr>
        <w:t>9</w:t>
      </w:r>
      <w:r w:rsidR="003168F8" w:rsidRPr="003A176D">
        <w:rPr>
          <w:rFonts w:cs="Calibri"/>
          <w:sz w:val="20"/>
          <w:szCs w:val="20"/>
        </w:rPr>
        <w:t xml:space="preserve"> - $</w:t>
      </w:r>
      <w:r w:rsidR="00522367" w:rsidRPr="003A176D">
        <w:rPr>
          <w:rFonts w:cs="Calibri"/>
          <w:sz w:val="20"/>
          <w:szCs w:val="20"/>
        </w:rPr>
        <w:t>658,212</w:t>
      </w:r>
      <w:r w:rsidR="003168F8" w:rsidRPr="003A176D">
        <w:rPr>
          <w:rFonts w:cs="Calibri"/>
          <w:sz w:val="20"/>
          <w:szCs w:val="20"/>
        </w:rPr>
        <w:t>)</w:t>
      </w:r>
      <w:r w:rsidR="00581D1F" w:rsidRPr="003A176D">
        <w:rPr>
          <w:rFonts w:cs="Calibri"/>
          <w:sz w:val="20"/>
          <w:szCs w:val="20"/>
        </w:rPr>
        <w:t xml:space="preserve"> </w:t>
      </w:r>
      <w:r w:rsidR="00A55136" w:rsidRPr="003A176D">
        <w:rPr>
          <w:rFonts w:cs="Calibri"/>
          <w:sz w:val="20"/>
          <w:szCs w:val="20"/>
        </w:rPr>
        <w:t>owing</w:t>
      </w:r>
      <w:r w:rsidR="0081454F" w:rsidRPr="003A176D">
        <w:rPr>
          <w:rFonts w:cs="Calibri"/>
          <w:sz w:val="20"/>
          <w:szCs w:val="20"/>
        </w:rPr>
        <w:t xml:space="preserve"> to</w:t>
      </w:r>
      <w:r w:rsidR="00A55136" w:rsidRPr="003A176D">
        <w:rPr>
          <w:rFonts w:cs="Calibri"/>
          <w:sz w:val="20"/>
          <w:szCs w:val="20"/>
        </w:rPr>
        <w:t xml:space="preserve"> </w:t>
      </w:r>
      <w:r w:rsidR="00284D26" w:rsidRPr="003A176D">
        <w:rPr>
          <w:rFonts w:cs="Calibri"/>
          <w:sz w:val="20"/>
          <w:szCs w:val="20"/>
        </w:rPr>
        <w:t xml:space="preserve">Victory Square </w:t>
      </w:r>
      <w:r w:rsidR="00BD7336" w:rsidRPr="003A176D">
        <w:rPr>
          <w:rFonts w:cs="Calibri"/>
          <w:sz w:val="20"/>
          <w:szCs w:val="20"/>
        </w:rPr>
        <w:t xml:space="preserve">Technologies Inc. </w:t>
      </w:r>
      <w:r w:rsidR="00284D26" w:rsidRPr="003A176D">
        <w:rPr>
          <w:rFonts w:cs="Calibri"/>
          <w:sz w:val="20"/>
          <w:szCs w:val="20"/>
        </w:rPr>
        <w:t>and its subsidiaries</w:t>
      </w:r>
      <w:r w:rsidR="00581D1F" w:rsidRPr="003A176D">
        <w:rPr>
          <w:rFonts w:cs="Calibri"/>
          <w:sz w:val="20"/>
          <w:szCs w:val="20"/>
        </w:rPr>
        <w:t xml:space="preserve">.  These amounts are unsecured, non-interest bearing and </w:t>
      </w:r>
      <w:r w:rsidR="00B50BF6" w:rsidRPr="003A176D">
        <w:rPr>
          <w:rFonts w:cs="Calibri"/>
          <w:sz w:val="20"/>
          <w:szCs w:val="20"/>
        </w:rPr>
        <w:t xml:space="preserve">per an agreement between the parties, </w:t>
      </w:r>
      <w:r w:rsidR="003168F8" w:rsidRPr="003A176D">
        <w:rPr>
          <w:rFonts w:cs="Calibri"/>
          <w:sz w:val="20"/>
          <w:szCs w:val="20"/>
        </w:rPr>
        <w:t xml:space="preserve">are not repayable until </w:t>
      </w:r>
      <w:r w:rsidR="00F9485B" w:rsidRPr="003A176D">
        <w:rPr>
          <w:rFonts w:cs="Calibri"/>
          <w:sz w:val="20"/>
          <w:szCs w:val="20"/>
        </w:rPr>
        <w:t>the Company</w:t>
      </w:r>
      <w:r w:rsidR="003168F8" w:rsidRPr="003A176D">
        <w:rPr>
          <w:rFonts w:cs="Calibri"/>
          <w:sz w:val="20"/>
          <w:szCs w:val="20"/>
        </w:rPr>
        <w:t xml:space="preserve"> is sold in an arm’s length transaction to a third party</w:t>
      </w:r>
      <w:r w:rsidR="00581D1F" w:rsidRPr="003A176D">
        <w:rPr>
          <w:rFonts w:cs="Calibri"/>
          <w:sz w:val="20"/>
          <w:szCs w:val="20"/>
        </w:rPr>
        <w:t>.</w:t>
      </w:r>
      <w:r w:rsidR="00BD7336" w:rsidRPr="003A176D">
        <w:rPr>
          <w:rFonts w:cs="Calibri"/>
          <w:sz w:val="20"/>
          <w:szCs w:val="20"/>
        </w:rPr>
        <w:t xml:space="preserve"> </w:t>
      </w:r>
      <w:r w:rsidR="00522367" w:rsidRPr="003A176D">
        <w:rPr>
          <w:sz w:val="20"/>
          <w:szCs w:val="20"/>
        </w:rPr>
        <w:t>The Company and Victory Square have entered into an agreement whereby Victory Square will not call the loan for at least twelve months.</w:t>
      </w:r>
    </w:p>
    <w:p w14:paraId="0E6D74AE" w14:textId="1821E871" w:rsidR="00EB0464" w:rsidRPr="003A176D" w:rsidRDefault="00EB0464" w:rsidP="00BD7336">
      <w:pPr>
        <w:autoSpaceDE w:val="0"/>
        <w:autoSpaceDN w:val="0"/>
        <w:adjustRightInd w:val="0"/>
        <w:spacing w:after="0" w:line="240" w:lineRule="auto"/>
        <w:ind w:left="426"/>
        <w:jc w:val="both"/>
        <w:rPr>
          <w:sz w:val="20"/>
          <w:szCs w:val="20"/>
        </w:rPr>
      </w:pPr>
    </w:p>
    <w:p w14:paraId="67DEF77D" w14:textId="21715BE8" w:rsidR="00EB0464" w:rsidRPr="003A176D" w:rsidRDefault="00EB0464" w:rsidP="00BD7336">
      <w:pPr>
        <w:autoSpaceDE w:val="0"/>
        <w:autoSpaceDN w:val="0"/>
        <w:adjustRightInd w:val="0"/>
        <w:spacing w:after="0" w:line="240" w:lineRule="auto"/>
        <w:ind w:left="426"/>
        <w:jc w:val="both"/>
        <w:rPr>
          <w:sz w:val="20"/>
          <w:szCs w:val="20"/>
        </w:rPr>
      </w:pPr>
      <w:r w:rsidRPr="003A176D">
        <w:rPr>
          <w:sz w:val="20"/>
          <w:szCs w:val="20"/>
        </w:rPr>
        <w:t xml:space="preserve">At March 31, 2020 the Company had £300,000 owing to McBookie, in connection with the acquisition that completed on March 26 ,2020 (note 4). </w:t>
      </w:r>
      <w:r w:rsidR="008B32C5" w:rsidRPr="003A176D">
        <w:rPr>
          <w:sz w:val="20"/>
          <w:szCs w:val="20"/>
        </w:rPr>
        <w:t>The present value of the note payable is $484,757</w:t>
      </w:r>
      <w:r w:rsidR="008602A3" w:rsidRPr="003A176D">
        <w:rPr>
          <w:sz w:val="20"/>
          <w:szCs w:val="20"/>
        </w:rPr>
        <w:t>, carrying a discount rate of 5% per annum</w:t>
      </w:r>
      <w:r w:rsidR="008B32C5" w:rsidRPr="003A176D">
        <w:rPr>
          <w:sz w:val="20"/>
          <w:szCs w:val="20"/>
        </w:rPr>
        <w:t xml:space="preserve">. </w:t>
      </w:r>
    </w:p>
    <w:p w14:paraId="14DF949F" w14:textId="60555A39" w:rsidR="00215F07" w:rsidRPr="003A176D" w:rsidRDefault="00215F07" w:rsidP="00BD7336">
      <w:pPr>
        <w:autoSpaceDE w:val="0"/>
        <w:autoSpaceDN w:val="0"/>
        <w:adjustRightInd w:val="0"/>
        <w:spacing w:after="0" w:line="240" w:lineRule="auto"/>
        <w:ind w:left="426"/>
        <w:jc w:val="both"/>
        <w:rPr>
          <w:sz w:val="20"/>
          <w:szCs w:val="20"/>
        </w:rPr>
      </w:pPr>
    </w:p>
    <w:p w14:paraId="45731AF8" w14:textId="1FB32352" w:rsidR="00215F07" w:rsidRPr="003A176D" w:rsidRDefault="00215F07" w:rsidP="00BD7336">
      <w:pPr>
        <w:autoSpaceDE w:val="0"/>
        <w:autoSpaceDN w:val="0"/>
        <w:adjustRightInd w:val="0"/>
        <w:spacing w:after="0" w:line="240" w:lineRule="auto"/>
        <w:ind w:left="426"/>
        <w:jc w:val="both"/>
        <w:rPr>
          <w:rFonts w:cs="Calibri"/>
          <w:sz w:val="20"/>
          <w:szCs w:val="20"/>
        </w:rPr>
      </w:pPr>
      <w:r w:rsidRPr="003A176D">
        <w:rPr>
          <w:rFonts w:cs="Calibri"/>
          <w:sz w:val="20"/>
          <w:szCs w:val="20"/>
        </w:rPr>
        <w:t xml:space="preserve">In connection with the agreement with V2 (note 7), the Company is expected to receive payments totaling $764,939USD, from the time of </w:t>
      </w:r>
      <w:r w:rsidR="00676050" w:rsidRPr="003A176D">
        <w:rPr>
          <w:rFonts w:cs="Calibri"/>
          <w:sz w:val="20"/>
          <w:szCs w:val="20"/>
        </w:rPr>
        <w:t xml:space="preserve">signing (April 16, 2020) until January, 2022. As of June 30, 2020, the Company has received $25,000USD in payments related to this agreement. The present value of the total payments at April 16, 2020 was $837,838 ($593,286USD), and as such, the Company has booked an expense related to the total value paid over the present value of identifiable assets. The total value attributed to the agreement is outlined in the table below. </w:t>
      </w:r>
    </w:p>
    <w:p w14:paraId="3E5D52FB" w14:textId="1D45478B" w:rsidR="00676050" w:rsidRPr="003A176D" w:rsidRDefault="00676050" w:rsidP="00BD7336">
      <w:pPr>
        <w:autoSpaceDE w:val="0"/>
        <w:autoSpaceDN w:val="0"/>
        <w:adjustRightInd w:val="0"/>
        <w:spacing w:after="0" w:line="240" w:lineRule="auto"/>
        <w:ind w:left="426"/>
        <w:jc w:val="both"/>
        <w:rPr>
          <w:rFonts w:cs="Calibri"/>
          <w:sz w:val="20"/>
          <w:szCs w:val="20"/>
        </w:rPr>
      </w:pPr>
    </w:p>
    <w:tbl>
      <w:tblPr>
        <w:tblW w:w="8637" w:type="dxa"/>
        <w:tblInd w:w="720" w:type="dxa"/>
        <w:tblLook w:val="06A0" w:firstRow="1" w:lastRow="0" w:firstColumn="1" w:lastColumn="0" w:noHBand="1" w:noVBand="1"/>
      </w:tblPr>
      <w:tblGrid>
        <w:gridCol w:w="439"/>
        <w:gridCol w:w="6524"/>
        <w:gridCol w:w="318"/>
        <w:gridCol w:w="1356"/>
      </w:tblGrid>
      <w:tr w:rsidR="00676050" w:rsidRPr="003A176D" w14:paraId="55CEE515" w14:textId="77777777" w:rsidTr="00E6252D">
        <w:trPr>
          <w:trHeight w:val="21"/>
        </w:trPr>
        <w:tc>
          <w:tcPr>
            <w:tcW w:w="6963" w:type="dxa"/>
            <w:gridSpan w:val="2"/>
            <w:shd w:val="clear" w:color="auto" w:fill="auto"/>
            <w:noWrap/>
            <w:vAlign w:val="bottom"/>
            <w:hideMark/>
          </w:tcPr>
          <w:p w14:paraId="7ED8892D" w14:textId="49C4D8F6"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Fair value of the common shares at agreement</w:t>
            </w:r>
          </w:p>
        </w:tc>
        <w:tc>
          <w:tcPr>
            <w:tcW w:w="318" w:type="dxa"/>
            <w:vAlign w:val="bottom"/>
          </w:tcPr>
          <w:p w14:paraId="54137394" w14:textId="77777777"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w:t>
            </w:r>
          </w:p>
        </w:tc>
        <w:tc>
          <w:tcPr>
            <w:tcW w:w="1356" w:type="dxa"/>
            <w:shd w:val="clear" w:color="auto" w:fill="auto"/>
            <w:noWrap/>
            <w:vAlign w:val="bottom"/>
            <w:hideMark/>
          </w:tcPr>
          <w:p w14:paraId="0945CCCF" w14:textId="4BD6173A"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1,100,000</w:t>
            </w:r>
          </w:p>
        </w:tc>
      </w:tr>
      <w:tr w:rsidR="00676050" w:rsidRPr="003A176D" w14:paraId="3C217A60" w14:textId="77777777" w:rsidTr="00E6252D">
        <w:trPr>
          <w:trHeight w:val="21"/>
        </w:trPr>
        <w:tc>
          <w:tcPr>
            <w:tcW w:w="6963" w:type="dxa"/>
            <w:gridSpan w:val="2"/>
            <w:tcBorders>
              <w:top w:val="single" w:sz="4" w:space="0" w:color="auto"/>
            </w:tcBorders>
            <w:shd w:val="clear" w:color="auto" w:fill="auto"/>
            <w:noWrap/>
            <w:vAlign w:val="bottom"/>
          </w:tcPr>
          <w:p w14:paraId="4F38AB6D" w14:textId="77777777" w:rsidR="00676050" w:rsidRPr="003A176D" w:rsidRDefault="00676050" w:rsidP="00E6252D">
            <w:pPr>
              <w:pStyle w:val="NoSpacing"/>
              <w:rPr>
                <w:rFonts w:asciiTheme="minorHAnsi" w:hAnsiTheme="minorHAnsi" w:cstheme="minorHAnsi"/>
                <w:sz w:val="20"/>
                <w:szCs w:val="20"/>
                <w:lang w:val="en-CA" w:eastAsia="en-CA"/>
              </w:rPr>
            </w:pPr>
          </w:p>
        </w:tc>
        <w:tc>
          <w:tcPr>
            <w:tcW w:w="318" w:type="dxa"/>
            <w:tcBorders>
              <w:top w:val="single" w:sz="4" w:space="0" w:color="auto"/>
            </w:tcBorders>
            <w:vAlign w:val="bottom"/>
          </w:tcPr>
          <w:p w14:paraId="4C154EBC"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tcBorders>
              <w:top w:val="single" w:sz="4" w:space="0" w:color="auto"/>
            </w:tcBorders>
            <w:shd w:val="clear" w:color="auto" w:fill="auto"/>
            <w:noWrap/>
            <w:vAlign w:val="bottom"/>
          </w:tcPr>
          <w:p w14:paraId="687A6FD7" w14:textId="49238597"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1,100,000</w:t>
            </w:r>
          </w:p>
        </w:tc>
      </w:tr>
      <w:tr w:rsidR="00676050" w:rsidRPr="003A176D" w14:paraId="562891BF" w14:textId="77777777" w:rsidTr="00E6252D">
        <w:trPr>
          <w:trHeight w:val="21"/>
        </w:trPr>
        <w:tc>
          <w:tcPr>
            <w:tcW w:w="6963" w:type="dxa"/>
            <w:gridSpan w:val="2"/>
            <w:shd w:val="clear" w:color="auto" w:fill="auto"/>
            <w:noWrap/>
            <w:vAlign w:val="bottom"/>
          </w:tcPr>
          <w:p w14:paraId="6B608499" w14:textId="77777777" w:rsidR="00676050" w:rsidRPr="003A176D" w:rsidRDefault="00676050" w:rsidP="00E6252D">
            <w:pPr>
              <w:pStyle w:val="NoSpacing"/>
              <w:rPr>
                <w:rFonts w:asciiTheme="minorHAnsi" w:hAnsiTheme="minorHAnsi" w:cstheme="minorHAnsi"/>
                <w:sz w:val="20"/>
                <w:szCs w:val="20"/>
                <w:lang w:val="en-CA" w:eastAsia="en-CA"/>
              </w:rPr>
            </w:pPr>
          </w:p>
        </w:tc>
        <w:tc>
          <w:tcPr>
            <w:tcW w:w="318" w:type="dxa"/>
            <w:vAlign w:val="bottom"/>
          </w:tcPr>
          <w:p w14:paraId="70CBC59C"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shd w:val="clear" w:color="auto" w:fill="auto"/>
            <w:noWrap/>
            <w:vAlign w:val="bottom"/>
          </w:tcPr>
          <w:p w14:paraId="5468DE64" w14:textId="77777777" w:rsidR="00676050" w:rsidRPr="003A176D" w:rsidRDefault="00676050" w:rsidP="00E6252D">
            <w:pPr>
              <w:pStyle w:val="NoSpacing"/>
              <w:jc w:val="right"/>
              <w:rPr>
                <w:rFonts w:asciiTheme="minorHAnsi" w:hAnsiTheme="minorHAnsi" w:cstheme="minorHAnsi"/>
                <w:sz w:val="20"/>
                <w:szCs w:val="20"/>
                <w:lang w:val="en-CA" w:eastAsia="en-CA"/>
              </w:rPr>
            </w:pPr>
          </w:p>
        </w:tc>
      </w:tr>
      <w:tr w:rsidR="00676050" w:rsidRPr="003A176D" w14:paraId="592C24F2" w14:textId="77777777" w:rsidTr="00E6252D">
        <w:trPr>
          <w:trHeight w:val="21"/>
        </w:trPr>
        <w:tc>
          <w:tcPr>
            <w:tcW w:w="6963" w:type="dxa"/>
            <w:gridSpan w:val="2"/>
            <w:shd w:val="clear" w:color="auto" w:fill="auto"/>
            <w:noWrap/>
            <w:vAlign w:val="bottom"/>
            <w:hideMark/>
          </w:tcPr>
          <w:p w14:paraId="6D6C2A0B" w14:textId="7025AF4D"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Identifiable assets acquired – At April 16, 2020</w:t>
            </w:r>
          </w:p>
        </w:tc>
        <w:tc>
          <w:tcPr>
            <w:tcW w:w="318" w:type="dxa"/>
            <w:vAlign w:val="bottom"/>
          </w:tcPr>
          <w:p w14:paraId="6995EA25"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shd w:val="clear" w:color="auto" w:fill="auto"/>
            <w:noWrap/>
            <w:vAlign w:val="bottom"/>
            <w:hideMark/>
          </w:tcPr>
          <w:p w14:paraId="37447AEA" w14:textId="77777777" w:rsidR="00676050" w:rsidRPr="003A176D" w:rsidRDefault="00676050" w:rsidP="00E6252D">
            <w:pPr>
              <w:pStyle w:val="NoSpacing"/>
              <w:jc w:val="right"/>
              <w:rPr>
                <w:rFonts w:asciiTheme="minorHAnsi" w:hAnsiTheme="minorHAnsi" w:cstheme="minorHAnsi"/>
                <w:sz w:val="20"/>
                <w:szCs w:val="20"/>
                <w:lang w:val="en-CA" w:eastAsia="en-CA"/>
              </w:rPr>
            </w:pPr>
          </w:p>
        </w:tc>
      </w:tr>
      <w:tr w:rsidR="00676050" w:rsidRPr="003A176D" w14:paraId="251046BF" w14:textId="77777777" w:rsidTr="00E6252D">
        <w:trPr>
          <w:trHeight w:val="21"/>
        </w:trPr>
        <w:tc>
          <w:tcPr>
            <w:tcW w:w="439" w:type="dxa"/>
            <w:shd w:val="clear" w:color="auto" w:fill="auto"/>
            <w:noWrap/>
            <w:vAlign w:val="bottom"/>
            <w:hideMark/>
          </w:tcPr>
          <w:p w14:paraId="0D922BC3" w14:textId="77777777" w:rsidR="00676050" w:rsidRPr="003A176D" w:rsidRDefault="00676050" w:rsidP="00E6252D">
            <w:pPr>
              <w:pStyle w:val="NoSpacing"/>
              <w:rPr>
                <w:rFonts w:asciiTheme="minorHAnsi" w:hAnsiTheme="minorHAnsi" w:cstheme="minorHAnsi"/>
                <w:sz w:val="20"/>
                <w:szCs w:val="20"/>
                <w:lang w:val="en-CA" w:eastAsia="en-CA"/>
              </w:rPr>
            </w:pPr>
          </w:p>
        </w:tc>
        <w:tc>
          <w:tcPr>
            <w:tcW w:w="6524" w:type="dxa"/>
            <w:shd w:val="clear" w:color="auto" w:fill="auto"/>
            <w:noWrap/>
            <w:vAlign w:val="bottom"/>
            <w:hideMark/>
          </w:tcPr>
          <w:p w14:paraId="3BA59522" w14:textId="10F1E858"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 xml:space="preserve">Present value, loan receivable </w:t>
            </w:r>
          </w:p>
        </w:tc>
        <w:tc>
          <w:tcPr>
            <w:tcW w:w="318" w:type="dxa"/>
            <w:vAlign w:val="bottom"/>
          </w:tcPr>
          <w:p w14:paraId="5A570328"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shd w:val="clear" w:color="auto" w:fill="auto"/>
            <w:noWrap/>
            <w:vAlign w:val="bottom"/>
            <w:hideMark/>
          </w:tcPr>
          <w:p w14:paraId="5720EC26" w14:textId="55934491"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837,838</w:t>
            </w:r>
          </w:p>
        </w:tc>
      </w:tr>
      <w:tr w:rsidR="00676050" w:rsidRPr="003A176D" w14:paraId="42AF9BA5" w14:textId="77777777" w:rsidTr="00E6252D">
        <w:trPr>
          <w:trHeight w:val="66"/>
        </w:trPr>
        <w:tc>
          <w:tcPr>
            <w:tcW w:w="439" w:type="dxa"/>
            <w:shd w:val="clear" w:color="auto" w:fill="auto"/>
            <w:noWrap/>
            <w:vAlign w:val="bottom"/>
            <w:hideMark/>
          </w:tcPr>
          <w:p w14:paraId="7C76D829" w14:textId="77777777" w:rsidR="00676050" w:rsidRPr="003A176D" w:rsidRDefault="00676050" w:rsidP="00E6252D">
            <w:pPr>
              <w:pStyle w:val="NoSpacing"/>
              <w:rPr>
                <w:rFonts w:asciiTheme="minorHAnsi" w:hAnsiTheme="minorHAnsi" w:cstheme="minorHAnsi"/>
                <w:sz w:val="20"/>
                <w:szCs w:val="20"/>
                <w:lang w:val="en-CA" w:eastAsia="en-CA"/>
              </w:rPr>
            </w:pPr>
          </w:p>
        </w:tc>
        <w:tc>
          <w:tcPr>
            <w:tcW w:w="6524" w:type="dxa"/>
            <w:shd w:val="clear" w:color="auto" w:fill="auto"/>
            <w:noWrap/>
            <w:vAlign w:val="bottom"/>
            <w:hideMark/>
          </w:tcPr>
          <w:p w14:paraId="764FA7BC" w14:textId="07CCD284"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50,000 shares in GoLeague Technologies Inc</w:t>
            </w:r>
          </w:p>
        </w:tc>
        <w:tc>
          <w:tcPr>
            <w:tcW w:w="318" w:type="dxa"/>
            <w:vAlign w:val="bottom"/>
          </w:tcPr>
          <w:p w14:paraId="68E2C776"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shd w:val="clear" w:color="auto" w:fill="auto"/>
            <w:noWrap/>
            <w:vAlign w:val="bottom"/>
            <w:hideMark/>
          </w:tcPr>
          <w:p w14:paraId="5F0AF6EC" w14:textId="67E44E48"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15,000</w:t>
            </w:r>
          </w:p>
        </w:tc>
      </w:tr>
      <w:tr w:rsidR="00676050" w:rsidRPr="003A176D" w14:paraId="71068D83" w14:textId="77777777" w:rsidTr="00E6252D">
        <w:trPr>
          <w:trHeight w:val="21"/>
        </w:trPr>
        <w:tc>
          <w:tcPr>
            <w:tcW w:w="439" w:type="dxa"/>
            <w:tcBorders>
              <w:bottom w:val="single" w:sz="4" w:space="0" w:color="auto"/>
            </w:tcBorders>
            <w:shd w:val="clear" w:color="auto" w:fill="auto"/>
            <w:noWrap/>
            <w:vAlign w:val="bottom"/>
            <w:hideMark/>
          </w:tcPr>
          <w:p w14:paraId="65F2CF99" w14:textId="77777777" w:rsidR="00676050" w:rsidRPr="003A176D" w:rsidRDefault="00676050" w:rsidP="00E6252D">
            <w:pPr>
              <w:pStyle w:val="NoSpacing"/>
              <w:rPr>
                <w:rFonts w:asciiTheme="minorHAnsi" w:hAnsiTheme="minorHAnsi" w:cstheme="minorHAnsi"/>
                <w:sz w:val="20"/>
                <w:szCs w:val="20"/>
                <w:lang w:val="en-CA" w:eastAsia="en-CA"/>
              </w:rPr>
            </w:pPr>
          </w:p>
        </w:tc>
        <w:tc>
          <w:tcPr>
            <w:tcW w:w="6524" w:type="dxa"/>
            <w:tcBorders>
              <w:bottom w:val="single" w:sz="4" w:space="0" w:color="auto"/>
            </w:tcBorders>
            <w:shd w:val="clear" w:color="auto" w:fill="auto"/>
            <w:noWrap/>
            <w:vAlign w:val="bottom"/>
            <w:hideMark/>
          </w:tcPr>
          <w:p w14:paraId="2F130570" w14:textId="0AE6BCA1"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239,583 shares in 1166117 BC Ltd</w:t>
            </w:r>
          </w:p>
        </w:tc>
        <w:tc>
          <w:tcPr>
            <w:tcW w:w="318" w:type="dxa"/>
            <w:tcBorders>
              <w:bottom w:val="single" w:sz="4" w:space="0" w:color="auto"/>
            </w:tcBorders>
            <w:vAlign w:val="bottom"/>
          </w:tcPr>
          <w:p w14:paraId="07C45FE6"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tcBorders>
              <w:bottom w:val="single" w:sz="4" w:space="0" w:color="auto"/>
            </w:tcBorders>
            <w:shd w:val="clear" w:color="auto" w:fill="auto"/>
            <w:noWrap/>
            <w:vAlign w:val="bottom"/>
            <w:hideMark/>
          </w:tcPr>
          <w:p w14:paraId="139FB59A" w14:textId="7D44E9D0"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75,923</w:t>
            </w:r>
          </w:p>
        </w:tc>
      </w:tr>
      <w:tr w:rsidR="00676050" w:rsidRPr="003A176D" w14:paraId="33C1F709" w14:textId="77777777" w:rsidTr="00E6252D">
        <w:trPr>
          <w:trHeight w:val="21"/>
        </w:trPr>
        <w:tc>
          <w:tcPr>
            <w:tcW w:w="439" w:type="dxa"/>
            <w:tcBorders>
              <w:top w:val="single" w:sz="4" w:space="0" w:color="auto"/>
            </w:tcBorders>
            <w:shd w:val="clear" w:color="auto" w:fill="auto"/>
            <w:noWrap/>
            <w:vAlign w:val="bottom"/>
            <w:hideMark/>
          </w:tcPr>
          <w:p w14:paraId="236FE01D" w14:textId="77777777" w:rsidR="00676050" w:rsidRPr="003A176D" w:rsidRDefault="00676050" w:rsidP="00E6252D">
            <w:pPr>
              <w:pStyle w:val="NoSpacing"/>
              <w:rPr>
                <w:rFonts w:asciiTheme="minorHAnsi" w:hAnsiTheme="minorHAnsi" w:cstheme="minorHAnsi"/>
                <w:sz w:val="20"/>
                <w:szCs w:val="20"/>
                <w:lang w:val="en-CA" w:eastAsia="en-CA"/>
              </w:rPr>
            </w:pPr>
          </w:p>
        </w:tc>
        <w:tc>
          <w:tcPr>
            <w:tcW w:w="6524" w:type="dxa"/>
            <w:tcBorders>
              <w:top w:val="single" w:sz="4" w:space="0" w:color="auto"/>
            </w:tcBorders>
            <w:shd w:val="clear" w:color="auto" w:fill="auto"/>
            <w:noWrap/>
            <w:vAlign w:val="bottom"/>
            <w:hideMark/>
          </w:tcPr>
          <w:p w14:paraId="15F58663" w14:textId="77777777" w:rsidR="00676050" w:rsidRPr="003A176D" w:rsidRDefault="00676050" w:rsidP="00E6252D">
            <w:pPr>
              <w:pStyle w:val="NoSpacing"/>
              <w:rPr>
                <w:rFonts w:asciiTheme="minorHAnsi" w:hAnsiTheme="minorHAnsi" w:cstheme="minorHAnsi"/>
                <w:sz w:val="20"/>
                <w:szCs w:val="20"/>
                <w:lang w:val="en-CA" w:eastAsia="en-CA"/>
              </w:rPr>
            </w:pPr>
          </w:p>
        </w:tc>
        <w:tc>
          <w:tcPr>
            <w:tcW w:w="318" w:type="dxa"/>
            <w:tcBorders>
              <w:top w:val="single" w:sz="4" w:space="0" w:color="auto"/>
            </w:tcBorders>
            <w:vAlign w:val="bottom"/>
          </w:tcPr>
          <w:p w14:paraId="0731533E"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tcBorders>
              <w:top w:val="single" w:sz="4" w:space="0" w:color="auto"/>
            </w:tcBorders>
            <w:shd w:val="clear" w:color="auto" w:fill="auto"/>
            <w:noWrap/>
            <w:vAlign w:val="bottom"/>
            <w:hideMark/>
          </w:tcPr>
          <w:p w14:paraId="0A532BBF" w14:textId="1E00FDA9"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928,761</w:t>
            </w:r>
          </w:p>
        </w:tc>
      </w:tr>
      <w:tr w:rsidR="00676050" w:rsidRPr="003A176D" w14:paraId="1574BB96" w14:textId="77777777" w:rsidTr="00E6252D">
        <w:trPr>
          <w:trHeight w:val="21"/>
        </w:trPr>
        <w:tc>
          <w:tcPr>
            <w:tcW w:w="6963" w:type="dxa"/>
            <w:gridSpan w:val="2"/>
            <w:tcBorders>
              <w:bottom w:val="single" w:sz="4" w:space="0" w:color="auto"/>
            </w:tcBorders>
            <w:shd w:val="clear" w:color="auto" w:fill="auto"/>
            <w:noWrap/>
            <w:vAlign w:val="bottom"/>
          </w:tcPr>
          <w:p w14:paraId="332ED409" w14:textId="77777777"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Unidentified assets acquired</w:t>
            </w:r>
          </w:p>
        </w:tc>
        <w:tc>
          <w:tcPr>
            <w:tcW w:w="318" w:type="dxa"/>
            <w:tcBorders>
              <w:bottom w:val="single" w:sz="4" w:space="0" w:color="auto"/>
            </w:tcBorders>
            <w:vAlign w:val="bottom"/>
          </w:tcPr>
          <w:p w14:paraId="268926DA" w14:textId="77777777" w:rsidR="00676050" w:rsidRPr="003A176D" w:rsidRDefault="00676050" w:rsidP="00E6252D">
            <w:pPr>
              <w:pStyle w:val="NoSpacing"/>
              <w:rPr>
                <w:rFonts w:asciiTheme="minorHAnsi" w:hAnsiTheme="minorHAnsi" w:cstheme="minorHAnsi"/>
                <w:sz w:val="20"/>
                <w:szCs w:val="20"/>
                <w:lang w:val="en-CA" w:eastAsia="en-CA"/>
              </w:rPr>
            </w:pPr>
          </w:p>
        </w:tc>
        <w:tc>
          <w:tcPr>
            <w:tcW w:w="1356" w:type="dxa"/>
            <w:tcBorders>
              <w:bottom w:val="single" w:sz="4" w:space="0" w:color="auto"/>
            </w:tcBorders>
            <w:shd w:val="clear" w:color="auto" w:fill="auto"/>
            <w:noWrap/>
            <w:vAlign w:val="bottom"/>
            <w:hideMark/>
          </w:tcPr>
          <w:p w14:paraId="76A43AE8" w14:textId="77777777" w:rsidR="00676050" w:rsidRPr="003A176D" w:rsidRDefault="00676050" w:rsidP="00E6252D">
            <w:pPr>
              <w:pStyle w:val="NoSpacing"/>
              <w:jc w:val="right"/>
              <w:rPr>
                <w:rFonts w:asciiTheme="minorHAnsi" w:hAnsiTheme="minorHAnsi" w:cstheme="minorHAnsi"/>
                <w:sz w:val="20"/>
                <w:szCs w:val="20"/>
                <w:lang w:val="en-CA" w:eastAsia="en-CA"/>
              </w:rPr>
            </w:pPr>
          </w:p>
        </w:tc>
      </w:tr>
      <w:tr w:rsidR="00676050" w:rsidRPr="003A176D" w14:paraId="08F54877" w14:textId="77777777" w:rsidTr="00E6252D">
        <w:trPr>
          <w:trHeight w:val="21"/>
        </w:trPr>
        <w:tc>
          <w:tcPr>
            <w:tcW w:w="6963" w:type="dxa"/>
            <w:gridSpan w:val="2"/>
            <w:tcBorders>
              <w:top w:val="single" w:sz="4" w:space="0" w:color="auto"/>
              <w:bottom w:val="double" w:sz="4" w:space="0" w:color="auto"/>
            </w:tcBorders>
            <w:shd w:val="clear" w:color="auto" w:fill="auto"/>
            <w:noWrap/>
            <w:vAlign w:val="bottom"/>
            <w:hideMark/>
          </w:tcPr>
          <w:p w14:paraId="3A4D3326" w14:textId="5D2BC7B2"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Present value difference, loan receivable</w:t>
            </w:r>
          </w:p>
        </w:tc>
        <w:tc>
          <w:tcPr>
            <w:tcW w:w="318" w:type="dxa"/>
            <w:tcBorders>
              <w:top w:val="single" w:sz="4" w:space="0" w:color="auto"/>
              <w:bottom w:val="double" w:sz="4" w:space="0" w:color="auto"/>
            </w:tcBorders>
            <w:vAlign w:val="bottom"/>
          </w:tcPr>
          <w:p w14:paraId="3EB0017C" w14:textId="77777777" w:rsidR="00676050" w:rsidRPr="003A176D" w:rsidRDefault="00676050" w:rsidP="00E6252D">
            <w:pPr>
              <w:pStyle w:val="NoSpacing"/>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w:t>
            </w:r>
          </w:p>
        </w:tc>
        <w:tc>
          <w:tcPr>
            <w:tcW w:w="1356" w:type="dxa"/>
            <w:tcBorders>
              <w:top w:val="single" w:sz="4" w:space="0" w:color="auto"/>
              <w:bottom w:val="double" w:sz="4" w:space="0" w:color="auto"/>
            </w:tcBorders>
            <w:shd w:val="clear" w:color="auto" w:fill="auto"/>
            <w:noWrap/>
            <w:vAlign w:val="bottom"/>
            <w:hideMark/>
          </w:tcPr>
          <w:p w14:paraId="0135D33C" w14:textId="589010AF" w:rsidR="00676050" w:rsidRPr="003A176D" w:rsidRDefault="00676050" w:rsidP="00E6252D">
            <w:pPr>
              <w:pStyle w:val="NoSpacing"/>
              <w:jc w:val="right"/>
              <w:rPr>
                <w:rFonts w:asciiTheme="minorHAnsi" w:hAnsiTheme="minorHAnsi" w:cstheme="minorHAnsi"/>
                <w:sz w:val="20"/>
                <w:szCs w:val="20"/>
                <w:lang w:val="en-CA" w:eastAsia="en-CA"/>
              </w:rPr>
            </w:pPr>
            <w:r w:rsidRPr="003A176D">
              <w:rPr>
                <w:rFonts w:asciiTheme="minorHAnsi" w:hAnsiTheme="minorHAnsi" w:cstheme="minorHAnsi"/>
                <w:sz w:val="20"/>
                <w:szCs w:val="20"/>
                <w:lang w:val="en-CA" w:eastAsia="en-CA"/>
              </w:rPr>
              <w:t>171,239</w:t>
            </w:r>
          </w:p>
        </w:tc>
      </w:tr>
    </w:tbl>
    <w:p w14:paraId="05D6699B" w14:textId="77777777" w:rsidR="00676050" w:rsidRPr="003A176D" w:rsidRDefault="00676050" w:rsidP="00BD7336">
      <w:pPr>
        <w:autoSpaceDE w:val="0"/>
        <w:autoSpaceDN w:val="0"/>
        <w:adjustRightInd w:val="0"/>
        <w:spacing w:after="0" w:line="240" w:lineRule="auto"/>
        <w:ind w:left="426"/>
        <w:jc w:val="both"/>
        <w:rPr>
          <w:rFonts w:cs="Calibri"/>
          <w:sz w:val="20"/>
          <w:szCs w:val="20"/>
        </w:rPr>
      </w:pPr>
    </w:p>
    <w:p w14:paraId="5B0014BC" w14:textId="77777777" w:rsidR="009D1E45" w:rsidRPr="003A176D" w:rsidRDefault="009D1E45">
      <w:pPr>
        <w:autoSpaceDE w:val="0"/>
        <w:autoSpaceDN w:val="0"/>
        <w:adjustRightInd w:val="0"/>
        <w:spacing w:after="0" w:line="240" w:lineRule="auto"/>
        <w:ind w:left="360"/>
        <w:jc w:val="both"/>
        <w:rPr>
          <w:rFonts w:cs="Calibri"/>
          <w:b/>
          <w:sz w:val="20"/>
          <w:szCs w:val="20"/>
        </w:rPr>
      </w:pPr>
    </w:p>
    <w:p w14:paraId="50DAA959" w14:textId="747F8436" w:rsidR="00581D1F" w:rsidRPr="003A176D" w:rsidRDefault="00581D1F">
      <w:pPr>
        <w:autoSpaceDE w:val="0"/>
        <w:autoSpaceDN w:val="0"/>
        <w:adjustRightInd w:val="0"/>
        <w:spacing w:after="0" w:line="240" w:lineRule="auto"/>
        <w:ind w:left="360"/>
        <w:jc w:val="both"/>
        <w:rPr>
          <w:rFonts w:cs="Calibri"/>
          <w:sz w:val="20"/>
          <w:szCs w:val="20"/>
        </w:rPr>
      </w:pPr>
      <w:r w:rsidRPr="003A176D">
        <w:rPr>
          <w:rFonts w:cs="Calibri"/>
          <w:b/>
          <w:sz w:val="20"/>
          <w:szCs w:val="20"/>
        </w:rPr>
        <w:t xml:space="preserve">Key </w:t>
      </w:r>
      <w:r w:rsidR="009C52CC" w:rsidRPr="003A176D">
        <w:rPr>
          <w:rFonts w:cs="Calibri"/>
          <w:b/>
          <w:sz w:val="20"/>
          <w:szCs w:val="20"/>
        </w:rPr>
        <w:t>M</w:t>
      </w:r>
      <w:r w:rsidRPr="003A176D">
        <w:rPr>
          <w:rFonts w:cs="Calibri"/>
          <w:b/>
          <w:sz w:val="20"/>
          <w:szCs w:val="20"/>
        </w:rPr>
        <w:t xml:space="preserve">anagement </w:t>
      </w:r>
      <w:r w:rsidR="009C52CC" w:rsidRPr="003A176D">
        <w:rPr>
          <w:rFonts w:cs="Calibri"/>
          <w:b/>
          <w:sz w:val="20"/>
          <w:szCs w:val="20"/>
        </w:rPr>
        <w:t>C</w:t>
      </w:r>
      <w:r w:rsidRPr="003A176D">
        <w:rPr>
          <w:rFonts w:cs="Calibri"/>
          <w:b/>
          <w:sz w:val="20"/>
          <w:szCs w:val="20"/>
        </w:rPr>
        <w:t>ompensation</w:t>
      </w:r>
    </w:p>
    <w:p w14:paraId="291BCA3C" w14:textId="583C891E" w:rsidR="00207715" w:rsidRPr="003A176D" w:rsidRDefault="00207715" w:rsidP="008F2272">
      <w:pPr>
        <w:autoSpaceDE w:val="0"/>
        <w:autoSpaceDN w:val="0"/>
        <w:adjustRightInd w:val="0"/>
        <w:spacing w:after="0" w:line="240" w:lineRule="auto"/>
        <w:ind w:left="360"/>
        <w:jc w:val="both"/>
        <w:rPr>
          <w:rFonts w:cs="Calibri"/>
        </w:rPr>
      </w:pPr>
    </w:p>
    <w:p w14:paraId="420A81A4" w14:textId="7CB1F07B" w:rsidR="00581D1F" w:rsidRPr="003A176D" w:rsidRDefault="00581D1F">
      <w:pPr>
        <w:autoSpaceDE w:val="0"/>
        <w:autoSpaceDN w:val="0"/>
        <w:adjustRightInd w:val="0"/>
        <w:spacing w:after="0" w:line="240" w:lineRule="auto"/>
        <w:ind w:left="360"/>
        <w:jc w:val="both"/>
        <w:rPr>
          <w:rFonts w:cs="Calibri"/>
          <w:sz w:val="20"/>
          <w:szCs w:val="20"/>
        </w:rPr>
      </w:pPr>
      <w:r w:rsidRPr="003A176D">
        <w:rPr>
          <w:rFonts w:cs="Calibri"/>
          <w:sz w:val="20"/>
          <w:szCs w:val="20"/>
        </w:rPr>
        <w:t>The Company’s key management personnel have authority and responsibility for overseeing, planning, directing and controlling the activities of the Company and consist of the Company’s Board of Directors and the Company’s executive leadership team.  Such compensation was comprised of:</w:t>
      </w:r>
    </w:p>
    <w:p w14:paraId="51638C87" w14:textId="7312FBF8" w:rsidR="00581D1F" w:rsidRPr="003A176D" w:rsidRDefault="00581D1F" w:rsidP="008F2272">
      <w:pPr>
        <w:autoSpaceDE w:val="0"/>
        <w:autoSpaceDN w:val="0"/>
        <w:adjustRightInd w:val="0"/>
        <w:spacing w:after="0" w:line="240" w:lineRule="auto"/>
        <w:ind w:left="360"/>
        <w:jc w:val="both"/>
        <w:rPr>
          <w:rFonts w:cs="Calibri"/>
          <w:sz w:val="20"/>
          <w:szCs w:val="20"/>
        </w:rPr>
      </w:pPr>
    </w:p>
    <w:p w14:paraId="2827ABBA" w14:textId="2A3A6601" w:rsidR="00B95912" w:rsidRPr="003A176D" w:rsidRDefault="00581D1F" w:rsidP="00552E94">
      <w:pPr>
        <w:autoSpaceDE w:val="0"/>
        <w:autoSpaceDN w:val="0"/>
        <w:adjustRightInd w:val="0"/>
        <w:spacing w:after="0" w:line="240" w:lineRule="auto"/>
        <w:ind w:left="630" w:hanging="180"/>
        <w:jc w:val="both"/>
        <w:rPr>
          <w:rFonts w:cs="Calibri"/>
          <w:sz w:val="20"/>
          <w:szCs w:val="20"/>
          <w:lang w:val="en-CA"/>
        </w:rPr>
      </w:pPr>
      <w:bookmarkStart w:id="32" w:name="_Hlk41758936"/>
      <w:r w:rsidRPr="003A176D">
        <w:rPr>
          <w:rFonts w:cs="Calibri"/>
          <w:sz w:val="20"/>
          <w:szCs w:val="20"/>
        </w:rPr>
        <w:t>-   $</w:t>
      </w:r>
      <w:r w:rsidR="003C2C57" w:rsidRPr="003A176D">
        <w:rPr>
          <w:rFonts w:cs="Calibri"/>
          <w:sz w:val="20"/>
          <w:szCs w:val="20"/>
        </w:rPr>
        <w:t>6</w:t>
      </w:r>
      <w:r w:rsidR="00522367" w:rsidRPr="003A176D">
        <w:rPr>
          <w:rFonts w:cs="Calibri"/>
          <w:sz w:val="20"/>
          <w:szCs w:val="20"/>
        </w:rPr>
        <w:t>0</w:t>
      </w:r>
      <w:r w:rsidR="003168F8" w:rsidRPr="003A176D">
        <w:rPr>
          <w:rFonts w:cs="Calibri"/>
          <w:sz w:val="20"/>
          <w:szCs w:val="20"/>
        </w:rPr>
        <w:t>,000</w:t>
      </w:r>
      <w:r w:rsidRPr="003A176D">
        <w:rPr>
          <w:rFonts w:cs="Calibri"/>
          <w:sz w:val="20"/>
          <w:szCs w:val="20"/>
        </w:rPr>
        <w:t xml:space="preserve"> (</w:t>
      </w:r>
      <w:r w:rsidR="003168F8" w:rsidRPr="003A176D">
        <w:rPr>
          <w:rFonts w:cs="Calibri"/>
          <w:sz w:val="20"/>
          <w:szCs w:val="20"/>
        </w:rPr>
        <w:t>201</w:t>
      </w:r>
      <w:r w:rsidR="00AA5B30" w:rsidRPr="003A176D">
        <w:rPr>
          <w:rFonts w:cs="Calibri"/>
          <w:sz w:val="20"/>
          <w:szCs w:val="20"/>
        </w:rPr>
        <w:t>9</w:t>
      </w:r>
      <w:r w:rsidR="003168F8" w:rsidRPr="003A176D">
        <w:rPr>
          <w:rFonts w:cs="Calibri"/>
          <w:sz w:val="20"/>
          <w:szCs w:val="20"/>
        </w:rPr>
        <w:t xml:space="preserve"> – </w:t>
      </w:r>
      <w:r w:rsidR="005D5594" w:rsidRPr="003A176D">
        <w:rPr>
          <w:rFonts w:cs="Calibri"/>
          <w:sz w:val="20"/>
          <w:szCs w:val="20"/>
        </w:rPr>
        <w:t>$</w:t>
      </w:r>
      <w:r w:rsidR="003C2C57" w:rsidRPr="003A176D">
        <w:rPr>
          <w:rFonts w:cs="Calibri"/>
          <w:sz w:val="20"/>
          <w:szCs w:val="20"/>
        </w:rPr>
        <w:t>6</w:t>
      </w:r>
      <w:r w:rsidR="00522367" w:rsidRPr="003A176D">
        <w:rPr>
          <w:rFonts w:cs="Calibri"/>
          <w:sz w:val="20"/>
          <w:szCs w:val="20"/>
        </w:rPr>
        <w:t>0</w:t>
      </w:r>
      <w:r w:rsidR="003168F8" w:rsidRPr="003A176D">
        <w:rPr>
          <w:rFonts w:cs="Calibri"/>
          <w:sz w:val="20"/>
          <w:szCs w:val="20"/>
        </w:rPr>
        <w:t>,000</w:t>
      </w:r>
      <w:r w:rsidRPr="003A176D">
        <w:rPr>
          <w:rFonts w:cs="Calibri"/>
          <w:sz w:val="20"/>
          <w:szCs w:val="20"/>
          <w:lang w:val="en-CA"/>
        </w:rPr>
        <w:t xml:space="preserve">) </w:t>
      </w:r>
      <w:r w:rsidR="00A55136" w:rsidRPr="003A176D">
        <w:rPr>
          <w:rFonts w:cs="Calibri"/>
          <w:sz w:val="20"/>
          <w:szCs w:val="20"/>
          <w:lang w:val="en-CA"/>
        </w:rPr>
        <w:t>paid to the CEO</w:t>
      </w:r>
      <w:r w:rsidR="00AB73AB" w:rsidRPr="003A176D">
        <w:rPr>
          <w:rFonts w:cs="Calibri"/>
          <w:sz w:val="20"/>
          <w:szCs w:val="20"/>
          <w:lang w:val="en-CA"/>
        </w:rPr>
        <w:t>, $</w:t>
      </w:r>
      <w:r w:rsidR="003C2C57" w:rsidRPr="003A176D">
        <w:rPr>
          <w:rFonts w:cs="Calibri"/>
          <w:sz w:val="20"/>
          <w:szCs w:val="20"/>
          <w:lang w:val="en-CA"/>
        </w:rPr>
        <w:t>58</w:t>
      </w:r>
      <w:r w:rsidR="007A0412" w:rsidRPr="003A176D">
        <w:rPr>
          <w:rFonts w:cs="Calibri"/>
          <w:sz w:val="20"/>
          <w:szCs w:val="20"/>
          <w:lang w:val="en-CA"/>
        </w:rPr>
        <w:t>,000</w:t>
      </w:r>
      <w:r w:rsidR="00AB73AB" w:rsidRPr="003A176D">
        <w:rPr>
          <w:rFonts w:cs="Calibri"/>
          <w:sz w:val="20"/>
          <w:szCs w:val="20"/>
          <w:lang w:val="en-CA"/>
        </w:rPr>
        <w:t xml:space="preserve"> (201</w:t>
      </w:r>
      <w:r w:rsidR="00AA5B30" w:rsidRPr="003A176D">
        <w:rPr>
          <w:rFonts w:cs="Calibri"/>
          <w:sz w:val="20"/>
          <w:szCs w:val="20"/>
          <w:lang w:val="en-CA"/>
        </w:rPr>
        <w:t>9</w:t>
      </w:r>
      <w:r w:rsidR="00AB73AB" w:rsidRPr="003A176D">
        <w:rPr>
          <w:rFonts w:cs="Calibri"/>
          <w:sz w:val="20"/>
          <w:szCs w:val="20"/>
          <w:lang w:val="en-CA"/>
        </w:rPr>
        <w:t xml:space="preserve"> - $</w:t>
      </w:r>
      <w:r w:rsidR="003C2C57" w:rsidRPr="003A176D">
        <w:rPr>
          <w:rFonts w:cs="Calibri"/>
          <w:sz w:val="20"/>
          <w:szCs w:val="20"/>
          <w:lang w:val="en-CA"/>
        </w:rPr>
        <w:t>58</w:t>
      </w:r>
      <w:r w:rsidR="007A0412" w:rsidRPr="003A176D">
        <w:rPr>
          <w:rFonts w:cs="Calibri"/>
          <w:sz w:val="20"/>
          <w:szCs w:val="20"/>
          <w:lang w:val="en-CA"/>
        </w:rPr>
        <w:t>,000</w:t>
      </w:r>
      <w:r w:rsidR="00AB73AB" w:rsidRPr="003A176D">
        <w:rPr>
          <w:rFonts w:cs="Calibri"/>
          <w:sz w:val="20"/>
          <w:szCs w:val="20"/>
          <w:lang w:val="en-CA"/>
        </w:rPr>
        <w:t xml:space="preserve">) to </w:t>
      </w:r>
      <w:r w:rsidR="003B5136" w:rsidRPr="003A176D">
        <w:rPr>
          <w:rFonts w:cs="Calibri"/>
          <w:sz w:val="20"/>
          <w:szCs w:val="20"/>
          <w:lang w:val="en-CA"/>
        </w:rPr>
        <w:t>the C</w:t>
      </w:r>
      <w:r w:rsidR="00522367" w:rsidRPr="003A176D">
        <w:rPr>
          <w:rFonts w:cs="Calibri"/>
          <w:sz w:val="20"/>
          <w:szCs w:val="20"/>
          <w:lang w:val="en-CA"/>
        </w:rPr>
        <w:t>F</w:t>
      </w:r>
      <w:r w:rsidR="003B5136" w:rsidRPr="003A176D">
        <w:rPr>
          <w:rFonts w:cs="Calibri"/>
          <w:sz w:val="20"/>
          <w:szCs w:val="20"/>
          <w:lang w:val="en-CA"/>
        </w:rPr>
        <w:t>O</w:t>
      </w:r>
      <w:r w:rsidR="00AB73AB" w:rsidRPr="003A176D">
        <w:rPr>
          <w:rFonts w:cs="Calibri"/>
          <w:sz w:val="20"/>
          <w:szCs w:val="20"/>
          <w:lang w:val="en-CA"/>
        </w:rPr>
        <w:t>,</w:t>
      </w:r>
      <w:r w:rsidR="00A55136" w:rsidRPr="003A176D">
        <w:rPr>
          <w:rFonts w:cs="Calibri"/>
          <w:sz w:val="20"/>
          <w:szCs w:val="20"/>
          <w:lang w:val="en-CA"/>
        </w:rPr>
        <w:t xml:space="preserve"> and $</w:t>
      </w:r>
      <w:r w:rsidR="003C2C57" w:rsidRPr="003A176D">
        <w:rPr>
          <w:rFonts w:cs="Calibri"/>
          <w:sz w:val="20"/>
          <w:szCs w:val="20"/>
          <w:lang w:val="en-CA"/>
        </w:rPr>
        <w:t>12</w:t>
      </w:r>
      <w:r w:rsidR="0086530D" w:rsidRPr="003A176D">
        <w:rPr>
          <w:rFonts w:cs="Calibri"/>
          <w:sz w:val="20"/>
          <w:szCs w:val="20"/>
          <w:lang w:val="en-CA"/>
        </w:rPr>
        <w:t>,000</w:t>
      </w:r>
      <w:r w:rsidR="00A55136" w:rsidRPr="003A176D">
        <w:rPr>
          <w:rFonts w:cs="Calibri"/>
          <w:sz w:val="20"/>
          <w:szCs w:val="20"/>
          <w:lang w:val="en-CA"/>
        </w:rPr>
        <w:t xml:space="preserve"> (201</w:t>
      </w:r>
      <w:r w:rsidR="00AA5B30" w:rsidRPr="003A176D">
        <w:rPr>
          <w:rFonts w:cs="Calibri"/>
          <w:sz w:val="20"/>
          <w:szCs w:val="20"/>
          <w:lang w:val="en-CA"/>
        </w:rPr>
        <w:t>9</w:t>
      </w:r>
      <w:r w:rsidR="00A55136" w:rsidRPr="003A176D">
        <w:rPr>
          <w:rFonts w:cs="Calibri"/>
          <w:sz w:val="20"/>
          <w:szCs w:val="20"/>
          <w:lang w:val="en-CA"/>
        </w:rPr>
        <w:t xml:space="preserve"> - </w:t>
      </w:r>
      <w:r w:rsidR="0086530D" w:rsidRPr="003A176D">
        <w:rPr>
          <w:rFonts w:cs="Calibri"/>
          <w:sz w:val="20"/>
          <w:szCs w:val="20"/>
          <w:lang w:val="en-CA"/>
        </w:rPr>
        <w:t>$</w:t>
      </w:r>
      <w:r w:rsidR="003C2C57" w:rsidRPr="003A176D">
        <w:rPr>
          <w:rFonts w:cs="Calibri"/>
          <w:sz w:val="20"/>
          <w:szCs w:val="20"/>
          <w:lang w:val="en-CA"/>
        </w:rPr>
        <w:t>6</w:t>
      </w:r>
      <w:r w:rsidR="00522367" w:rsidRPr="003A176D">
        <w:rPr>
          <w:rFonts w:cs="Calibri"/>
          <w:sz w:val="20"/>
          <w:szCs w:val="20"/>
          <w:lang w:val="en-CA"/>
        </w:rPr>
        <w:t>0,000</w:t>
      </w:r>
      <w:r w:rsidR="00A55136" w:rsidRPr="003A176D">
        <w:rPr>
          <w:rFonts w:cs="Calibri"/>
          <w:sz w:val="20"/>
          <w:szCs w:val="20"/>
          <w:lang w:val="en-CA"/>
        </w:rPr>
        <w:t>) to the C</w:t>
      </w:r>
      <w:r w:rsidR="00522367" w:rsidRPr="003A176D">
        <w:rPr>
          <w:rFonts w:cs="Calibri"/>
          <w:sz w:val="20"/>
          <w:szCs w:val="20"/>
          <w:lang w:val="en-CA"/>
        </w:rPr>
        <w:t>O</w:t>
      </w:r>
      <w:r w:rsidR="00A55136" w:rsidRPr="003A176D">
        <w:rPr>
          <w:rFonts w:cs="Calibri"/>
          <w:sz w:val="20"/>
          <w:szCs w:val="20"/>
          <w:lang w:val="en-CA"/>
        </w:rPr>
        <w:t>O recorded in</w:t>
      </w:r>
      <w:r w:rsidR="00B4684D" w:rsidRPr="003A176D">
        <w:rPr>
          <w:rFonts w:cs="Calibri"/>
          <w:sz w:val="20"/>
          <w:szCs w:val="20"/>
          <w:lang w:val="en-CA"/>
        </w:rPr>
        <w:t xml:space="preserve"> </w:t>
      </w:r>
      <w:r w:rsidR="005D0DA2" w:rsidRPr="003A176D">
        <w:rPr>
          <w:rFonts w:cs="Calibri"/>
          <w:sz w:val="20"/>
          <w:szCs w:val="20"/>
          <w:lang w:val="en-CA"/>
        </w:rPr>
        <w:t>salaries and benefits</w:t>
      </w:r>
      <w:r w:rsidR="00CD6711" w:rsidRPr="003A176D">
        <w:rPr>
          <w:rFonts w:cs="Calibri"/>
          <w:sz w:val="20"/>
          <w:szCs w:val="20"/>
          <w:lang w:val="en-CA"/>
        </w:rPr>
        <w:t>; and,</w:t>
      </w:r>
    </w:p>
    <w:p w14:paraId="76053A2C" w14:textId="03498F05" w:rsidR="00F64DD5" w:rsidRPr="003A176D" w:rsidRDefault="00DC74D3" w:rsidP="00552E94">
      <w:pPr>
        <w:autoSpaceDE w:val="0"/>
        <w:autoSpaceDN w:val="0"/>
        <w:adjustRightInd w:val="0"/>
        <w:spacing w:after="0" w:line="240" w:lineRule="auto"/>
        <w:ind w:left="612" w:right="144" w:hanging="180"/>
        <w:jc w:val="both"/>
        <w:rPr>
          <w:rFonts w:asciiTheme="minorHAnsi" w:hAnsiTheme="minorHAnsi" w:cstheme="minorHAnsi"/>
          <w:b/>
          <w:sz w:val="20"/>
          <w:szCs w:val="20"/>
          <w:lang w:val="en-CA"/>
        </w:rPr>
      </w:pPr>
      <w:r w:rsidRPr="003A176D">
        <w:rPr>
          <w:rFonts w:cs="Calibri"/>
          <w:sz w:val="20"/>
          <w:szCs w:val="20"/>
          <w:lang w:val="en-CA"/>
        </w:rPr>
        <w:t xml:space="preserve">-   </w:t>
      </w:r>
      <w:r w:rsidR="00BD7336" w:rsidRPr="003A176D">
        <w:rPr>
          <w:rFonts w:cs="Calibri"/>
          <w:sz w:val="20"/>
          <w:szCs w:val="20"/>
          <w:lang w:val="en-CA"/>
        </w:rPr>
        <w:t>S</w:t>
      </w:r>
      <w:r w:rsidR="00F14925" w:rsidRPr="003A176D">
        <w:rPr>
          <w:rFonts w:cs="Calibri"/>
          <w:sz w:val="20"/>
          <w:szCs w:val="20"/>
          <w:lang w:val="en-CA"/>
        </w:rPr>
        <w:t xml:space="preserve">hare-based payments with a fair value of </w:t>
      </w:r>
      <w:r w:rsidRPr="003A176D">
        <w:rPr>
          <w:rFonts w:cs="Calibri"/>
          <w:sz w:val="20"/>
          <w:szCs w:val="20"/>
          <w:lang w:val="en-CA"/>
        </w:rPr>
        <w:t>$</w:t>
      </w:r>
      <w:r w:rsidR="003C2C57" w:rsidRPr="003A176D">
        <w:rPr>
          <w:rFonts w:cs="Calibri"/>
          <w:sz w:val="20"/>
          <w:szCs w:val="20"/>
          <w:lang w:val="en-CA"/>
        </w:rPr>
        <w:t>174,738</w:t>
      </w:r>
      <w:r w:rsidR="00F14925" w:rsidRPr="003A176D">
        <w:rPr>
          <w:rFonts w:cs="Calibri"/>
          <w:sz w:val="20"/>
          <w:szCs w:val="20"/>
          <w:lang w:val="en-CA"/>
        </w:rPr>
        <w:t xml:space="preserve"> (201</w:t>
      </w:r>
      <w:r w:rsidR="00AA5B30" w:rsidRPr="003A176D">
        <w:rPr>
          <w:rFonts w:cs="Calibri"/>
          <w:sz w:val="20"/>
          <w:szCs w:val="20"/>
          <w:lang w:val="en-CA"/>
        </w:rPr>
        <w:t>9</w:t>
      </w:r>
      <w:r w:rsidR="00F14925" w:rsidRPr="003A176D">
        <w:rPr>
          <w:rFonts w:cs="Calibri"/>
          <w:sz w:val="20"/>
          <w:szCs w:val="20"/>
          <w:lang w:val="en-CA"/>
        </w:rPr>
        <w:t xml:space="preserve"> – $</w:t>
      </w:r>
      <w:r w:rsidR="003C2C57" w:rsidRPr="003A176D">
        <w:rPr>
          <w:rFonts w:cs="Calibri"/>
          <w:sz w:val="20"/>
          <w:szCs w:val="20"/>
          <w:lang w:val="en-CA"/>
        </w:rPr>
        <w:t>251,482</w:t>
      </w:r>
      <w:r w:rsidR="00F14925" w:rsidRPr="003A176D">
        <w:rPr>
          <w:rFonts w:cs="Calibri"/>
          <w:sz w:val="20"/>
          <w:szCs w:val="20"/>
          <w:lang w:val="en-CA"/>
        </w:rPr>
        <w:t xml:space="preserve">) </w:t>
      </w:r>
      <w:r w:rsidR="004961DF" w:rsidRPr="003A176D">
        <w:rPr>
          <w:rFonts w:cs="Calibri"/>
          <w:sz w:val="20"/>
          <w:szCs w:val="20"/>
          <w:lang w:val="en-CA"/>
        </w:rPr>
        <w:t>relate</w:t>
      </w:r>
      <w:r w:rsidR="004A6361">
        <w:rPr>
          <w:rFonts w:cs="Calibri"/>
          <w:sz w:val="20"/>
          <w:szCs w:val="20"/>
          <w:lang w:val="en-CA"/>
        </w:rPr>
        <w:t>d</w:t>
      </w:r>
      <w:r w:rsidR="004961DF" w:rsidRPr="003A176D">
        <w:rPr>
          <w:rFonts w:cs="Calibri"/>
          <w:sz w:val="20"/>
          <w:szCs w:val="20"/>
          <w:lang w:val="en-CA"/>
        </w:rPr>
        <w:t xml:space="preserve"> to options granted</w:t>
      </w:r>
      <w:r w:rsidR="00F14925" w:rsidRPr="003A176D">
        <w:rPr>
          <w:rFonts w:cs="Calibri"/>
          <w:sz w:val="20"/>
          <w:szCs w:val="20"/>
          <w:lang w:val="en-CA"/>
        </w:rPr>
        <w:t xml:space="preserve"> to Officers and</w:t>
      </w:r>
      <w:r w:rsidR="00CF53D5" w:rsidRPr="003A176D">
        <w:rPr>
          <w:rFonts w:cs="Calibri"/>
          <w:sz w:val="20"/>
          <w:szCs w:val="20"/>
          <w:lang w:val="en-CA"/>
        </w:rPr>
        <w:t xml:space="preserve"> </w:t>
      </w:r>
      <w:r w:rsidR="00F14925" w:rsidRPr="003A176D">
        <w:rPr>
          <w:rFonts w:cs="Calibri"/>
          <w:sz w:val="20"/>
          <w:szCs w:val="20"/>
          <w:lang w:val="en-CA"/>
        </w:rPr>
        <w:t>Directors of the Company</w:t>
      </w:r>
      <w:r w:rsidR="00CD6711" w:rsidRPr="003A176D">
        <w:rPr>
          <w:rFonts w:cs="Calibri"/>
          <w:sz w:val="20"/>
          <w:szCs w:val="20"/>
          <w:lang w:val="en-CA"/>
        </w:rPr>
        <w:t>.</w:t>
      </w:r>
    </w:p>
    <w:bookmarkEnd w:id="31"/>
    <w:bookmarkEnd w:id="32"/>
    <w:p w14:paraId="2534C595" w14:textId="77777777" w:rsidR="00BD7336" w:rsidRPr="003A176D" w:rsidRDefault="00BD7336">
      <w:pPr>
        <w:tabs>
          <w:tab w:val="left" w:pos="360"/>
        </w:tabs>
        <w:autoSpaceDE w:val="0"/>
        <w:autoSpaceDN w:val="0"/>
        <w:adjustRightInd w:val="0"/>
        <w:spacing w:after="0" w:line="240" w:lineRule="auto"/>
        <w:rPr>
          <w:rFonts w:cs="Calibri"/>
          <w:b/>
          <w:bCs/>
          <w:sz w:val="20"/>
          <w:szCs w:val="20"/>
        </w:rPr>
      </w:pPr>
    </w:p>
    <w:p w14:paraId="474A8F77" w14:textId="246B8A29" w:rsidR="007B2F98" w:rsidRPr="003A176D" w:rsidRDefault="007B2F98">
      <w:pPr>
        <w:tabs>
          <w:tab w:val="left" w:pos="360"/>
        </w:tabs>
        <w:autoSpaceDE w:val="0"/>
        <w:autoSpaceDN w:val="0"/>
        <w:adjustRightInd w:val="0"/>
        <w:spacing w:after="0" w:line="240" w:lineRule="auto"/>
        <w:rPr>
          <w:rFonts w:cs="Calibri"/>
          <w:b/>
          <w:bCs/>
          <w:sz w:val="20"/>
          <w:szCs w:val="20"/>
        </w:rPr>
      </w:pPr>
    </w:p>
    <w:p w14:paraId="4CA01F29" w14:textId="35D840AF" w:rsidR="00D50422" w:rsidRPr="003A176D" w:rsidRDefault="00D50422">
      <w:pPr>
        <w:tabs>
          <w:tab w:val="left" w:pos="360"/>
        </w:tabs>
        <w:autoSpaceDE w:val="0"/>
        <w:autoSpaceDN w:val="0"/>
        <w:adjustRightInd w:val="0"/>
        <w:spacing w:after="0" w:line="240" w:lineRule="auto"/>
        <w:rPr>
          <w:rFonts w:cs="Calibri"/>
          <w:b/>
          <w:bCs/>
          <w:sz w:val="20"/>
          <w:szCs w:val="20"/>
        </w:rPr>
      </w:pPr>
    </w:p>
    <w:p w14:paraId="44365CC8" w14:textId="74922B03" w:rsidR="00D50422" w:rsidRPr="003A176D" w:rsidRDefault="00D50422">
      <w:pPr>
        <w:tabs>
          <w:tab w:val="left" w:pos="360"/>
        </w:tabs>
        <w:autoSpaceDE w:val="0"/>
        <w:autoSpaceDN w:val="0"/>
        <w:adjustRightInd w:val="0"/>
        <w:spacing w:after="0" w:line="240" w:lineRule="auto"/>
        <w:rPr>
          <w:rFonts w:cs="Calibri"/>
          <w:b/>
          <w:bCs/>
          <w:sz w:val="20"/>
          <w:szCs w:val="20"/>
        </w:rPr>
      </w:pPr>
    </w:p>
    <w:p w14:paraId="2689016F" w14:textId="7108D62A" w:rsidR="00D50422" w:rsidRPr="003A176D" w:rsidRDefault="00D50422">
      <w:pPr>
        <w:tabs>
          <w:tab w:val="left" w:pos="360"/>
        </w:tabs>
        <w:autoSpaceDE w:val="0"/>
        <w:autoSpaceDN w:val="0"/>
        <w:adjustRightInd w:val="0"/>
        <w:spacing w:after="0" w:line="240" w:lineRule="auto"/>
        <w:rPr>
          <w:rFonts w:cs="Calibri"/>
          <w:b/>
          <w:bCs/>
          <w:sz w:val="20"/>
          <w:szCs w:val="20"/>
        </w:rPr>
      </w:pPr>
    </w:p>
    <w:p w14:paraId="7B0CF719" w14:textId="3B708560" w:rsidR="00D50422" w:rsidRPr="003A176D" w:rsidRDefault="00D50422">
      <w:pPr>
        <w:tabs>
          <w:tab w:val="left" w:pos="360"/>
        </w:tabs>
        <w:autoSpaceDE w:val="0"/>
        <w:autoSpaceDN w:val="0"/>
        <w:adjustRightInd w:val="0"/>
        <w:spacing w:after="0" w:line="240" w:lineRule="auto"/>
        <w:rPr>
          <w:rFonts w:cs="Calibri"/>
          <w:b/>
          <w:bCs/>
          <w:sz w:val="20"/>
          <w:szCs w:val="20"/>
        </w:rPr>
      </w:pPr>
    </w:p>
    <w:p w14:paraId="66B98120" w14:textId="759B8CE0" w:rsidR="00D50422" w:rsidRPr="003A176D" w:rsidRDefault="00D50422">
      <w:pPr>
        <w:tabs>
          <w:tab w:val="left" w:pos="360"/>
        </w:tabs>
        <w:autoSpaceDE w:val="0"/>
        <w:autoSpaceDN w:val="0"/>
        <w:adjustRightInd w:val="0"/>
        <w:spacing w:after="0" w:line="240" w:lineRule="auto"/>
        <w:rPr>
          <w:rFonts w:cs="Calibri"/>
          <w:b/>
          <w:bCs/>
          <w:sz w:val="20"/>
          <w:szCs w:val="20"/>
        </w:rPr>
      </w:pPr>
    </w:p>
    <w:p w14:paraId="6B786EEC" w14:textId="06445630" w:rsidR="00D50422" w:rsidRPr="003A176D" w:rsidRDefault="00D50422">
      <w:pPr>
        <w:tabs>
          <w:tab w:val="left" w:pos="360"/>
        </w:tabs>
        <w:autoSpaceDE w:val="0"/>
        <w:autoSpaceDN w:val="0"/>
        <w:adjustRightInd w:val="0"/>
        <w:spacing w:after="0" w:line="240" w:lineRule="auto"/>
        <w:rPr>
          <w:rFonts w:cs="Calibri"/>
          <w:b/>
          <w:bCs/>
          <w:sz w:val="20"/>
          <w:szCs w:val="20"/>
        </w:rPr>
      </w:pPr>
    </w:p>
    <w:p w14:paraId="06AB2C0F" w14:textId="6FC5ECE6" w:rsidR="00D50422" w:rsidRPr="003A176D" w:rsidRDefault="00D50422">
      <w:pPr>
        <w:tabs>
          <w:tab w:val="left" w:pos="360"/>
        </w:tabs>
        <w:autoSpaceDE w:val="0"/>
        <w:autoSpaceDN w:val="0"/>
        <w:adjustRightInd w:val="0"/>
        <w:spacing w:after="0" w:line="240" w:lineRule="auto"/>
        <w:rPr>
          <w:rFonts w:cs="Calibri"/>
          <w:b/>
          <w:bCs/>
          <w:sz w:val="20"/>
          <w:szCs w:val="20"/>
        </w:rPr>
      </w:pPr>
    </w:p>
    <w:p w14:paraId="171E2F44" w14:textId="77777777" w:rsidR="00D50422" w:rsidRPr="003A176D" w:rsidRDefault="00D50422">
      <w:pPr>
        <w:tabs>
          <w:tab w:val="left" w:pos="360"/>
        </w:tabs>
        <w:autoSpaceDE w:val="0"/>
        <w:autoSpaceDN w:val="0"/>
        <w:adjustRightInd w:val="0"/>
        <w:spacing w:after="0" w:line="240" w:lineRule="auto"/>
        <w:rPr>
          <w:rFonts w:cs="Calibri"/>
          <w:b/>
          <w:bCs/>
          <w:sz w:val="20"/>
          <w:szCs w:val="20"/>
        </w:rPr>
      </w:pPr>
    </w:p>
    <w:p w14:paraId="6A228079" w14:textId="73477CAA" w:rsidR="0028363D" w:rsidRPr="003A176D" w:rsidRDefault="00D25087">
      <w:pPr>
        <w:tabs>
          <w:tab w:val="left" w:pos="360"/>
        </w:tabs>
        <w:autoSpaceDE w:val="0"/>
        <w:autoSpaceDN w:val="0"/>
        <w:adjustRightInd w:val="0"/>
        <w:spacing w:after="0" w:line="240" w:lineRule="auto"/>
        <w:rPr>
          <w:rFonts w:cs="Calibri"/>
          <w:b/>
          <w:bCs/>
          <w:sz w:val="20"/>
          <w:szCs w:val="20"/>
        </w:rPr>
      </w:pPr>
      <w:r w:rsidRPr="003A176D">
        <w:rPr>
          <w:rFonts w:cs="Calibri"/>
          <w:b/>
          <w:bCs/>
          <w:sz w:val="20"/>
          <w:szCs w:val="20"/>
        </w:rPr>
        <w:lastRenderedPageBreak/>
        <w:t>1</w:t>
      </w:r>
      <w:r w:rsidR="00CE6FDF" w:rsidRPr="003A176D">
        <w:rPr>
          <w:rFonts w:cs="Calibri"/>
          <w:b/>
          <w:bCs/>
          <w:sz w:val="20"/>
          <w:szCs w:val="20"/>
        </w:rPr>
        <w:t>1</w:t>
      </w:r>
      <w:r w:rsidR="004A2DB3" w:rsidRPr="003A176D">
        <w:rPr>
          <w:rFonts w:cs="Calibri"/>
          <w:b/>
          <w:bCs/>
          <w:sz w:val="20"/>
          <w:szCs w:val="20"/>
        </w:rPr>
        <w:t>.</w:t>
      </w:r>
      <w:r w:rsidR="00531508" w:rsidRPr="003A176D">
        <w:rPr>
          <w:rFonts w:cs="Calibri"/>
          <w:b/>
          <w:bCs/>
          <w:sz w:val="20"/>
          <w:szCs w:val="20"/>
        </w:rPr>
        <w:t xml:space="preserve">  </w:t>
      </w:r>
      <w:r w:rsidR="0028363D" w:rsidRPr="003A176D">
        <w:rPr>
          <w:rFonts w:cs="Calibri"/>
          <w:b/>
          <w:bCs/>
          <w:sz w:val="20"/>
          <w:szCs w:val="20"/>
        </w:rPr>
        <w:t>Commitments and Contingencies</w:t>
      </w:r>
    </w:p>
    <w:p w14:paraId="604184DE" w14:textId="77777777" w:rsidR="0028363D" w:rsidRPr="003A176D" w:rsidRDefault="0028363D">
      <w:pPr>
        <w:tabs>
          <w:tab w:val="left" w:pos="360"/>
        </w:tabs>
        <w:autoSpaceDE w:val="0"/>
        <w:autoSpaceDN w:val="0"/>
        <w:adjustRightInd w:val="0"/>
        <w:spacing w:after="0" w:line="240" w:lineRule="auto"/>
        <w:rPr>
          <w:rFonts w:cs="Calibri"/>
          <w:b/>
          <w:bCs/>
          <w:sz w:val="20"/>
          <w:szCs w:val="20"/>
        </w:rPr>
      </w:pPr>
    </w:p>
    <w:p w14:paraId="6EE57F37" w14:textId="7CB8D48E" w:rsidR="00C70AF5" w:rsidRPr="003A176D" w:rsidRDefault="0045271C" w:rsidP="00C70AF5">
      <w:pPr>
        <w:tabs>
          <w:tab w:val="left" w:pos="426"/>
        </w:tabs>
        <w:autoSpaceDE w:val="0"/>
        <w:autoSpaceDN w:val="0"/>
        <w:adjustRightInd w:val="0"/>
        <w:spacing w:after="0" w:line="240" w:lineRule="auto"/>
        <w:ind w:left="426"/>
        <w:jc w:val="both"/>
        <w:rPr>
          <w:rFonts w:cs="Calibri"/>
          <w:sz w:val="20"/>
          <w:szCs w:val="20"/>
        </w:rPr>
      </w:pPr>
      <w:r w:rsidRPr="003A176D">
        <w:rPr>
          <w:rFonts w:cs="Calibri"/>
          <w:sz w:val="20"/>
          <w:szCs w:val="20"/>
        </w:rPr>
        <w:t>a</w:t>
      </w:r>
      <w:r w:rsidR="00EE583A" w:rsidRPr="003A176D">
        <w:rPr>
          <w:rFonts w:cs="Calibri"/>
          <w:sz w:val="20"/>
          <w:szCs w:val="20"/>
        </w:rPr>
        <w:t xml:space="preserve">)   On September 1, 2018, the Company entered into a sponsorship agreement whereby the sponsorship partner will </w:t>
      </w:r>
      <w:r w:rsidR="00F27EB6" w:rsidRPr="003A176D">
        <w:rPr>
          <w:rFonts w:cs="Calibri"/>
          <w:sz w:val="20"/>
          <w:szCs w:val="20"/>
        </w:rPr>
        <w:t xml:space="preserve">provide various television broadcast and marketing integrations during the World Poker Tour Season XV. </w:t>
      </w:r>
      <w:r w:rsidR="00C70AF5" w:rsidRPr="003A176D">
        <w:rPr>
          <w:rFonts w:cs="Calibri"/>
          <w:sz w:val="20"/>
          <w:szCs w:val="20"/>
        </w:rPr>
        <w:t>For consideration of the sponsorship rights, the Company has agreed to pay USD$150,000 as follows:</w:t>
      </w:r>
    </w:p>
    <w:p w14:paraId="754E63CD" w14:textId="6B46C5A8" w:rsidR="00C70AF5" w:rsidRPr="003A176D" w:rsidRDefault="00C70AF5" w:rsidP="007D0666">
      <w:pPr>
        <w:pStyle w:val="ListParagraph"/>
        <w:numPr>
          <w:ilvl w:val="2"/>
          <w:numId w:val="5"/>
        </w:numPr>
        <w:tabs>
          <w:tab w:val="left" w:pos="426"/>
        </w:tabs>
        <w:autoSpaceDE w:val="0"/>
        <w:autoSpaceDN w:val="0"/>
        <w:adjustRightInd w:val="0"/>
        <w:spacing w:after="0" w:line="240" w:lineRule="auto"/>
        <w:jc w:val="both"/>
        <w:rPr>
          <w:rFonts w:cs="Calibri"/>
          <w:sz w:val="20"/>
          <w:szCs w:val="20"/>
        </w:rPr>
      </w:pPr>
      <w:r w:rsidRPr="003A176D">
        <w:rPr>
          <w:rFonts w:cs="Calibri"/>
          <w:sz w:val="20"/>
          <w:szCs w:val="20"/>
        </w:rPr>
        <w:t>USD$75,000 on signing the agreement</w:t>
      </w:r>
      <w:r w:rsidR="001E2581" w:rsidRPr="003A176D">
        <w:rPr>
          <w:rFonts w:cs="Calibri"/>
          <w:sz w:val="20"/>
          <w:szCs w:val="20"/>
        </w:rPr>
        <w:t xml:space="preserve"> (paid)</w:t>
      </w:r>
      <w:r w:rsidRPr="003A176D">
        <w:rPr>
          <w:rFonts w:cs="Calibri"/>
          <w:sz w:val="20"/>
          <w:szCs w:val="20"/>
        </w:rPr>
        <w:t>;</w:t>
      </w:r>
    </w:p>
    <w:p w14:paraId="5B57B55E" w14:textId="1519AA15" w:rsidR="00C70AF5" w:rsidRPr="003A176D" w:rsidRDefault="00C70AF5" w:rsidP="007D0666">
      <w:pPr>
        <w:pStyle w:val="ListParagraph"/>
        <w:numPr>
          <w:ilvl w:val="2"/>
          <w:numId w:val="5"/>
        </w:numPr>
        <w:tabs>
          <w:tab w:val="left" w:pos="426"/>
        </w:tabs>
        <w:autoSpaceDE w:val="0"/>
        <w:autoSpaceDN w:val="0"/>
        <w:adjustRightInd w:val="0"/>
        <w:spacing w:after="0" w:line="240" w:lineRule="auto"/>
        <w:jc w:val="both"/>
        <w:rPr>
          <w:rFonts w:cs="Calibri"/>
          <w:sz w:val="20"/>
          <w:szCs w:val="20"/>
        </w:rPr>
      </w:pPr>
      <w:r w:rsidRPr="003A176D">
        <w:rPr>
          <w:rFonts w:cs="Calibri"/>
          <w:sz w:val="20"/>
          <w:szCs w:val="20"/>
        </w:rPr>
        <w:t>USD$25,000 on or before December 15, 2018</w:t>
      </w:r>
      <w:r w:rsidR="001E2581" w:rsidRPr="003A176D">
        <w:rPr>
          <w:rFonts w:cs="Calibri"/>
          <w:sz w:val="20"/>
          <w:szCs w:val="20"/>
        </w:rPr>
        <w:t xml:space="preserve"> (paid)</w:t>
      </w:r>
      <w:r w:rsidRPr="003A176D">
        <w:rPr>
          <w:rFonts w:cs="Calibri"/>
          <w:sz w:val="20"/>
          <w:szCs w:val="20"/>
        </w:rPr>
        <w:t xml:space="preserve">; </w:t>
      </w:r>
    </w:p>
    <w:p w14:paraId="4ED5C7C4" w14:textId="1BDF49B8" w:rsidR="00C70AF5" w:rsidRPr="003A176D" w:rsidRDefault="00C70AF5" w:rsidP="007D0666">
      <w:pPr>
        <w:pStyle w:val="ListParagraph"/>
        <w:numPr>
          <w:ilvl w:val="2"/>
          <w:numId w:val="5"/>
        </w:numPr>
        <w:tabs>
          <w:tab w:val="left" w:pos="426"/>
        </w:tabs>
        <w:autoSpaceDE w:val="0"/>
        <w:autoSpaceDN w:val="0"/>
        <w:adjustRightInd w:val="0"/>
        <w:spacing w:after="0" w:line="240" w:lineRule="auto"/>
        <w:jc w:val="both"/>
        <w:rPr>
          <w:rFonts w:cs="Calibri"/>
          <w:sz w:val="20"/>
          <w:szCs w:val="20"/>
        </w:rPr>
      </w:pPr>
      <w:r w:rsidRPr="003A176D">
        <w:rPr>
          <w:rFonts w:cs="Calibri"/>
          <w:sz w:val="20"/>
          <w:szCs w:val="20"/>
        </w:rPr>
        <w:t>USD$25,000 on or before March 15, 2019</w:t>
      </w:r>
      <w:r w:rsidR="000D0602" w:rsidRPr="003A176D">
        <w:rPr>
          <w:rFonts w:cs="Calibri"/>
          <w:sz w:val="20"/>
          <w:szCs w:val="20"/>
        </w:rPr>
        <w:t xml:space="preserve"> (paid)</w:t>
      </w:r>
      <w:r w:rsidRPr="003A176D">
        <w:rPr>
          <w:rFonts w:cs="Calibri"/>
          <w:sz w:val="20"/>
          <w:szCs w:val="20"/>
        </w:rPr>
        <w:t xml:space="preserve">; and </w:t>
      </w:r>
    </w:p>
    <w:p w14:paraId="46ACB739" w14:textId="58968633" w:rsidR="00F4053A" w:rsidRPr="003A176D" w:rsidRDefault="00C70AF5" w:rsidP="007D0666">
      <w:pPr>
        <w:pStyle w:val="ListParagraph"/>
        <w:numPr>
          <w:ilvl w:val="2"/>
          <w:numId w:val="5"/>
        </w:numPr>
        <w:tabs>
          <w:tab w:val="left" w:pos="426"/>
        </w:tabs>
        <w:autoSpaceDE w:val="0"/>
        <w:autoSpaceDN w:val="0"/>
        <w:adjustRightInd w:val="0"/>
        <w:spacing w:after="0" w:line="240" w:lineRule="auto"/>
        <w:jc w:val="both"/>
        <w:rPr>
          <w:rFonts w:cs="Calibri"/>
          <w:sz w:val="20"/>
          <w:szCs w:val="20"/>
        </w:rPr>
      </w:pPr>
      <w:r w:rsidRPr="003A176D">
        <w:rPr>
          <w:rFonts w:cs="Calibri"/>
          <w:sz w:val="20"/>
          <w:szCs w:val="20"/>
        </w:rPr>
        <w:t>USD$25,000 on or before July 15, 2019.</w:t>
      </w:r>
      <w:r w:rsidR="00F4053A" w:rsidRPr="003A176D">
        <w:rPr>
          <w:rFonts w:cs="Calibri"/>
          <w:sz w:val="20"/>
          <w:szCs w:val="20"/>
        </w:rPr>
        <w:t xml:space="preserve"> </w:t>
      </w:r>
    </w:p>
    <w:p w14:paraId="21A72553" w14:textId="0C6A2EE9" w:rsidR="00AD1EDE" w:rsidRPr="003A176D" w:rsidRDefault="00AD1EDE" w:rsidP="00AD1EDE">
      <w:pPr>
        <w:pStyle w:val="ListParagraph"/>
        <w:tabs>
          <w:tab w:val="left" w:pos="426"/>
        </w:tabs>
        <w:autoSpaceDE w:val="0"/>
        <w:autoSpaceDN w:val="0"/>
        <w:adjustRightInd w:val="0"/>
        <w:spacing w:after="0" w:line="240" w:lineRule="auto"/>
        <w:jc w:val="both"/>
        <w:rPr>
          <w:rFonts w:cs="Calibri"/>
          <w:sz w:val="20"/>
          <w:szCs w:val="20"/>
        </w:rPr>
      </w:pPr>
    </w:p>
    <w:p w14:paraId="3A0C7ED3" w14:textId="04F3EBCF" w:rsidR="00AD1EDE" w:rsidRPr="003A176D" w:rsidRDefault="001909DF" w:rsidP="00AD1EDE">
      <w:pPr>
        <w:pStyle w:val="ListParagraph"/>
        <w:numPr>
          <w:ilvl w:val="1"/>
          <w:numId w:val="5"/>
        </w:numPr>
        <w:tabs>
          <w:tab w:val="left" w:pos="426"/>
        </w:tabs>
        <w:autoSpaceDE w:val="0"/>
        <w:autoSpaceDN w:val="0"/>
        <w:adjustRightInd w:val="0"/>
        <w:spacing w:after="0" w:line="240" w:lineRule="auto"/>
        <w:jc w:val="both"/>
        <w:rPr>
          <w:rFonts w:cs="Calibri"/>
          <w:sz w:val="20"/>
          <w:szCs w:val="20"/>
        </w:rPr>
      </w:pPr>
      <w:r w:rsidRPr="003A176D">
        <w:rPr>
          <w:rFonts w:cs="Calibri"/>
          <w:sz w:val="20"/>
          <w:szCs w:val="20"/>
        </w:rPr>
        <w:t xml:space="preserve">On April 30,2020 the Company received $40,000 from the Government of Canada through the Canada Emergency Business Account (CEBA). The CEBA is a one-time, interest free loan that does not have to be repaid until December 31, 2022. If the Company repays the loan on or before December 31, 2022 the Government of Canada will forgive $10,000 of the loan. </w:t>
      </w:r>
    </w:p>
    <w:p w14:paraId="5ABFD7A4" w14:textId="77777777" w:rsidR="00522367" w:rsidRPr="003A176D" w:rsidRDefault="00522367" w:rsidP="00522367">
      <w:pPr>
        <w:pStyle w:val="ListParagraph"/>
        <w:tabs>
          <w:tab w:val="left" w:pos="426"/>
        </w:tabs>
        <w:autoSpaceDE w:val="0"/>
        <w:autoSpaceDN w:val="0"/>
        <w:adjustRightInd w:val="0"/>
        <w:spacing w:after="0" w:line="240" w:lineRule="auto"/>
        <w:jc w:val="both"/>
        <w:rPr>
          <w:rFonts w:cs="Calibri"/>
          <w:sz w:val="20"/>
          <w:szCs w:val="20"/>
        </w:rPr>
      </w:pPr>
    </w:p>
    <w:p w14:paraId="22AC94DF" w14:textId="60052DF8" w:rsidR="00522367" w:rsidRPr="003A176D" w:rsidRDefault="00676050" w:rsidP="007D0666">
      <w:pPr>
        <w:pStyle w:val="ListParagraph"/>
        <w:numPr>
          <w:ilvl w:val="1"/>
          <w:numId w:val="5"/>
        </w:numPr>
        <w:tabs>
          <w:tab w:val="left" w:pos="426"/>
        </w:tabs>
        <w:autoSpaceDE w:val="0"/>
        <w:autoSpaceDN w:val="0"/>
        <w:adjustRightInd w:val="0"/>
        <w:spacing w:after="0" w:line="240" w:lineRule="auto"/>
        <w:jc w:val="both"/>
        <w:rPr>
          <w:rFonts w:cs="Calibri"/>
          <w:sz w:val="20"/>
          <w:szCs w:val="20"/>
        </w:rPr>
      </w:pPr>
      <w:bookmarkStart w:id="33" w:name="_Hlk49370021"/>
      <w:r w:rsidRPr="003A176D">
        <w:rPr>
          <w:rFonts w:cs="Calibri"/>
          <w:sz w:val="20"/>
          <w:szCs w:val="20"/>
        </w:rPr>
        <w:t xml:space="preserve">On June 24, 2020 the Company entered into an </w:t>
      </w:r>
      <w:r w:rsidR="003C2C57" w:rsidRPr="003A176D">
        <w:rPr>
          <w:rFonts w:cs="Calibri"/>
          <w:sz w:val="20"/>
          <w:szCs w:val="20"/>
        </w:rPr>
        <w:t>agreement to buy Askott Entertainment Inc.</w:t>
      </w:r>
      <w:r w:rsidR="00F67ED0" w:rsidRPr="003A176D">
        <w:rPr>
          <w:rFonts w:cs="Calibri"/>
          <w:sz w:val="20"/>
          <w:szCs w:val="20"/>
        </w:rPr>
        <w:t xml:space="preserve">, (“Askott”) a B.C. domiciled igaming company, specifically focused on esports. Under the terms of the agreement, Askott shareholders will receive approximately 1.9193 common shares of the Company for each Askott common share (an "Askott Share") held at closing (the "Exchange Ratio"), representing an implied valuation of C$0.7485 per Askott Share. The Company committed to issuing approximately 68,457,313 shares to Askott shareholders at a price of $0.39 per share. Holders of the outstanding 125,000 common share purchase warrants of Askott (“Askott warrants”) will be entitled to purchase an aggregate of up to 239,912 FansUnite Shares at an exercise price of approximately C$0.26 per common share in the Company, and the holders of the outstanding 1,820,000 stock options of Askott (each an "Askott Option") were entitled to purchase an aggregate of up to 3,493,125 common shares in the Company at exercise prices ranging from approximately C$0.26 to C$0.32 per common share. In addition, the Company may issue up to 2,582,072 FansUnite Shares in exchange for Askott Shares, at the Exchange Ratio, if certain Askott warrants are exercised, and don't otherwise expire, prior to the completion of the Transaction. The Agreement provided that completion of the Transaction is subject to certain conditions, including receipt of all regulatory approvals and the approval of at least two-thirds of the votes cast by holders of Askott Shares at a special meeting of Askott shareholders to be called for the purpose of approving the Transaction. </w:t>
      </w:r>
    </w:p>
    <w:p w14:paraId="6F4AE4D1" w14:textId="77777777" w:rsidR="00A208FC" w:rsidRPr="003A176D" w:rsidRDefault="00A208FC" w:rsidP="00C63708">
      <w:pPr>
        <w:pStyle w:val="NoSpacing"/>
        <w:ind w:left="1080"/>
        <w:jc w:val="both"/>
        <w:rPr>
          <w:sz w:val="20"/>
          <w:szCs w:val="20"/>
        </w:rPr>
      </w:pPr>
    </w:p>
    <w:p w14:paraId="1C8899FA" w14:textId="00700785" w:rsidR="00C63708" w:rsidRPr="003A176D" w:rsidRDefault="00C63708" w:rsidP="00C63708">
      <w:pPr>
        <w:tabs>
          <w:tab w:val="left" w:pos="426"/>
        </w:tabs>
        <w:autoSpaceDE w:val="0"/>
        <w:autoSpaceDN w:val="0"/>
        <w:adjustRightInd w:val="0"/>
        <w:spacing w:after="0" w:line="240" w:lineRule="auto"/>
        <w:jc w:val="both"/>
        <w:rPr>
          <w:rFonts w:cs="Calibri"/>
          <w:b/>
          <w:sz w:val="20"/>
          <w:szCs w:val="20"/>
        </w:rPr>
      </w:pPr>
      <w:r w:rsidRPr="003A176D">
        <w:rPr>
          <w:rFonts w:cs="Calibri"/>
          <w:b/>
          <w:sz w:val="20"/>
          <w:szCs w:val="20"/>
        </w:rPr>
        <w:t>1</w:t>
      </w:r>
      <w:r w:rsidR="00CE6FDF" w:rsidRPr="003A176D">
        <w:rPr>
          <w:rFonts w:cs="Calibri"/>
          <w:b/>
          <w:sz w:val="20"/>
          <w:szCs w:val="20"/>
        </w:rPr>
        <w:t>2</w:t>
      </w:r>
      <w:r w:rsidRPr="003A176D">
        <w:rPr>
          <w:rFonts w:cs="Calibri"/>
          <w:b/>
          <w:sz w:val="20"/>
          <w:szCs w:val="20"/>
        </w:rPr>
        <w:t xml:space="preserve">.    Subsequent Events </w:t>
      </w:r>
    </w:p>
    <w:p w14:paraId="7B5DA6B6" w14:textId="52D19392" w:rsidR="00F4053A" w:rsidRPr="003A176D" w:rsidRDefault="00F4053A" w:rsidP="00C63708">
      <w:pPr>
        <w:tabs>
          <w:tab w:val="left" w:pos="426"/>
        </w:tabs>
        <w:autoSpaceDE w:val="0"/>
        <w:autoSpaceDN w:val="0"/>
        <w:adjustRightInd w:val="0"/>
        <w:spacing w:after="0" w:line="240" w:lineRule="auto"/>
        <w:jc w:val="both"/>
        <w:rPr>
          <w:rFonts w:cs="Calibri"/>
          <w:b/>
          <w:sz w:val="20"/>
          <w:szCs w:val="20"/>
        </w:rPr>
      </w:pPr>
    </w:p>
    <w:bookmarkEnd w:id="33"/>
    <w:p w14:paraId="08E86AE5" w14:textId="02A2C016" w:rsidR="003C5C84" w:rsidRPr="003A176D" w:rsidRDefault="003C2C57" w:rsidP="007D0666">
      <w:pPr>
        <w:pStyle w:val="ListParagraph"/>
        <w:numPr>
          <w:ilvl w:val="1"/>
          <w:numId w:val="7"/>
        </w:numPr>
        <w:tabs>
          <w:tab w:val="left" w:pos="426"/>
        </w:tabs>
        <w:autoSpaceDE w:val="0"/>
        <w:autoSpaceDN w:val="0"/>
        <w:adjustRightInd w:val="0"/>
        <w:spacing w:after="0" w:line="240" w:lineRule="auto"/>
        <w:jc w:val="both"/>
        <w:rPr>
          <w:sz w:val="20"/>
          <w:szCs w:val="20"/>
        </w:rPr>
      </w:pPr>
      <w:r w:rsidRPr="003A176D">
        <w:rPr>
          <w:sz w:val="20"/>
          <w:szCs w:val="20"/>
        </w:rPr>
        <w:t xml:space="preserve">Throughout </w:t>
      </w:r>
      <w:r w:rsidR="00522367" w:rsidRPr="003A176D">
        <w:rPr>
          <w:sz w:val="20"/>
          <w:szCs w:val="20"/>
        </w:rPr>
        <w:t>2020, the outbreak of the novel strain of coronavirus, specifically identified as “COVID- 19”,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at this time,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57599367" w14:textId="3243D5FA" w:rsidR="003C5C84" w:rsidRDefault="003C5C84" w:rsidP="003C5C84">
      <w:pPr>
        <w:pStyle w:val="ListParagraph"/>
        <w:rPr>
          <w:rFonts w:asciiTheme="minorHAnsi" w:eastAsia="SimSun" w:hAnsiTheme="minorHAnsi" w:cs="Arial"/>
          <w:sz w:val="20"/>
          <w:szCs w:val="20"/>
          <w:lang w:val="en-CA" w:eastAsia="x-none"/>
        </w:rPr>
      </w:pPr>
    </w:p>
    <w:p w14:paraId="6F749316" w14:textId="663BA6D4" w:rsidR="003A176D" w:rsidRDefault="003A176D" w:rsidP="003C5C84">
      <w:pPr>
        <w:pStyle w:val="ListParagraph"/>
        <w:rPr>
          <w:rFonts w:asciiTheme="minorHAnsi" w:eastAsia="SimSun" w:hAnsiTheme="minorHAnsi" w:cs="Arial"/>
          <w:sz w:val="20"/>
          <w:szCs w:val="20"/>
          <w:lang w:val="en-CA" w:eastAsia="x-none"/>
        </w:rPr>
      </w:pPr>
    </w:p>
    <w:p w14:paraId="197C0C54" w14:textId="46F1A8EA" w:rsidR="003A176D" w:rsidRDefault="003A176D" w:rsidP="003C5C84">
      <w:pPr>
        <w:pStyle w:val="ListParagraph"/>
        <w:rPr>
          <w:rFonts w:asciiTheme="minorHAnsi" w:eastAsia="SimSun" w:hAnsiTheme="minorHAnsi" w:cs="Arial"/>
          <w:sz w:val="20"/>
          <w:szCs w:val="20"/>
          <w:lang w:val="en-CA" w:eastAsia="x-none"/>
        </w:rPr>
      </w:pPr>
    </w:p>
    <w:p w14:paraId="3FE9EDE7" w14:textId="0C58890B" w:rsidR="003A176D" w:rsidRDefault="003A176D" w:rsidP="003C5C84">
      <w:pPr>
        <w:pStyle w:val="ListParagraph"/>
        <w:rPr>
          <w:rFonts w:asciiTheme="minorHAnsi" w:eastAsia="SimSun" w:hAnsiTheme="minorHAnsi" w:cs="Arial"/>
          <w:sz w:val="20"/>
          <w:szCs w:val="20"/>
          <w:lang w:val="en-CA" w:eastAsia="x-none"/>
        </w:rPr>
      </w:pPr>
    </w:p>
    <w:p w14:paraId="3B8E2178" w14:textId="56A6D474" w:rsidR="003A176D" w:rsidRDefault="003A176D" w:rsidP="003C5C84">
      <w:pPr>
        <w:pStyle w:val="ListParagraph"/>
        <w:rPr>
          <w:rFonts w:asciiTheme="minorHAnsi" w:eastAsia="SimSun" w:hAnsiTheme="minorHAnsi" w:cs="Arial"/>
          <w:sz w:val="20"/>
          <w:szCs w:val="20"/>
          <w:lang w:val="en-CA" w:eastAsia="x-none"/>
        </w:rPr>
      </w:pPr>
    </w:p>
    <w:p w14:paraId="1D877B49" w14:textId="768865C7" w:rsidR="003A176D" w:rsidRPr="003A176D" w:rsidRDefault="003A176D" w:rsidP="003A176D">
      <w:pPr>
        <w:tabs>
          <w:tab w:val="left" w:pos="426"/>
        </w:tabs>
        <w:autoSpaceDE w:val="0"/>
        <w:autoSpaceDN w:val="0"/>
        <w:adjustRightInd w:val="0"/>
        <w:spacing w:after="0" w:line="240" w:lineRule="auto"/>
        <w:jc w:val="both"/>
        <w:rPr>
          <w:rFonts w:cs="Calibri"/>
          <w:b/>
          <w:sz w:val="20"/>
          <w:szCs w:val="20"/>
        </w:rPr>
      </w:pPr>
      <w:r w:rsidRPr="003A176D">
        <w:rPr>
          <w:rFonts w:cs="Calibri"/>
          <w:b/>
          <w:sz w:val="20"/>
          <w:szCs w:val="20"/>
        </w:rPr>
        <w:lastRenderedPageBreak/>
        <w:t xml:space="preserve">12.    Subsequent Events </w:t>
      </w:r>
      <w:r>
        <w:rPr>
          <w:rFonts w:cs="Calibri"/>
          <w:b/>
          <w:sz w:val="20"/>
          <w:szCs w:val="20"/>
        </w:rPr>
        <w:t>(continued)</w:t>
      </w:r>
    </w:p>
    <w:p w14:paraId="59315A81" w14:textId="77777777" w:rsidR="003A176D" w:rsidRPr="003A176D" w:rsidRDefault="003A176D" w:rsidP="003C5C84">
      <w:pPr>
        <w:pStyle w:val="ListParagraph"/>
        <w:rPr>
          <w:rFonts w:asciiTheme="minorHAnsi" w:eastAsia="SimSun" w:hAnsiTheme="minorHAnsi" w:cs="Arial"/>
          <w:sz w:val="20"/>
          <w:szCs w:val="20"/>
          <w:lang w:val="en-CA" w:eastAsia="x-none"/>
        </w:rPr>
      </w:pPr>
    </w:p>
    <w:p w14:paraId="418A5306" w14:textId="56B866BF" w:rsidR="003C5C84" w:rsidRPr="003A176D" w:rsidRDefault="003C5C84" w:rsidP="003C2C57">
      <w:pPr>
        <w:pStyle w:val="ListParagraph"/>
        <w:numPr>
          <w:ilvl w:val="1"/>
          <w:numId w:val="7"/>
        </w:numPr>
        <w:tabs>
          <w:tab w:val="left" w:pos="720"/>
        </w:tabs>
        <w:overflowPunct w:val="0"/>
        <w:autoSpaceDE w:val="0"/>
        <w:autoSpaceDN w:val="0"/>
        <w:adjustRightInd w:val="0"/>
        <w:spacing w:after="120" w:line="240" w:lineRule="auto"/>
        <w:jc w:val="both"/>
        <w:textAlignment w:val="baseline"/>
        <w:rPr>
          <w:sz w:val="20"/>
          <w:szCs w:val="20"/>
        </w:rPr>
      </w:pPr>
      <w:r w:rsidRPr="003A176D">
        <w:rPr>
          <w:sz w:val="20"/>
          <w:szCs w:val="20"/>
        </w:rPr>
        <w:t xml:space="preserve">On </w:t>
      </w:r>
      <w:r w:rsidR="003C2C57" w:rsidRPr="003A176D">
        <w:rPr>
          <w:sz w:val="20"/>
          <w:szCs w:val="20"/>
        </w:rPr>
        <w:t>August 11, 2020, the Company completed the amalgamation with Askott</w:t>
      </w:r>
      <w:r w:rsidR="00D50422" w:rsidRPr="003A176D">
        <w:rPr>
          <w:sz w:val="20"/>
          <w:szCs w:val="20"/>
        </w:rPr>
        <w:t xml:space="preserve">. As a result, </w:t>
      </w:r>
      <w:r w:rsidR="00D50422" w:rsidRPr="003A176D">
        <w:t>Scott Burton, CEO of Askott, has become the CEO of the Company and Darius Eghdami has become the President of the Company. Jeremy Hutchings, the former CTO of Askott, has become the CTO of the Company, Ian Winter, the former COO of Askott, has become the COO of the Company and management of the Company will otherwise remain the same. Duncan Peter McIntyre has resigned as COO of the Company.  The final terms of the deal were as follows:</w:t>
      </w:r>
    </w:p>
    <w:p w14:paraId="798DDB8F" w14:textId="77777777" w:rsidR="00D50422" w:rsidRPr="003A176D" w:rsidRDefault="00D50422" w:rsidP="00D50422">
      <w:pPr>
        <w:pStyle w:val="ListParagraph"/>
        <w:rPr>
          <w:sz w:val="20"/>
          <w:szCs w:val="20"/>
        </w:rPr>
      </w:pPr>
    </w:p>
    <w:p w14:paraId="62506223" w14:textId="205F711D" w:rsidR="00D50422" w:rsidRPr="003A176D" w:rsidRDefault="00D50422" w:rsidP="00D50422">
      <w:pPr>
        <w:pStyle w:val="ListParagraph"/>
        <w:numPr>
          <w:ilvl w:val="2"/>
          <w:numId w:val="7"/>
        </w:numPr>
        <w:tabs>
          <w:tab w:val="left" w:pos="720"/>
        </w:tabs>
        <w:overflowPunct w:val="0"/>
        <w:autoSpaceDE w:val="0"/>
        <w:autoSpaceDN w:val="0"/>
        <w:adjustRightInd w:val="0"/>
        <w:spacing w:after="120" w:line="240" w:lineRule="auto"/>
        <w:jc w:val="both"/>
        <w:textAlignment w:val="baseline"/>
        <w:rPr>
          <w:sz w:val="20"/>
          <w:szCs w:val="20"/>
        </w:rPr>
      </w:pPr>
      <w:r w:rsidRPr="003A176D">
        <w:t xml:space="preserve">Existing Askott shareholders received 1.9193 common shares of the Company  for each Askott common share (an "Askott Share") held at closing (the "Exchange Ratio"), representing an implied valuation of </w:t>
      </w:r>
      <w:r w:rsidR="003A176D" w:rsidRPr="003A176D">
        <w:t>$</w:t>
      </w:r>
      <w:r w:rsidRPr="003A176D">
        <w:t xml:space="preserve">0.7485 per Askott Share, and resulting in the issuance of an aggregate of 71,171,212 common shares at a price of $0.39 per common share to the former Askott shareholders. In addition, former holders of 125,000 common share purchase warrants of Askott are now entitled to purchase an aggregate of up to 239,912 FansUnite Shares at an exercise price of approximately $0.32 per common share with expiry date on May 31, 2023 (the "FansUnite Warrants") and former holders of 1,820,000 stock options of Askott are now entitled to purchase an aggregate of up to 3,493,122 common shares at exercise prices ranging from approximately $0.26 to $0.32 per common share, with expiry dates between September 27, 2020 and January 1, 2025 (the "FansUnite Options"). </w:t>
      </w:r>
    </w:p>
    <w:p w14:paraId="7516D607" w14:textId="77777777" w:rsidR="00D50422" w:rsidRPr="003A176D" w:rsidRDefault="00D50422" w:rsidP="00D50422">
      <w:pPr>
        <w:pStyle w:val="ListParagraph"/>
        <w:tabs>
          <w:tab w:val="left" w:pos="720"/>
        </w:tabs>
        <w:overflowPunct w:val="0"/>
        <w:autoSpaceDE w:val="0"/>
        <w:autoSpaceDN w:val="0"/>
        <w:adjustRightInd w:val="0"/>
        <w:spacing w:after="120" w:line="240" w:lineRule="auto"/>
        <w:ind w:left="1080"/>
        <w:jc w:val="both"/>
        <w:textAlignment w:val="baseline"/>
        <w:rPr>
          <w:sz w:val="20"/>
          <w:szCs w:val="20"/>
        </w:rPr>
      </w:pPr>
    </w:p>
    <w:p w14:paraId="4CFA26DD" w14:textId="6DAA0443" w:rsidR="00D50422" w:rsidRPr="003A176D" w:rsidRDefault="00D50422" w:rsidP="00D50422">
      <w:pPr>
        <w:pStyle w:val="ListParagraph"/>
        <w:numPr>
          <w:ilvl w:val="2"/>
          <w:numId w:val="7"/>
        </w:numPr>
        <w:tabs>
          <w:tab w:val="left" w:pos="720"/>
        </w:tabs>
        <w:overflowPunct w:val="0"/>
        <w:autoSpaceDE w:val="0"/>
        <w:autoSpaceDN w:val="0"/>
        <w:adjustRightInd w:val="0"/>
        <w:spacing w:after="120" w:line="240" w:lineRule="auto"/>
        <w:jc w:val="both"/>
        <w:textAlignment w:val="baseline"/>
        <w:rPr>
          <w:sz w:val="20"/>
          <w:szCs w:val="20"/>
        </w:rPr>
      </w:pPr>
      <w:r w:rsidRPr="003A176D">
        <w:t xml:space="preserve">The Company issued an aggregate of 12,712,115 common shares at a price of C$0.40 per common share upon exchange of the Askott Shares issued in connection with the private placement of subscription receipts (the "Subscription Receipts") for $5,009,846 (the "Askott Private Placement"). In addition, the former holders of Subscription Receipts are now entitled to purchase an aggregate of up to 6,262,307 common shares at an exercise price of C$0.55 per common share with expiry date on August 11, 2022 pursuant to the share purchase warrants issued in connection with the Askott Private Placement and the former holders of the broker and advisory warrants issued in connection with the Askott Private Placement are now entitled to purchase an aggregate of up to 779,762 common shares at an exercise price of C$0.55, with expiry date on July 21, 2022 (collectively, the "FansUnite Financing Warrants"). </w:t>
      </w:r>
    </w:p>
    <w:p w14:paraId="53D61825" w14:textId="77777777" w:rsidR="00D50422" w:rsidRPr="003A176D" w:rsidRDefault="00D50422" w:rsidP="00D50422">
      <w:pPr>
        <w:pStyle w:val="ListParagraph"/>
        <w:tabs>
          <w:tab w:val="left" w:pos="720"/>
        </w:tabs>
        <w:overflowPunct w:val="0"/>
        <w:autoSpaceDE w:val="0"/>
        <w:autoSpaceDN w:val="0"/>
        <w:adjustRightInd w:val="0"/>
        <w:spacing w:after="120" w:line="240" w:lineRule="auto"/>
        <w:ind w:left="1080"/>
        <w:jc w:val="both"/>
        <w:textAlignment w:val="baseline"/>
        <w:rPr>
          <w:sz w:val="20"/>
          <w:szCs w:val="20"/>
        </w:rPr>
      </w:pPr>
    </w:p>
    <w:p w14:paraId="5BAE97C6" w14:textId="3BAF562E" w:rsidR="00D50422" w:rsidRPr="003A176D" w:rsidRDefault="00D50422" w:rsidP="00D50422">
      <w:pPr>
        <w:pStyle w:val="ListParagraph"/>
        <w:numPr>
          <w:ilvl w:val="2"/>
          <w:numId w:val="7"/>
        </w:numPr>
        <w:tabs>
          <w:tab w:val="left" w:pos="720"/>
        </w:tabs>
        <w:overflowPunct w:val="0"/>
        <w:autoSpaceDE w:val="0"/>
        <w:autoSpaceDN w:val="0"/>
        <w:adjustRightInd w:val="0"/>
        <w:spacing w:after="120" w:line="240" w:lineRule="auto"/>
        <w:jc w:val="both"/>
        <w:textAlignment w:val="baseline"/>
        <w:rPr>
          <w:sz w:val="20"/>
          <w:szCs w:val="20"/>
        </w:rPr>
      </w:pPr>
      <w:r w:rsidRPr="003A176D">
        <w:t xml:space="preserve">The Company issued 758,600 common shares at a price of C$0.39 per share to Haywood Securities Inc. in connection with the previously announced assumption by the Company of Askott's obligations to Haywood for advisory services related to the Transaction (the "M&amp;A Advisory Shares"). </w:t>
      </w:r>
    </w:p>
    <w:p w14:paraId="1FBF4442" w14:textId="77777777" w:rsidR="00D50422" w:rsidRPr="003A176D" w:rsidRDefault="00D50422" w:rsidP="00D50422">
      <w:pPr>
        <w:pStyle w:val="ListParagraph"/>
        <w:rPr>
          <w:sz w:val="20"/>
          <w:szCs w:val="20"/>
        </w:rPr>
      </w:pPr>
    </w:p>
    <w:p w14:paraId="7E6264BB" w14:textId="77777777" w:rsidR="00D50422" w:rsidRPr="003A176D" w:rsidRDefault="00D50422" w:rsidP="00D50422">
      <w:pPr>
        <w:pStyle w:val="ListParagraph"/>
        <w:tabs>
          <w:tab w:val="left" w:pos="720"/>
        </w:tabs>
        <w:overflowPunct w:val="0"/>
        <w:autoSpaceDE w:val="0"/>
        <w:autoSpaceDN w:val="0"/>
        <w:adjustRightInd w:val="0"/>
        <w:spacing w:after="120" w:line="240" w:lineRule="auto"/>
        <w:ind w:left="1080"/>
        <w:jc w:val="both"/>
        <w:textAlignment w:val="baseline"/>
        <w:rPr>
          <w:sz w:val="20"/>
          <w:szCs w:val="20"/>
        </w:rPr>
      </w:pPr>
    </w:p>
    <w:p w14:paraId="7B4AA44B" w14:textId="1C42DF6B" w:rsidR="00D50422" w:rsidRPr="003A176D" w:rsidRDefault="00D50422" w:rsidP="00D50422">
      <w:pPr>
        <w:pStyle w:val="ListParagraph"/>
        <w:numPr>
          <w:ilvl w:val="2"/>
          <w:numId w:val="7"/>
        </w:numPr>
        <w:tabs>
          <w:tab w:val="left" w:pos="720"/>
        </w:tabs>
        <w:overflowPunct w:val="0"/>
        <w:autoSpaceDE w:val="0"/>
        <w:autoSpaceDN w:val="0"/>
        <w:adjustRightInd w:val="0"/>
        <w:spacing w:after="120" w:line="240" w:lineRule="auto"/>
        <w:jc w:val="both"/>
        <w:textAlignment w:val="baseline"/>
        <w:rPr>
          <w:sz w:val="20"/>
          <w:szCs w:val="20"/>
        </w:rPr>
      </w:pPr>
      <w:r w:rsidRPr="003A176D">
        <w:t>Upon completion of the Transaction, there are 154,345,706 common shares in the Company issued and outstanding.</w:t>
      </w:r>
    </w:p>
    <w:sectPr w:rsidR="00D50422" w:rsidRPr="003A176D" w:rsidSect="00707036">
      <w:headerReference w:type="default" r:id="rId18"/>
      <w:footerReference w:type="defaul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1784" w14:textId="77777777" w:rsidR="00C22D06" w:rsidRDefault="00C22D06" w:rsidP="003B2EA6">
      <w:pPr>
        <w:spacing w:after="0" w:line="240" w:lineRule="auto"/>
      </w:pPr>
      <w:r>
        <w:separator/>
      </w:r>
    </w:p>
  </w:endnote>
  <w:endnote w:type="continuationSeparator" w:id="0">
    <w:p w14:paraId="2DEC61AD" w14:textId="77777777" w:rsidR="00C22D06" w:rsidRDefault="00C22D06" w:rsidP="003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veni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49E4" w14:textId="77777777" w:rsidR="00704BB5" w:rsidRDefault="00704BB5" w:rsidP="001D1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8E63" w14:textId="77777777" w:rsidR="00704BB5" w:rsidRDefault="00704BB5" w:rsidP="00245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5CCB" w14:textId="40A38963" w:rsidR="00704BB5" w:rsidRPr="00133B3E" w:rsidRDefault="00704BB5" w:rsidP="0091531E">
    <w:pPr>
      <w:tabs>
        <w:tab w:val="right" w:pos="9360"/>
      </w:tabs>
      <w:spacing w:after="0" w:line="240" w:lineRule="auto"/>
      <w:ind w:right="360"/>
      <w:jc w:val="center"/>
      <w:rPr>
        <w:rFonts w:asciiTheme="minorHAnsi" w:hAnsiTheme="minorHAnsi" w:cstheme="minorHAnsi"/>
        <w:sz w:val="20"/>
        <w:szCs w:val="20"/>
      </w:rPr>
    </w:pPr>
    <w:r>
      <w:rPr>
        <w:rFonts w:asciiTheme="minorHAnsi" w:hAnsiTheme="minorHAnsi" w:cstheme="minorHAnsi"/>
        <w:sz w:val="20"/>
        <w:szCs w:val="20"/>
      </w:rPr>
      <w:t xml:space="preserve">The </w:t>
    </w:r>
    <w:r w:rsidRPr="00133B3E">
      <w:rPr>
        <w:rFonts w:asciiTheme="minorHAnsi" w:hAnsiTheme="minorHAnsi" w:cstheme="minorHAnsi"/>
        <w:sz w:val="20"/>
        <w:szCs w:val="20"/>
      </w:rPr>
      <w:t>accompanying notes</w:t>
    </w:r>
    <w:r>
      <w:rPr>
        <w:rFonts w:asciiTheme="minorHAnsi" w:hAnsiTheme="minorHAnsi" w:cstheme="minorHAnsi"/>
        <w:sz w:val="20"/>
        <w:szCs w:val="20"/>
      </w:rPr>
      <w:t xml:space="preserve"> are an integral part of </w:t>
    </w:r>
    <w:r w:rsidRPr="00133B3E">
      <w:rPr>
        <w:rFonts w:asciiTheme="minorHAnsi" w:hAnsiTheme="minorHAnsi" w:cstheme="minorHAnsi"/>
        <w:sz w:val="20"/>
        <w:szCs w:val="20"/>
      </w:rPr>
      <w:t>th</w:t>
    </w:r>
    <w:r>
      <w:rPr>
        <w:rFonts w:asciiTheme="minorHAnsi" w:hAnsiTheme="minorHAnsi" w:cstheme="minorHAnsi"/>
        <w:sz w:val="20"/>
        <w:szCs w:val="20"/>
      </w:rPr>
      <w:t xml:space="preserve">ese </w:t>
    </w:r>
    <w:r w:rsidRPr="00133B3E">
      <w:rPr>
        <w:rFonts w:asciiTheme="minorHAnsi" w:hAnsiTheme="minorHAnsi" w:cstheme="minorHAnsi"/>
        <w:sz w:val="20"/>
        <w:szCs w:val="20"/>
      </w:rPr>
      <w:t>consolidated</w:t>
    </w:r>
    <w:r>
      <w:rPr>
        <w:rFonts w:asciiTheme="minorHAnsi" w:hAnsiTheme="minorHAnsi" w:cstheme="minorHAnsi"/>
        <w:sz w:val="20"/>
        <w:szCs w:val="20"/>
      </w:rPr>
      <w:t xml:space="preserve"> </w:t>
    </w:r>
    <w:r w:rsidRPr="00133B3E">
      <w:rPr>
        <w:rFonts w:asciiTheme="minorHAnsi" w:hAnsiTheme="minorHAnsi" w:cstheme="minorHAnsi"/>
        <w:sz w:val="20"/>
        <w:szCs w:val="20"/>
      </w:rPr>
      <w:t>financial stat</w:t>
    </w:r>
    <w:r>
      <w:rPr>
        <w:rFonts w:asciiTheme="minorHAnsi" w:hAnsiTheme="minorHAnsi" w:cstheme="minorHAnsi"/>
        <w:sz w:val="20"/>
        <w:szCs w:val="20"/>
      </w:rPr>
      <w:t>e</w:t>
    </w:r>
    <w:r w:rsidRPr="00133B3E">
      <w:rPr>
        <w:rFonts w:asciiTheme="minorHAnsi" w:hAnsiTheme="minorHAnsi" w:cstheme="minorHAnsi"/>
        <w:sz w:val="20"/>
        <w:szCs w:val="20"/>
      </w:rPr>
      <w:t>ments</w:t>
    </w:r>
    <w:r>
      <w:rPr>
        <w:rFonts w:asciiTheme="minorHAnsi" w:hAnsiTheme="minorHAnsi" w:cstheme="minorHAnsi"/>
        <w:sz w:val="20"/>
        <w:szCs w:val="20"/>
      </w:rPr>
      <w:t>.</w:t>
    </w:r>
  </w:p>
  <w:p w14:paraId="64BDA8E4" w14:textId="77777777" w:rsidR="00704BB5" w:rsidRDefault="00704BB5" w:rsidP="0015016F">
    <w:pPr>
      <w:pStyle w:val="Footer"/>
    </w:pPr>
    <w:r>
      <w:tab/>
    </w:r>
  </w:p>
  <w:p w14:paraId="5B05282A" w14:textId="77777777" w:rsidR="00704BB5" w:rsidRDefault="00704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3E98" w14:textId="409AF8B8" w:rsidR="00704BB5" w:rsidRPr="00133B3E" w:rsidRDefault="00704BB5" w:rsidP="0091531E">
    <w:pPr>
      <w:pStyle w:val="Footer"/>
      <w:jc w:val="center"/>
      <w:rPr>
        <w:rFonts w:asciiTheme="minorHAnsi" w:hAnsiTheme="minorHAnsi" w:cstheme="minorHAnsi"/>
        <w:sz w:val="20"/>
        <w:szCs w:val="20"/>
      </w:rPr>
    </w:pPr>
    <w:r>
      <w:rPr>
        <w:rFonts w:asciiTheme="minorHAnsi" w:hAnsiTheme="minorHAnsi" w:cstheme="minorHAnsi"/>
        <w:sz w:val="20"/>
        <w:szCs w:val="20"/>
      </w:rPr>
      <w:t>The</w:t>
    </w:r>
    <w:r w:rsidRPr="00133B3E">
      <w:rPr>
        <w:rFonts w:asciiTheme="minorHAnsi" w:hAnsiTheme="minorHAnsi" w:cstheme="minorHAnsi"/>
        <w:sz w:val="20"/>
        <w:szCs w:val="20"/>
      </w:rPr>
      <w:t xml:space="preserve"> accompanying notes</w:t>
    </w:r>
    <w:r>
      <w:rPr>
        <w:rFonts w:asciiTheme="minorHAnsi" w:hAnsiTheme="minorHAnsi" w:cstheme="minorHAnsi"/>
        <w:sz w:val="20"/>
        <w:szCs w:val="20"/>
      </w:rPr>
      <w:t xml:space="preserve"> are an integral part of </w:t>
    </w:r>
    <w:r w:rsidRPr="00133B3E">
      <w:rPr>
        <w:rFonts w:asciiTheme="minorHAnsi" w:hAnsiTheme="minorHAnsi" w:cstheme="minorHAnsi"/>
        <w:sz w:val="20"/>
        <w:szCs w:val="20"/>
      </w:rPr>
      <w:t>the</w:t>
    </w:r>
    <w:r>
      <w:rPr>
        <w:rFonts w:asciiTheme="minorHAnsi" w:hAnsiTheme="minorHAnsi" w:cstheme="minorHAnsi"/>
        <w:sz w:val="20"/>
        <w:szCs w:val="20"/>
      </w:rPr>
      <w:t>se</w:t>
    </w:r>
    <w:r w:rsidRPr="00133B3E">
      <w:rPr>
        <w:rFonts w:asciiTheme="minorHAnsi" w:hAnsiTheme="minorHAnsi" w:cstheme="minorHAnsi"/>
        <w:sz w:val="20"/>
        <w:szCs w:val="20"/>
      </w:rPr>
      <w:t xml:space="preserve"> consolidated financial statements</w:t>
    </w:r>
    <w:r>
      <w:rPr>
        <w:rFonts w:asciiTheme="minorHAnsi" w:hAnsiTheme="minorHAnsi" w:cstheme="minorHAnsi"/>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95D4" w14:textId="4556FC8C" w:rsidR="00704BB5" w:rsidRDefault="00704BB5" w:rsidP="00D879C3">
    <w:pPr>
      <w:pStyle w:val="Footer"/>
      <w:tabs>
        <w:tab w:val="clear" w:pos="9360"/>
      </w:tabs>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107D" w14:textId="77777777" w:rsidR="00C22D06" w:rsidRDefault="00C22D06" w:rsidP="003B2EA6">
      <w:pPr>
        <w:spacing w:after="0" w:line="240" w:lineRule="auto"/>
      </w:pPr>
      <w:r>
        <w:separator/>
      </w:r>
    </w:p>
  </w:footnote>
  <w:footnote w:type="continuationSeparator" w:id="0">
    <w:p w14:paraId="5F1EFE31" w14:textId="77777777" w:rsidR="00C22D06" w:rsidRDefault="00C22D06" w:rsidP="003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3D09" w14:textId="07C1BE18" w:rsidR="00704BB5" w:rsidRDefault="00704BB5" w:rsidP="00AA58F2">
    <w:pPr>
      <w:tabs>
        <w:tab w:val="left" w:pos="720"/>
        <w:tab w:val="left" w:pos="1440"/>
        <w:tab w:val="left" w:pos="2160"/>
        <w:tab w:val="left" w:pos="2880"/>
        <w:tab w:val="left" w:pos="3600"/>
        <w:tab w:val="left" w:pos="4320"/>
        <w:tab w:val="left" w:pos="5040"/>
        <w:tab w:val="left" w:pos="5760"/>
        <w:tab w:val="left" w:pos="6600"/>
      </w:tabs>
      <w:spacing w:after="0" w:line="240" w:lineRule="auto"/>
      <w:rPr>
        <w:noProof/>
      </w:rPr>
    </w:pPr>
    <w:r>
      <w:rPr>
        <w:noProof/>
      </w:rPr>
      <w:t>FansUnite Entertainment Inc.</w:t>
    </w:r>
    <w:r>
      <w:rPr>
        <w:noProof/>
      </w:rPr>
      <w:tab/>
    </w:r>
    <w:r>
      <w:rPr>
        <w:noProof/>
      </w:rPr>
      <w:tab/>
      <w:t xml:space="preserve">        </w:t>
    </w:r>
  </w:p>
  <w:p w14:paraId="30B69768" w14:textId="0C550020" w:rsidR="00704BB5" w:rsidRDefault="00704BB5" w:rsidP="00F46983">
    <w:pPr>
      <w:pStyle w:val="Header"/>
    </w:pPr>
    <w:r>
      <w:t>Consolidated statements of financial position</w:t>
    </w:r>
  </w:p>
  <w:p w14:paraId="67DB2B26" w14:textId="2EFFB341" w:rsidR="00704BB5" w:rsidRDefault="00704BB5" w:rsidP="00FB0747">
    <w:pPr>
      <w:pStyle w:val="Header"/>
      <w:pBdr>
        <w:bottom w:val="double" w:sz="4" w:space="1" w:color="auto"/>
      </w:pBdr>
    </w:pPr>
    <w:r>
      <w:t>(Expressed in Canadian dollars)</w:t>
    </w:r>
  </w:p>
  <w:p w14:paraId="185F7717" w14:textId="2B95E673" w:rsidR="00704BB5" w:rsidRPr="00331AEB" w:rsidRDefault="00704BB5" w:rsidP="00F46983">
    <w:pPr>
      <w:spacing w:after="0" w:line="240"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D754" w14:textId="23AED00C" w:rsidR="00704BB5" w:rsidRDefault="00704BB5" w:rsidP="00C26A94">
    <w:pPr>
      <w:spacing w:after="0" w:line="240" w:lineRule="auto"/>
      <w:rPr>
        <w:noProof/>
      </w:rPr>
    </w:pPr>
    <w:r>
      <w:rPr>
        <w:noProof/>
      </w:rPr>
      <w:t>FansUnite Entertainment Inc.</w:t>
    </w:r>
    <w:r>
      <w:rPr>
        <w:noProof/>
      </w:rPr>
      <w:tab/>
    </w:r>
    <w:r>
      <w:rPr>
        <w:noProof/>
      </w:rPr>
      <w:tab/>
      <w:t xml:space="preserve">          </w:t>
    </w:r>
  </w:p>
  <w:p w14:paraId="13BA7FE3" w14:textId="22B4326D" w:rsidR="00704BB5" w:rsidRDefault="00704BB5" w:rsidP="00C26A94">
    <w:pPr>
      <w:spacing w:after="0" w:line="240" w:lineRule="auto"/>
    </w:pPr>
    <w:r>
      <w:t>Consolidated statements of loss and comprehensive loss</w:t>
    </w:r>
  </w:p>
  <w:p w14:paraId="50E0DC87" w14:textId="6EB35AA6" w:rsidR="00704BB5" w:rsidRDefault="00704BB5" w:rsidP="00C26A94">
    <w:pPr>
      <w:spacing w:after="0" w:line="240" w:lineRule="auto"/>
      <w:rPr>
        <w:noProof/>
      </w:rPr>
    </w:pPr>
    <w:r>
      <w:t>(Expressed in Canadian dollars)</w:t>
    </w:r>
  </w:p>
  <w:p w14:paraId="282A2DFB" w14:textId="77777777" w:rsidR="00704BB5" w:rsidRPr="00DD63EB" w:rsidRDefault="00704BB5" w:rsidP="00C26A94">
    <w:pPr>
      <w:pStyle w:val="Header"/>
      <w:pBdr>
        <w:bottom w:val="double" w:sz="4" w:space="1" w:color="auto"/>
      </w:pBdr>
      <w:rPr>
        <w:sz w:val="4"/>
        <w:szCs w:val="4"/>
      </w:rPr>
    </w:pPr>
  </w:p>
  <w:p w14:paraId="7532ADB4" w14:textId="77777777" w:rsidR="00704BB5" w:rsidRPr="008F2272" w:rsidRDefault="00704BB5" w:rsidP="00E878E0">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22AF" w14:textId="34EBE062" w:rsidR="00704BB5" w:rsidRDefault="00704BB5" w:rsidP="0073356E">
    <w:pPr>
      <w:tabs>
        <w:tab w:val="left" w:pos="11280"/>
      </w:tabs>
      <w:spacing w:after="0" w:line="240" w:lineRule="auto"/>
      <w:rPr>
        <w:noProof/>
      </w:rPr>
    </w:pPr>
    <w:r>
      <w:rPr>
        <w:noProof/>
      </w:rPr>
      <w:t>FansUnite Entertainment Inc.</w:t>
    </w:r>
  </w:p>
  <w:p w14:paraId="427CE2EC" w14:textId="5C511AD0" w:rsidR="00704BB5" w:rsidRDefault="00704BB5" w:rsidP="0073356E">
    <w:pPr>
      <w:pStyle w:val="Header"/>
    </w:pPr>
    <w:r>
      <w:t>Consolidated statements of changes in shareholders’ equity</w:t>
    </w:r>
  </w:p>
  <w:p w14:paraId="786788CA" w14:textId="3BE61446" w:rsidR="00704BB5" w:rsidRDefault="00704BB5" w:rsidP="0073356E">
    <w:pPr>
      <w:pStyle w:val="Header"/>
    </w:pPr>
    <w:r>
      <w:t>(Expressed in Canadian dollars)</w:t>
    </w:r>
  </w:p>
  <w:p w14:paraId="36F7A5DE" w14:textId="77777777" w:rsidR="00704BB5" w:rsidRPr="00DD63EB" w:rsidRDefault="00704BB5" w:rsidP="0073356E">
    <w:pPr>
      <w:pStyle w:val="Header"/>
      <w:pBdr>
        <w:bottom w:val="double" w:sz="4" w:space="1" w:color="auto"/>
      </w:pBdr>
      <w:rPr>
        <w:sz w:val="4"/>
        <w:szCs w:val="4"/>
      </w:rPr>
    </w:pPr>
  </w:p>
  <w:p w14:paraId="55A3127C" w14:textId="63C28810" w:rsidR="00704BB5" w:rsidRPr="00331AEB" w:rsidRDefault="00704BB5" w:rsidP="002B6B88">
    <w:pPr>
      <w:pStyle w:val="Header"/>
      <w:tabs>
        <w:tab w:val="left" w:pos="196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5FA9" w14:textId="2404BADA" w:rsidR="00704BB5" w:rsidRDefault="00704BB5" w:rsidP="0073356E">
    <w:pPr>
      <w:spacing w:after="0" w:line="240" w:lineRule="auto"/>
      <w:rPr>
        <w:noProof/>
      </w:rPr>
    </w:pPr>
    <w:r>
      <w:rPr>
        <w:noProof/>
      </w:rPr>
      <w:t xml:space="preserve">FansUnite Entertainement Inc. </w:t>
    </w:r>
    <w:r>
      <w:rPr>
        <w:noProof/>
      </w:rPr>
      <w:tab/>
    </w:r>
    <w:r>
      <w:rPr>
        <w:noProof/>
      </w:rPr>
      <w:tab/>
      <w:t xml:space="preserve">                   </w:t>
    </w:r>
  </w:p>
  <w:p w14:paraId="7166C32B" w14:textId="5AF0D188" w:rsidR="00704BB5" w:rsidRDefault="00704BB5" w:rsidP="0073356E">
    <w:pPr>
      <w:spacing w:after="0" w:line="240" w:lineRule="auto"/>
      <w:rPr>
        <w:noProof/>
      </w:rPr>
    </w:pPr>
    <w:r>
      <w:t>Consolidated statements of cash flows</w:t>
    </w:r>
  </w:p>
  <w:p w14:paraId="6BD071D5" w14:textId="3E1D7461" w:rsidR="00704BB5" w:rsidRDefault="00704BB5" w:rsidP="0073356E">
    <w:pPr>
      <w:pStyle w:val="Header"/>
    </w:pPr>
    <w:r>
      <w:t>(Expressed in Canadian dollars)</w:t>
    </w:r>
  </w:p>
  <w:p w14:paraId="36ABE1F4" w14:textId="77777777" w:rsidR="00704BB5" w:rsidRPr="00DD63EB" w:rsidRDefault="00704BB5" w:rsidP="0073356E">
    <w:pPr>
      <w:pStyle w:val="Header"/>
      <w:pBdr>
        <w:bottom w:val="double" w:sz="4" w:space="0" w:color="auto"/>
      </w:pBdr>
      <w:rPr>
        <w:sz w:val="4"/>
        <w:szCs w:val="4"/>
      </w:rPr>
    </w:pPr>
  </w:p>
  <w:p w14:paraId="7B0824EE" w14:textId="77777777" w:rsidR="00704BB5" w:rsidRPr="00331AEB" w:rsidRDefault="00704BB5" w:rsidP="006307A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E302" w14:textId="673B2A3B" w:rsidR="00704BB5" w:rsidRDefault="00704BB5" w:rsidP="008D11CC">
    <w:pPr>
      <w:pStyle w:val="Header"/>
      <w:rPr>
        <w:noProof/>
      </w:rPr>
    </w:pPr>
    <w:r w:rsidRPr="008D11CC">
      <w:t>FansUnite Entertainment Inc.</w:t>
    </w:r>
    <w:r>
      <w:rPr>
        <w:noProof/>
      </w:rPr>
      <w:tab/>
      <w:t xml:space="preserve">          </w:t>
    </w:r>
  </w:p>
  <w:p w14:paraId="42A326F8" w14:textId="3B44681A" w:rsidR="00704BB5" w:rsidRDefault="00704BB5" w:rsidP="000A119C">
    <w:pPr>
      <w:pStyle w:val="Header"/>
    </w:pPr>
    <w:r>
      <w:t>Notes to the consolidated financial statements</w:t>
    </w:r>
  </w:p>
  <w:p w14:paraId="375E6B5B" w14:textId="0CED1E51" w:rsidR="00704BB5" w:rsidRPr="00853D94" w:rsidRDefault="00704BB5" w:rsidP="00511E54">
    <w:pPr>
      <w:tabs>
        <w:tab w:val="left" w:pos="0"/>
        <w:tab w:val="left" w:pos="1968"/>
      </w:tabs>
      <w:autoSpaceDE w:val="0"/>
      <w:autoSpaceDN w:val="0"/>
      <w:adjustRightInd w:val="0"/>
      <w:spacing w:after="0" w:line="240" w:lineRule="auto"/>
      <w:rPr>
        <w:rFonts w:cs="Arial"/>
      </w:rPr>
    </w:pPr>
    <w:r w:rsidRPr="0091531E">
      <w:rPr>
        <w:rFonts w:cs="Arial"/>
      </w:rPr>
      <w:t xml:space="preserve">For the </w:t>
    </w:r>
    <w:r>
      <w:rPr>
        <w:rFonts w:cs="Arial"/>
      </w:rPr>
      <w:t>periods</w:t>
    </w:r>
    <w:r w:rsidRPr="0091531E">
      <w:rPr>
        <w:rFonts w:cs="Arial"/>
      </w:rPr>
      <w:t xml:space="preserve"> ended </w:t>
    </w:r>
    <w:r w:rsidR="00676050">
      <w:rPr>
        <w:rFonts w:cs="Arial"/>
      </w:rPr>
      <w:t>June 30</w:t>
    </w:r>
    <w:r>
      <w:rPr>
        <w:rFonts w:cs="Arial"/>
      </w:rPr>
      <w:t>, 2020 and 2019</w:t>
    </w:r>
  </w:p>
  <w:p w14:paraId="3C494A71" w14:textId="394B7624" w:rsidR="00704BB5" w:rsidRPr="00853D94" w:rsidRDefault="00704BB5" w:rsidP="008F2272">
    <w:pPr>
      <w:pBdr>
        <w:bottom w:val="double" w:sz="4" w:space="1" w:color="auto"/>
      </w:pBdr>
      <w:tabs>
        <w:tab w:val="left" w:pos="0"/>
      </w:tabs>
    </w:pPr>
    <w:r w:rsidRPr="00853D94">
      <w:rPr>
        <w:rFonts w:cs="Arial"/>
      </w:rPr>
      <w:t>(</w:t>
    </w:r>
    <w:r>
      <w:rPr>
        <w:rFonts w:cs="Arial"/>
      </w:rPr>
      <w:t>Expressed</w:t>
    </w:r>
    <w:r w:rsidRPr="00853D94">
      <w:rPr>
        <w:rFonts w:cs="Arial"/>
      </w:rPr>
      <w:t xml:space="preserve"> in Canadian dollars)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6B4DD48"/>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28F5DA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F013A6"/>
    <w:multiLevelType w:val="hybridMultilevel"/>
    <w:tmpl w:val="CC06A9AE"/>
    <w:lvl w:ilvl="0" w:tplc="E192532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A175C"/>
    <w:multiLevelType w:val="hybridMultilevel"/>
    <w:tmpl w:val="C40474DE"/>
    <w:lvl w:ilvl="0" w:tplc="8B36FFF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17890"/>
    <w:multiLevelType w:val="multilevel"/>
    <w:tmpl w:val="0832DE0C"/>
    <w:lvl w:ilvl="0">
      <w:start w:val="1"/>
      <w:numFmt w:val="decimal"/>
      <w:pStyle w:val="Par1"/>
      <w:lvlText w:val="%1"/>
      <w:lvlJc w:val="left"/>
      <w:pPr>
        <w:tabs>
          <w:tab w:val="num" w:pos="432"/>
        </w:tabs>
        <w:ind w:left="432" w:hanging="432"/>
      </w:pPr>
      <w:rPr>
        <w:rFonts w:cs="Times New Roman" w:hint="default"/>
      </w:rPr>
    </w:lvl>
    <w:lvl w:ilvl="1">
      <w:start w:val="1"/>
      <w:numFmt w:val="lowerLetter"/>
      <w:pStyle w:val="Par2"/>
      <w:lvlText w:val="%2)"/>
      <w:lvlJc w:val="left"/>
      <w:pPr>
        <w:tabs>
          <w:tab w:val="num" w:pos="972"/>
        </w:tabs>
        <w:ind w:left="972" w:hanging="432"/>
      </w:pPr>
      <w:rPr>
        <w:rFonts w:cs="Times New Roman" w:hint="default"/>
      </w:rPr>
    </w:lvl>
    <w:lvl w:ilvl="2">
      <w:start w:val="1"/>
      <w:numFmt w:val="lowerRoman"/>
      <w:pStyle w:val="Par3"/>
      <w:lvlText w:val="%3)"/>
      <w:lvlJc w:val="left"/>
      <w:pPr>
        <w:tabs>
          <w:tab w:val="num" w:pos="1296"/>
        </w:tabs>
        <w:ind w:left="1296" w:hanging="432"/>
      </w:pPr>
      <w:rPr>
        <w:rFonts w:cs="Times New Roman" w:hint="default"/>
      </w:rPr>
    </w:lvl>
    <w:lvl w:ilvl="3">
      <w:start w:val="1"/>
      <w:numFmt w:val="decimal"/>
      <w:lvlText w:val="(%4)"/>
      <w:lvlJc w:val="left"/>
      <w:pPr>
        <w:tabs>
          <w:tab w:val="num" w:pos="1872"/>
        </w:tabs>
        <w:ind w:left="1872" w:hanging="360"/>
      </w:pPr>
      <w:rPr>
        <w:rFonts w:cs="Times New Roman" w:hint="default"/>
        <w:b w:val="0"/>
        <w:i/>
        <w:sz w:val="16"/>
        <w:szCs w:val="16"/>
      </w:rPr>
    </w:lvl>
    <w:lvl w:ilvl="4">
      <w:start w:val="1"/>
      <w:numFmt w:val="lowerLetter"/>
      <w:lvlText w:val="(%5)"/>
      <w:lvlJc w:val="left"/>
      <w:pPr>
        <w:tabs>
          <w:tab w:val="num" w:pos="2232"/>
        </w:tabs>
        <w:ind w:left="2232" w:hanging="360"/>
      </w:pPr>
      <w:rPr>
        <w:rFonts w:cs="Times New Roman" w:hint="default"/>
      </w:rPr>
    </w:lvl>
    <w:lvl w:ilvl="5">
      <w:start w:val="1"/>
      <w:numFmt w:val="lowerRoman"/>
      <w:lvlText w:val="(%6)"/>
      <w:lvlJc w:val="left"/>
      <w:pPr>
        <w:tabs>
          <w:tab w:val="num" w:pos="2592"/>
        </w:tabs>
        <w:ind w:left="2592" w:hanging="360"/>
      </w:pPr>
      <w:rPr>
        <w:rFonts w:cs="Times New Roman" w:hint="default"/>
      </w:rPr>
    </w:lvl>
    <w:lvl w:ilvl="6">
      <w:start w:val="1"/>
      <w:numFmt w:val="decimal"/>
      <w:lvlText w:val="%7."/>
      <w:lvlJc w:val="left"/>
      <w:pPr>
        <w:tabs>
          <w:tab w:val="num" w:pos="2952"/>
        </w:tabs>
        <w:ind w:left="2952" w:hanging="360"/>
      </w:pPr>
      <w:rPr>
        <w:rFonts w:cs="Times New Roman" w:hint="default"/>
      </w:rPr>
    </w:lvl>
    <w:lvl w:ilvl="7">
      <w:start w:val="1"/>
      <w:numFmt w:val="lowerLetter"/>
      <w:lvlText w:val="%8."/>
      <w:lvlJc w:val="left"/>
      <w:pPr>
        <w:tabs>
          <w:tab w:val="num" w:pos="3312"/>
        </w:tabs>
        <w:ind w:left="3312" w:hanging="360"/>
      </w:pPr>
      <w:rPr>
        <w:rFonts w:cs="Times New Roman" w:hint="default"/>
      </w:rPr>
    </w:lvl>
    <w:lvl w:ilvl="8">
      <w:start w:val="1"/>
      <w:numFmt w:val="lowerRoman"/>
      <w:lvlText w:val="%9."/>
      <w:lvlJc w:val="left"/>
      <w:pPr>
        <w:tabs>
          <w:tab w:val="num" w:pos="3672"/>
        </w:tabs>
        <w:ind w:left="3672" w:hanging="360"/>
      </w:pPr>
      <w:rPr>
        <w:rFonts w:cs="Times New Roman" w:hint="default"/>
      </w:rPr>
    </w:lvl>
  </w:abstractNum>
  <w:abstractNum w:abstractNumId="5" w15:restartNumberingAfterBreak="0">
    <w:nsid w:val="3B8238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272F91"/>
    <w:multiLevelType w:val="hybridMultilevel"/>
    <w:tmpl w:val="3DB23D00"/>
    <w:lvl w:ilvl="0" w:tplc="6CC6844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5C7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A6"/>
    <w:rsid w:val="000008D9"/>
    <w:rsid w:val="00000AD1"/>
    <w:rsid w:val="00003CD3"/>
    <w:rsid w:val="00004999"/>
    <w:rsid w:val="00005538"/>
    <w:rsid w:val="0000676D"/>
    <w:rsid w:val="00006DA5"/>
    <w:rsid w:val="00006F92"/>
    <w:rsid w:val="00007429"/>
    <w:rsid w:val="00007FAB"/>
    <w:rsid w:val="00011072"/>
    <w:rsid w:val="000124B9"/>
    <w:rsid w:val="000138E7"/>
    <w:rsid w:val="000142F7"/>
    <w:rsid w:val="00014300"/>
    <w:rsid w:val="00014421"/>
    <w:rsid w:val="00015061"/>
    <w:rsid w:val="000164C9"/>
    <w:rsid w:val="00016962"/>
    <w:rsid w:val="00016AFE"/>
    <w:rsid w:val="00016E95"/>
    <w:rsid w:val="00017B92"/>
    <w:rsid w:val="00017C34"/>
    <w:rsid w:val="00017E23"/>
    <w:rsid w:val="00017EE6"/>
    <w:rsid w:val="00020826"/>
    <w:rsid w:val="00020C6F"/>
    <w:rsid w:val="00021FDE"/>
    <w:rsid w:val="000234AF"/>
    <w:rsid w:val="000235C5"/>
    <w:rsid w:val="000237BD"/>
    <w:rsid w:val="00023DD9"/>
    <w:rsid w:val="00024023"/>
    <w:rsid w:val="00024DCA"/>
    <w:rsid w:val="00025049"/>
    <w:rsid w:val="000255EB"/>
    <w:rsid w:val="00025AE0"/>
    <w:rsid w:val="00025EC9"/>
    <w:rsid w:val="0002750E"/>
    <w:rsid w:val="00027585"/>
    <w:rsid w:val="00027787"/>
    <w:rsid w:val="000310B0"/>
    <w:rsid w:val="00031FBA"/>
    <w:rsid w:val="00032238"/>
    <w:rsid w:val="00032803"/>
    <w:rsid w:val="00032B96"/>
    <w:rsid w:val="00032C4A"/>
    <w:rsid w:val="000339BA"/>
    <w:rsid w:val="00035944"/>
    <w:rsid w:val="00035AC3"/>
    <w:rsid w:val="00035AF5"/>
    <w:rsid w:val="00036124"/>
    <w:rsid w:val="00036604"/>
    <w:rsid w:val="000369A1"/>
    <w:rsid w:val="00037828"/>
    <w:rsid w:val="000400F4"/>
    <w:rsid w:val="00041B44"/>
    <w:rsid w:val="00041F6B"/>
    <w:rsid w:val="00042DC5"/>
    <w:rsid w:val="00042DFB"/>
    <w:rsid w:val="0004390A"/>
    <w:rsid w:val="00044E17"/>
    <w:rsid w:val="00046C84"/>
    <w:rsid w:val="0005020B"/>
    <w:rsid w:val="000502A7"/>
    <w:rsid w:val="00050325"/>
    <w:rsid w:val="00051403"/>
    <w:rsid w:val="00051768"/>
    <w:rsid w:val="000528C8"/>
    <w:rsid w:val="00053952"/>
    <w:rsid w:val="00054355"/>
    <w:rsid w:val="0006127A"/>
    <w:rsid w:val="00062654"/>
    <w:rsid w:val="00062EA3"/>
    <w:rsid w:val="0006319C"/>
    <w:rsid w:val="000635A8"/>
    <w:rsid w:val="00063F67"/>
    <w:rsid w:val="000640D5"/>
    <w:rsid w:val="00064778"/>
    <w:rsid w:val="00065759"/>
    <w:rsid w:val="00065926"/>
    <w:rsid w:val="00066176"/>
    <w:rsid w:val="00066F61"/>
    <w:rsid w:val="00066FD1"/>
    <w:rsid w:val="000675E8"/>
    <w:rsid w:val="00067957"/>
    <w:rsid w:val="000720B2"/>
    <w:rsid w:val="00073A38"/>
    <w:rsid w:val="00076A78"/>
    <w:rsid w:val="00076EA7"/>
    <w:rsid w:val="0007744C"/>
    <w:rsid w:val="00080566"/>
    <w:rsid w:val="0008157D"/>
    <w:rsid w:val="00081BEE"/>
    <w:rsid w:val="0008261A"/>
    <w:rsid w:val="000836A9"/>
    <w:rsid w:val="00083BE2"/>
    <w:rsid w:val="0008678E"/>
    <w:rsid w:val="00086C8F"/>
    <w:rsid w:val="00086DD7"/>
    <w:rsid w:val="00086F9B"/>
    <w:rsid w:val="00091027"/>
    <w:rsid w:val="000920D2"/>
    <w:rsid w:val="00092141"/>
    <w:rsid w:val="0009341A"/>
    <w:rsid w:val="00093C16"/>
    <w:rsid w:val="000943C7"/>
    <w:rsid w:val="000947A5"/>
    <w:rsid w:val="00094CC0"/>
    <w:rsid w:val="00097F97"/>
    <w:rsid w:val="000A0390"/>
    <w:rsid w:val="000A0AAF"/>
    <w:rsid w:val="000A0B3A"/>
    <w:rsid w:val="000A119C"/>
    <w:rsid w:val="000A145A"/>
    <w:rsid w:val="000A1E79"/>
    <w:rsid w:val="000A214A"/>
    <w:rsid w:val="000A32A5"/>
    <w:rsid w:val="000A35CA"/>
    <w:rsid w:val="000A404C"/>
    <w:rsid w:val="000A4E45"/>
    <w:rsid w:val="000A5103"/>
    <w:rsid w:val="000A63EF"/>
    <w:rsid w:val="000A6DE9"/>
    <w:rsid w:val="000A702D"/>
    <w:rsid w:val="000A777E"/>
    <w:rsid w:val="000B04BA"/>
    <w:rsid w:val="000B2564"/>
    <w:rsid w:val="000B42A0"/>
    <w:rsid w:val="000B5E1F"/>
    <w:rsid w:val="000B5E23"/>
    <w:rsid w:val="000B5EA6"/>
    <w:rsid w:val="000B64DC"/>
    <w:rsid w:val="000B678F"/>
    <w:rsid w:val="000B6DD3"/>
    <w:rsid w:val="000B6F74"/>
    <w:rsid w:val="000B721E"/>
    <w:rsid w:val="000B7823"/>
    <w:rsid w:val="000B7837"/>
    <w:rsid w:val="000C1152"/>
    <w:rsid w:val="000C3069"/>
    <w:rsid w:val="000C306F"/>
    <w:rsid w:val="000C4288"/>
    <w:rsid w:val="000C4D6C"/>
    <w:rsid w:val="000C513F"/>
    <w:rsid w:val="000C55F2"/>
    <w:rsid w:val="000C585E"/>
    <w:rsid w:val="000C62E5"/>
    <w:rsid w:val="000C640E"/>
    <w:rsid w:val="000D0602"/>
    <w:rsid w:val="000D20EC"/>
    <w:rsid w:val="000D300B"/>
    <w:rsid w:val="000D3A22"/>
    <w:rsid w:val="000D3C00"/>
    <w:rsid w:val="000D3EDB"/>
    <w:rsid w:val="000D4945"/>
    <w:rsid w:val="000D5714"/>
    <w:rsid w:val="000D60E8"/>
    <w:rsid w:val="000D6D1B"/>
    <w:rsid w:val="000D739E"/>
    <w:rsid w:val="000E1C84"/>
    <w:rsid w:val="000E1EF0"/>
    <w:rsid w:val="000E212D"/>
    <w:rsid w:val="000E21F8"/>
    <w:rsid w:val="000E3082"/>
    <w:rsid w:val="000E49F0"/>
    <w:rsid w:val="000E541B"/>
    <w:rsid w:val="000E5F19"/>
    <w:rsid w:val="000E5F1E"/>
    <w:rsid w:val="000E69A7"/>
    <w:rsid w:val="000E6A2B"/>
    <w:rsid w:val="000E6A80"/>
    <w:rsid w:val="000E6D7D"/>
    <w:rsid w:val="000F01CB"/>
    <w:rsid w:val="000F0B43"/>
    <w:rsid w:val="000F1E54"/>
    <w:rsid w:val="000F32AB"/>
    <w:rsid w:val="000F3483"/>
    <w:rsid w:val="000F39FB"/>
    <w:rsid w:val="000F422A"/>
    <w:rsid w:val="000F4F63"/>
    <w:rsid w:val="000F6063"/>
    <w:rsid w:val="001007A3"/>
    <w:rsid w:val="00101E40"/>
    <w:rsid w:val="00102573"/>
    <w:rsid w:val="001044FF"/>
    <w:rsid w:val="00105485"/>
    <w:rsid w:val="0010658B"/>
    <w:rsid w:val="001070F4"/>
    <w:rsid w:val="00107440"/>
    <w:rsid w:val="00107B2C"/>
    <w:rsid w:val="00107CED"/>
    <w:rsid w:val="0011032A"/>
    <w:rsid w:val="00110F6A"/>
    <w:rsid w:val="00111EE3"/>
    <w:rsid w:val="001126B0"/>
    <w:rsid w:val="00112ED8"/>
    <w:rsid w:val="00113E33"/>
    <w:rsid w:val="001146BE"/>
    <w:rsid w:val="00114B73"/>
    <w:rsid w:val="00116239"/>
    <w:rsid w:val="00116CDA"/>
    <w:rsid w:val="00116F6C"/>
    <w:rsid w:val="00117367"/>
    <w:rsid w:val="001179D9"/>
    <w:rsid w:val="00120207"/>
    <w:rsid w:val="00120D8A"/>
    <w:rsid w:val="001210BF"/>
    <w:rsid w:val="00121A56"/>
    <w:rsid w:val="0012330A"/>
    <w:rsid w:val="00123E8B"/>
    <w:rsid w:val="00125DDD"/>
    <w:rsid w:val="0012681B"/>
    <w:rsid w:val="001274F3"/>
    <w:rsid w:val="001304C2"/>
    <w:rsid w:val="0013056C"/>
    <w:rsid w:val="001325EA"/>
    <w:rsid w:val="00132AF3"/>
    <w:rsid w:val="00132DCC"/>
    <w:rsid w:val="001339F1"/>
    <w:rsid w:val="00133B3E"/>
    <w:rsid w:val="001340BF"/>
    <w:rsid w:val="00135EE9"/>
    <w:rsid w:val="00135F71"/>
    <w:rsid w:val="00136303"/>
    <w:rsid w:val="0013698D"/>
    <w:rsid w:val="00137891"/>
    <w:rsid w:val="00137FAA"/>
    <w:rsid w:val="001401F3"/>
    <w:rsid w:val="001416C2"/>
    <w:rsid w:val="00142443"/>
    <w:rsid w:val="001432CE"/>
    <w:rsid w:val="0014356D"/>
    <w:rsid w:val="00144429"/>
    <w:rsid w:val="00145101"/>
    <w:rsid w:val="00146630"/>
    <w:rsid w:val="001468B6"/>
    <w:rsid w:val="00146EE4"/>
    <w:rsid w:val="00147CA0"/>
    <w:rsid w:val="0015016F"/>
    <w:rsid w:val="001509FB"/>
    <w:rsid w:val="00150EB1"/>
    <w:rsid w:val="0015290F"/>
    <w:rsid w:val="00153F90"/>
    <w:rsid w:val="00154664"/>
    <w:rsid w:val="00154EE8"/>
    <w:rsid w:val="001615FC"/>
    <w:rsid w:val="00161633"/>
    <w:rsid w:val="00161B25"/>
    <w:rsid w:val="00162350"/>
    <w:rsid w:val="0016254D"/>
    <w:rsid w:val="001631CD"/>
    <w:rsid w:val="00164C0E"/>
    <w:rsid w:val="00165765"/>
    <w:rsid w:val="001658DA"/>
    <w:rsid w:val="0016671C"/>
    <w:rsid w:val="00167318"/>
    <w:rsid w:val="0017000D"/>
    <w:rsid w:val="00170030"/>
    <w:rsid w:val="00171077"/>
    <w:rsid w:val="001711EC"/>
    <w:rsid w:val="00171FF7"/>
    <w:rsid w:val="00173038"/>
    <w:rsid w:val="00173EF1"/>
    <w:rsid w:val="0017438E"/>
    <w:rsid w:val="00174BD8"/>
    <w:rsid w:val="00174F56"/>
    <w:rsid w:val="00175A88"/>
    <w:rsid w:val="00175A9D"/>
    <w:rsid w:val="00175E59"/>
    <w:rsid w:val="00176DDA"/>
    <w:rsid w:val="00177CE3"/>
    <w:rsid w:val="00180102"/>
    <w:rsid w:val="0018046D"/>
    <w:rsid w:val="0018195B"/>
    <w:rsid w:val="00184234"/>
    <w:rsid w:val="001844F3"/>
    <w:rsid w:val="00187109"/>
    <w:rsid w:val="0018746D"/>
    <w:rsid w:val="00187A06"/>
    <w:rsid w:val="00187A83"/>
    <w:rsid w:val="00187FC4"/>
    <w:rsid w:val="001909DF"/>
    <w:rsid w:val="00190A3D"/>
    <w:rsid w:val="00191779"/>
    <w:rsid w:val="00191EC4"/>
    <w:rsid w:val="00193D19"/>
    <w:rsid w:val="00193D1C"/>
    <w:rsid w:val="0019445C"/>
    <w:rsid w:val="0019550B"/>
    <w:rsid w:val="00197B3C"/>
    <w:rsid w:val="00197BF2"/>
    <w:rsid w:val="001A0B4B"/>
    <w:rsid w:val="001A2435"/>
    <w:rsid w:val="001A33A5"/>
    <w:rsid w:val="001A406E"/>
    <w:rsid w:val="001A443E"/>
    <w:rsid w:val="001A6319"/>
    <w:rsid w:val="001A7E9A"/>
    <w:rsid w:val="001B0755"/>
    <w:rsid w:val="001B08BB"/>
    <w:rsid w:val="001B094D"/>
    <w:rsid w:val="001B1BFE"/>
    <w:rsid w:val="001B1CA7"/>
    <w:rsid w:val="001B2F53"/>
    <w:rsid w:val="001B31E4"/>
    <w:rsid w:val="001B32B0"/>
    <w:rsid w:val="001B3A36"/>
    <w:rsid w:val="001B6E54"/>
    <w:rsid w:val="001B73AC"/>
    <w:rsid w:val="001B73D1"/>
    <w:rsid w:val="001B7DC4"/>
    <w:rsid w:val="001B7E90"/>
    <w:rsid w:val="001C08D2"/>
    <w:rsid w:val="001C0994"/>
    <w:rsid w:val="001C11C1"/>
    <w:rsid w:val="001C138E"/>
    <w:rsid w:val="001C1611"/>
    <w:rsid w:val="001C1C57"/>
    <w:rsid w:val="001C22E8"/>
    <w:rsid w:val="001C26F6"/>
    <w:rsid w:val="001C2A84"/>
    <w:rsid w:val="001C2C33"/>
    <w:rsid w:val="001C32C8"/>
    <w:rsid w:val="001C407A"/>
    <w:rsid w:val="001C45FD"/>
    <w:rsid w:val="001C4AF8"/>
    <w:rsid w:val="001C51A6"/>
    <w:rsid w:val="001C5E86"/>
    <w:rsid w:val="001C5F98"/>
    <w:rsid w:val="001C6357"/>
    <w:rsid w:val="001C7159"/>
    <w:rsid w:val="001C77B8"/>
    <w:rsid w:val="001C796B"/>
    <w:rsid w:val="001D07BB"/>
    <w:rsid w:val="001D16CD"/>
    <w:rsid w:val="001D2892"/>
    <w:rsid w:val="001D3E96"/>
    <w:rsid w:val="001D472B"/>
    <w:rsid w:val="001D6821"/>
    <w:rsid w:val="001D75A8"/>
    <w:rsid w:val="001E0317"/>
    <w:rsid w:val="001E092F"/>
    <w:rsid w:val="001E1834"/>
    <w:rsid w:val="001E2581"/>
    <w:rsid w:val="001E2848"/>
    <w:rsid w:val="001E45F8"/>
    <w:rsid w:val="001E48DD"/>
    <w:rsid w:val="001E4D4A"/>
    <w:rsid w:val="001E4F4E"/>
    <w:rsid w:val="001E6711"/>
    <w:rsid w:val="001E6EB4"/>
    <w:rsid w:val="001E7478"/>
    <w:rsid w:val="001E7CD5"/>
    <w:rsid w:val="001E7CFE"/>
    <w:rsid w:val="001F0487"/>
    <w:rsid w:val="001F21FD"/>
    <w:rsid w:val="001F299C"/>
    <w:rsid w:val="001F3916"/>
    <w:rsid w:val="001F397D"/>
    <w:rsid w:val="001F5135"/>
    <w:rsid w:val="001F6138"/>
    <w:rsid w:val="001F6692"/>
    <w:rsid w:val="001F75F5"/>
    <w:rsid w:val="001F7609"/>
    <w:rsid w:val="001F7C2E"/>
    <w:rsid w:val="001F7F62"/>
    <w:rsid w:val="00200FCA"/>
    <w:rsid w:val="002014F6"/>
    <w:rsid w:val="002026FB"/>
    <w:rsid w:val="00202703"/>
    <w:rsid w:val="00202B52"/>
    <w:rsid w:val="0020332D"/>
    <w:rsid w:val="00204F12"/>
    <w:rsid w:val="00204F75"/>
    <w:rsid w:val="002059AC"/>
    <w:rsid w:val="00205A92"/>
    <w:rsid w:val="00206A73"/>
    <w:rsid w:val="00206CBE"/>
    <w:rsid w:val="00207715"/>
    <w:rsid w:val="002078EE"/>
    <w:rsid w:val="00207B68"/>
    <w:rsid w:val="00211C64"/>
    <w:rsid w:val="00211E55"/>
    <w:rsid w:val="0021225E"/>
    <w:rsid w:val="00212533"/>
    <w:rsid w:val="00212CC6"/>
    <w:rsid w:val="00213C6F"/>
    <w:rsid w:val="00214A7C"/>
    <w:rsid w:val="00215F07"/>
    <w:rsid w:val="00216187"/>
    <w:rsid w:val="00216983"/>
    <w:rsid w:val="00220339"/>
    <w:rsid w:val="00220CB5"/>
    <w:rsid w:val="00221466"/>
    <w:rsid w:val="002218C3"/>
    <w:rsid w:val="002226A5"/>
    <w:rsid w:val="0022278E"/>
    <w:rsid w:val="0022393C"/>
    <w:rsid w:val="002245C7"/>
    <w:rsid w:val="00225974"/>
    <w:rsid w:val="00226398"/>
    <w:rsid w:val="0022647F"/>
    <w:rsid w:val="002268BE"/>
    <w:rsid w:val="0022788B"/>
    <w:rsid w:val="00227B43"/>
    <w:rsid w:val="00230078"/>
    <w:rsid w:val="0023049B"/>
    <w:rsid w:val="00231865"/>
    <w:rsid w:val="00231E50"/>
    <w:rsid w:val="00232590"/>
    <w:rsid w:val="00232D84"/>
    <w:rsid w:val="00233A14"/>
    <w:rsid w:val="00235152"/>
    <w:rsid w:val="00235C80"/>
    <w:rsid w:val="00235F44"/>
    <w:rsid w:val="002365F2"/>
    <w:rsid w:val="002367DF"/>
    <w:rsid w:val="00237878"/>
    <w:rsid w:val="002401B9"/>
    <w:rsid w:val="00240596"/>
    <w:rsid w:val="00240C9C"/>
    <w:rsid w:val="00240DD5"/>
    <w:rsid w:val="00241013"/>
    <w:rsid w:val="0024111C"/>
    <w:rsid w:val="00241CCD"/>
    <w:rsid w:val="00242152"/>
    <w:rsid w:val="002423CC"/>
    <w:rsid w:val="00242476"/>
    <w:rsid w:val="002428A4"/>
    <w:rsid w:val="002431F5"/>
    <w:rsid w:val="002432EC"/>
    <w:rsid w:val="0024335E"/>
    <w:rsid w:val="00243701"/>
    <w:rsid w:val="00243CEA"/>
    <w:rsid w:val="00243F36"/>
    <w:rsid w:val="00244275"/>
    <w:rsid w:val="00244E49"/>
    <w:rsid w:val="002451CD"/>
    <w:rsid w:val="00245363"/>
    <w:rsid w:val="00245471"/>
    <w:rsid w:val="00245551"/>
    <w:rsid w:val="002472A0"/>
    <w:rsid w:val="0024796B"/>
    <w:rsid w:val="00250567"/>
    <w:rsid w:val="00250B7F"/>
    <w:rsid w:val="00250CAA"/>
    <w:rsid w:val="002547A7"/>
    <w:rsid w:val="002547A8"/>
    <w:rsid w:val="002553FA"/>
    <w:rsid w:val="0025623F"/>
    <w:rsid w:val="00257664"/>
    <w:rsid w:val="002605A6"/>
    <w:rsid w:val="00261320"/>
    <w:rsid w:val="00261676"/>
    <w:rsid w:val="00261C7E"/>
    <w:rsid w:val="00262C8B"/>
    <w:rsid w:val="0026358B"/>
    <w:rsid w:val="00264562"/>
    <w:rsid w:val="00265515"/>
    <w:rsid w:val="00265CB1"/>
    <w:rsid w:val="002660FC"/>
    <w:rsid w:val="0026627D"/>
    <w:rsid w:val="002678F8"/>
    <w:rsid w:val="00267EB6"/>
    <w:rsid w:val="00270166"/>
    <w:rsid w:val="0027061A"/>
    <w:rsid w:val="00270BD9"/>
    <w:rsid w:val="002723A1"/>
    <w:rsid w:val="00273CAF"/>
    <w:rsid w:val="0027403F"/>
    <w:rsid w:val="00275058"/>
    <w:rsid w:val="0027552C"/>
    <w:rsid w:val="00277877"/>
    <w:rsid w:val="00277AC0"/>
    <w:rsid w:val="00277AEE"/>
    <w:rsid w:val="00280C8A"/>
    <w:rsid w:val="00281394"/>
    <w:rsid w:val="002822A2"/>
    <w:rsid w:val="00282976"/>
    <w:rsid w:val="00282DE1"/>
    <w:rsid w:val="0028313C"/>
    <w:rsid w:val="0028363D"/>
    <w:rsid w:val="00284D26"/>
    <w:rsid w:val="002869E4"/>
    <w:rsid w:val="00290995"/>
    <w:rsid w:val="0029109C"/>
    <w:rsid w:val="002913E9"/>
    <w:rsid w:val="00292848"/>
    <w:rsid w:val="002941F7"/>
    <w:rsid w:val="0029481C"/>
    <w:rsid w:val="00294BC0"/>
    <w:rsid w:val="00297076"/>
    <w:rsid w:val="00297392"/>
    <w:rsid w:val="00297434"/>
    <w:rsid w:val="00297B97"/>
    <w:rsid w:val="002A0C39"/>
    <w:rsid w:val="002A237C"/>
    <w:rsid w:val="002A3B30"/>
    <w:rsid w:val="002A44CA"/>
    <w:rsid w:val="002A450D"/>
    <w:rsid w:val="002A4EDE"/>
    <w:rsid w:val="002A6029"/>
    <w:rsid w:val="002A67B8"/>
    <w:rsid w:val="002A6F89"/>
    <w:rsid w:val="002A6FED"/>
    <w:rsid w:val="002A774E"/>
    <w:rsid w:val="002B0010"/>
    <w:rsid w:val="002B137E"/>
    <w:rsid w:val="002B2B32"/>
    <w:rsid w:val="002B2B62"/>
    <w:rsid w:val="002B2E6E"/>
    <w:rsid w:val="002B4C34"/>
    <w:rsid w:val="002B5620"/>
    <w:rsid w:val="002B5990"/>
    <w:rsid w:val="002B6108"/>
    <w:rsid w:val="002B6B88"/>
    <w:rsid w:val="002B731D"/>
    <w:rsid w:val="002C0017"/>
    <w:rsid w:val="002C0ED4"/>
    <w:rsid w:val="002C136C"/>
    <w:rsid w:val="002C14B4"/>
    <w:rsid w:val="002C14DC"/>
    <w:rsid w:val="002C156D"/>
    <w:rsid w:val="002C3433"/>
    <w:rsid w:val="002C47CA"/>
    <w:rsid w:val="002C4C6A"/>
    <w:rsid w:val="002C5AAC"/>
    <w:rsid w:val="002C6691"/>
    <w:rsid w:val="002D03FC"/>
    <w:rsid w:val="002D1372"/>
    <w:rsid w:val="002D1921"/>
    <w:rsid w:val="002D22CC"/>
    <w:rsid w:val="002D2996"/>
    <w:rsid w:val="002D2D7E"/>
    <w:rsid w:val="002D33F0"/>
    <w:rsid w:val="002D4AB3"/>
    <w:rsid w:val="002D544C"/>
    <w:rsid w:val="002D5F63"/>
    <w:rsid w:val="002D6B33"/>
    <w:rsid w:val="002D724D"/>
    <w:rsid w:val="002D7641"/>
    <w:rsid w:val="002E00CF"/>
    <w:rsid w:val="002E031B"/>
    <w:rsid w:val="002E066E"/>
    <w:rsid w:val="002E0A71"/>
    <w:rsid w:val="002E0F1C"/>
    <w:rsid w:val="002E16E1"/>
    <w:rsid w:val="002E2727"/>
    <w:rsid w:val="002E46B8"/>
    <w:rsid w:val="002E543F"/>
    <w:rsid w:val="002E5E38"/>
    <w:rsid w:val="002E6653"/>
    <w:rsid w:val="002E6AE4"/>
    <w:rsid w:val="002E7678"/>
    <w:rsid w:val="002F04AE"/>
    <w:rsid w:val="002F1337"/>
    <w:rsid w:val="002F1521"/>
    <w:rsid w:val="002F1780"/>
    <w:rsid w:val="002F1784"/>
    <w:rsid w:val="002F1C87"/>
    <w:rsid w:val="002F1D64"/>
    <w:rsid w:val="002F2508"/>
    <w:rsid w:val="002F2731"/>
    <w:rsid w:val="002F273A"/>
    <w:rsid w:val="002F30CF"/>
    <w:rsid w:val="002F4D59"/>
    <w:rsid w:val="002F5060"/>
    <w:rsid w:val="002F5A9E"/>
    <w:rsid w:val="002F5D90"/>
    <w:rsid w:val="002F5E06"/>
    <w:rsid w:val="002F6ED0"/>
    <w:rsid w:val="002F7385"/>
    <w:rsid w:val="002F7B24"/>
    <w:rsid w:val="00301BDA"/>
    <w:rsid w:val="00302DD1"/>
    <w:rsid w:val="0030343F"/>
    <w:rsid w:val="0030379B"/>
    <w:rsid w:val="00304A99"/>
    <w:rsid w:val="00304D3E"/>
    <w:rsid w:val="003069EC"/>
    <w:rsid w:val="00310856"/>
    <w:rsid w:val="00310EAF"/>
    <w:rsid w:val="00311CCA"/>
    <w:rsid w:val="00312591"/>
    <w:rsid w:val="0031268C"/>
    <w:rsid w:val="00312E92"/>
    <w:rsid w:val="0031317C"/>
    <w:rsid w:val="003144D4"/>
    <w:rsid w:val="003168F8"/>
    <w:rsid w:val="003175DA"/>
    <w:rsid w:val="0032008C"/>
    <w:rsid w:val="00320316"/>
    <w:rsid w:val="003210A1"/>
    <w:rsid w:val="003212DE"/>
    <w:rsid w:val="00322123"/>
    <w:rsid w:val="00322DF0"/>
    <w:rsid w:val="0032380C"/>
    <w:rsid w:val="0032468F"/>
    <w:rsid w:val="003251FD"/>
    <w:rsid w:val="003259E4"/>
    <w:rsid w:val="00325A41"/>
    <w:rsid w:val="00325B0A"/>
    <w:rsid w:val="0032641D"/>
    <w:rsid w:val="00326FD2"/>
    <w:rsid w:val="00327E51"/>
    <w:rsid w:val="00330750"/>
    <w:rsid w:val="00330EAD"/>
    <w:rsid w:val="00331782"/>
    <w:rsid w:val="00331AEB"/>
    <w:rsid w:val="00331E9F"/>
    <w:rsid w:val="0033209B"/>
    <w:rsid w:val="00334270"/>
    <w:rsid w:val="00334AA0"/>
    <w:rsid w:val="0033699D"/>
    <w:rsid w:val="003416FC"/>
    <w:rsid w:val="00341AE8"/>
    <w:rsid w:val="003429D3"/>
    <w:rsid w:val="00342A10"/>
    <w:rsid w:val="00342F14"/>
    <w:rsid w:val="003431F2"/>
    <w:rsid w:val="00343BFD"/>
    <w:rsid w:val="00343F6A"/>
    <w:rsid w:val="0034406B"/>
    <w:rsid w:val="00345621"/>
    <w:rsid w:val="00346699"/>
    <w:rsid w:val="00346977"/>
    <w:rsid w:val="003506F8"/>
    <w:rsid w:val="0035096E"/>
    <w:rsid w:val="0035097C"/>
    <w:rsid w:val="00352188"/>
    <w:rsid w:val="003526DB"/>
    <w:rsid w:val="00352BCE"/>
    <w:rsid w:val="00352E90"/>
    <w:rsid w:val="00353882"/>
    <w:rsid w:val="00353C66"/>
    <w:rsid w:val="003541FF"/>
    <w:rsid w:val="00354527"/>
    <w:rsid w:val="0035454F"/>
    <w:rsid w:val="00354959"/>
    <w:rsid w:val="00354988"/>
    <w:rsid w:val="00354AE5"/>
    <w:rsid w:val="00354B58"/>
    <w:rsid w:val="00355763"/>
    <w:rsid w:val="00355B1C"/>
    <w:rsid w:val="003560D0"/>
    <w:rsid w:val="0035616E"/>
    <w:rsid w:val="003561D4"/>
    <w:rsid w:val="00356CDC"/>
    <w:rsid w:val="00357874"/>
    <w:rsid w:val="00361906"/>
    <w:rsid w:val="00362343"/>
    <w:rsid w:val="00362DAF"/>
    <w:rsid w:val="00362E62"/>
    <w:rsid w:val="0036322B"/>
    <w:rsid w:val="0036352B"/>
    <w:rsid w:val="003645D2"/>
    <w:rsid w:val="003657E2"/>
    <w:rsid w:val="00366445"/>
    <w:rsid w:val="00366F7C"/>
    <w:rsid w:val="00367208"/>
    <w:rsid w:val="00367DC6"/>
    <w:rsid w:val="00370A13"/>
    <w:rsid w:val="00370D9A"/>
    <w:rsid w:val="00371F73"/>
    <w:rsid w:val="0037331D"/>
    <w:rsid w:val="00373E3F"/>
    <w:rsid w:val="003747FE"/>
    <w:rsid w:val="003753F2"/>
    <w:rsid w:val="00375A64"/>
    <w:rsid w:val="003762EC"/>
    <w:rsid w:val="00376592"/>
    <w:rsid w:val="003779C4"/>
    <w:rsid w:val="00377DD1"/>
    <w:rsid w:val="00380183"/>
    <w:rsid w:val="003815D5"/>
    <w:rsid w:val="00381BCB"/>
    <w:rsid w:val="0038335C"/>
    <w:rsid w:val="00385056"/>
    <w:rsid w:val="003856D2"/>
    <w:rsid w:val="00385B7C"/>
    <w:rsid w:val="00385EC3"/>
    <w:rsid w:val="003871CF"/>
    <w:rsid w:val="003900C6"/>
    <w:rsid w:val="003907AC"/>
    <w:rsid w:val="00390A51"/>
    <w:rsid w:val="00391225"/>
    <w:rsid w:val="00391B58"/>
    <w:rsid w:val="00391BAE"/>
    <w:rsid w:val="00391D86"/>
    <w:rsid w:val="00393216"/>
    <w:rsid w:val="00393AF7"/>
    <w:rsid w:val="00394071"/>
    <w:rsid w:val="00394D62"/>
    <w:rsid w:val="003955BF"/>
    <w:rsid w:val="00396278"/>
    <w:rsid w:val="00396867"/>
    <w:rsid w:val="00396E27"/>
    <w:rsid w:val="0039751B"/>
    <w:rsid w:val="003A0645"/>
    <w:rsid w:val="003A08CF"/>
    <w:rsid w:val="003A0DC2"/>
    <w:rsid w:val="003A115D"/>
    <w:rsid w:val="003A131A"/>
    <w:rsid w:val="003A176D"/>
    <w:rsid w:val="003A26D0"/>
    <w:rsid w:val="003A2C9E"/>
    <w:rsid w:val="003A44A5"/>
    <w:rsid w:val="003A4D16"/>
    <w:rsid w:val="003A53F6"/>
    <w:rsid w:val="003A5FD8"/>
    <w:rsid w:val="003A671E"/>
    <w:rsid w:val="003A6F40"/>
    <w:rsid w:val="003A7346"/>
    <w:rsid w:val="003A74F5"/>
    <w:rsid w:val="003B202E"/>
    <w:rsid w:val="003B23A0"/>
    <w:rsid w:val="003B24A1"/>
    <w:rsid w:val="003B2E1B"/>
    <w:rsid w:val="003B2E2D"/>
    <w:rsid w:val="003B2EA6"/>
    <w:rsid w:val="003B3155"/>
    <w:rsid w:val="003B4552"/>
    <w:rsid w:val="003B4E13"/>
    <w:rsid w:val="003B5136"/>
    <w:rsid w:val="003B63FC"/>
    <w:rsid w:val="003B7083"/>
    <w:rsid w:val="003B70EA"/>
    <w:rsid w:val="003B72B2"/>
    <w:rsid w:val="003B7317"/>
    <w:rsid w:val="003B7A10"/>
    <w:rsid w:val="003C00D4"/>
    <w:rsid w:val="003C04D2"/>
    <w:rsid w:val="003C13D5"/>
    <w:rsid w:val="003C159B"/>
    <w:rsid w:val="003C197E"/>
    <w:rsid w:val="003C1E27"/>
    <w:rsid w:val="003C2178"/>
    <w:rsid w:val="003C266F"/>
    <w:rsid w:val="003C27F3"/>
    <w:rsid w:val="003C2C57"/>
    <w:rsid w:val="003C3A1D"/>
    <w:rsid w:val="003C3BCB"/>
    <w:rsid w:val="003C3CB7"/>
    <w:rsid w:val="003C3E22"/>
    <w:rsid w:val="003C4703"/>
    <w:rsid w:val="003C5C84"/>
    <w:rsid w:val="003C5E42"/>
    <w:rsid w:val="003C6430"/>
    <w:rsid w:val="003C7430"/>
    <w:rsid w:val="003D0573"/>
    <w:rsid w:val="003D05FB"/>
    <w:rsid w:val="003D1399"/>
    <w:rsid w:val="003D1830"/>
    <w:rsid w:val="003D1F26"/>
    <w:rsid w:val="003D1F72"/>
    <w:rsid w:val="003D241E"/>
    <w:rsid w:val="003D26CE"/>
    <w:rsid w:val="003D32BA"/>
    <w:rsid w:val="003D3AF2"/>
    <w:rsid w:val="003D3B19"/>
    <w:rsid w:val="003D53F4"/>
    <w:rsid w:val="003D5575"/>
    <w:rsid w:val="003D5767"/>
    <w:rsid w:val="003D598B"/>
    <w:rsid w:val="003D5CBB"/>
    <w:rsid w:val="003D644D"/>
    <w:rsid w:val="003D6CBE"/>
    <w:rsid w:val="003E0157"/>
    <w:rsid w:val="003E0A21"/>
    <w:rsid w:val="003E1916"/>
    <w:rsid w:val="003E24B3"/>
    <w:rsid w:val="003E347D"/>
    <w:rsid w:val="003E41EB"/>
    <w:rsid w:val="003E4973"/>
    <w:rsid w:val="003E4E6F"/>
    <w:rsid w:val="003E5152"/>
    <w:rsid w:val="003E62D1"/>
    <w:rsid w:val="003E7773"/>
    <w:rsid w:val="003E7FC3"/>
    <w:rsid w:val="003F0A62"/>
    <w:rsid w:val="003F10D4"/>
    <w:rsid w:val="003F15FE"/>
    <w:rsid w:val="003F360C"/>
    <w:rsid w:val="003F389B"/>
    <w:rsid w:val="003F4145"/>
    <w:rsid w:val="003F443A"/>
    <w:rsid w:val="003F46CD"/>
    <w:rsid w:val="003F4C50"/>
    <w:rsid w:val="003F4F72"/>
    <w:rsid w:val="003F55D7"/>
    <w:rsid w:val="003F572D"/>
    <w:rsid w:val="003F5F86"/>
    <w:rsid w:val="003F6481"/>
    <w:rsid w:val="003F6762"/>
    <w:rsid w:val="003F6ABB"/>
    <w:rsid w:val="003F7380"/>
    <w:rsid w:val="003F74F8"/>
    <w:rsid w:val="003F7516"/>
    <w:rsid w:val="004008C9"/>
    <w:rsid w:val="00400A78"/>
    <w:rsid w:val="004023FF"/>
    <w:rsid w:val="00403235"/>
    <w:rsid w:val="0040402B"/>
    <w:rsid w:val="00404211"/>
    <w:rsid w:val="00404B75"/>
    <w:rsid w:val="00404F9C"/>
    <w:rsid w:val="00405D1A"/>
    <w:rsid w:val="00406261"/>
    <w:rsid w:val="00407D57"/>
    <w:rsid w:val="00410438"/>
    <w:rsid w:val="00411EE9"/>
    <w:rsid w:val="004123B6"/>
    <w:rsid w:val="0041245C"/>
    <w:rsid w:val="0041384E"/>
    <w:rsid w:val="00413EA2"/>
    <w:rsid w:val="004140AA"/>
    <w:rsid w:val="00414255"/>
    <w:rsid w:val="004146A5"/>
    <w:rsid w:val="00414FA8"/>
    <w:rsid w:val="00415DD4"/>
    <w:rsid w:val="00416067"/>
    <w:rsid w:val="00416646"/>
    <w:rsid w:val="004166BC"/>
    <w:rsid w:val="00416AB7"/>
    <w:rsid w:val="004175C3"/>
    <w:rsid w:val="0041781E"/>
    <w:rsid w:val="004201D1"/>
    <w:rsid w:val="004207D5"/>
    <w:rsid w:val="0042088D"/>
    <w:rsid w:val="00420E00"/>
    <w:rsid w:val="004228A7"/>
    <w:rsid w:val="00422B14"/>
    <w:rsid w:val="004231BC"/>
    <w:rsid w:val="0042347D"/>
    <w:rsid w:val="00424570"/>
    <w:rsid w:val="004245CE"/>
    <w:rsid w:val="00424FEB"/>
    <w:rsid w:val="00426071"/>
    <w:rsid w:val="00426265"/>
    <w:rsid w:val="004266AB"/>
    <w:rsid w:val="0042688C"/>
    <w:rsid w:val="004275B9"/>
    <w:rsid w:val="00431695"/>
    <w:rsid w:val="0043183C"/>
    <w:rsid w:val="004329E6"/>
    <w:rsid w:val="00432C60"/>
    <w:rsid w:val="00433FDA"/>
    <w:rsid w:val="004356A9"/>
    <w:rsid w:val="004363A7"/>
    <w:rsid w:val="00436769"/>
    <w:rsid w:val="00436F92"/>
    <w:rsid w:val="004370F9"/>
    <w:rsid w:val="00437623"/>
    <w:rsid w:val="00441353"/>
    <w:rsid w:val="00441820"/>
    <w:rsid w:val="00441A9E"/>
    <w:rsid w:val="00441B99"/>
    <w:rsid w:val="0044259E"/>
    <w:rsid w:val="0044379B"/>
    <w:rsid w:val="004437AF"/>
    <w:rsid w:val="004448F3"/>
    <w:rsid w:val="00444BE2"/>
    <w:rsid w:val="00444ECA"/>
    <w:rsid w:val="004452A2"/>
    <w:rsid w:val="00446A99"/>
    <w:rsid w:val="00446B33"/>
    <w:rsid w:val="00447091"/>
    <w:rsid w:val="004471DA"/>
    <w:rsid w:val="00447611"/>
    <w:rsid w:val="00447BD1"/>
    <w:rsid w:val="0045006D"/>
    <w:rsid w:val="0045271C"/>
    <w:rsid w:val="00453357"/>
    <w:rsid w:val="004533A6"/>
    <w:rsid w:val="00453C04"/>
    <w:rsid w:val="00454195"/>
    <w:rsid w:val="0045440F"/>
    <w:rsid w:val="00454FC3"/>
    <w:rsid w:val="00456936"/>
    <w:rsid w:val="0045694E"/>
    <w:rsid w:val="004614F5"/>
    <w:rsid w:val="00461CF2"/>
    <w:rsid w:val="00462221"/>
    <w:rsid w:val="004623E5"/>
    <w:rsid w:val="004626AA"/>
    <w:rsid w:val="004627A9"/>
    <w:rsid w:val="00463887"/>
    <w:rsid w:val="00463C29"/>
    <w:rsid w:val="0046525E"/>
    <w:rsid w:val="004660C0"/>
    <w:rsid w:val="00466407"/>
    <w:rsid w:val="0046640A"/>
    <w:rsid w:val="00466C89"/>
    <w:rsid w:val="00470DDF"/>
    <w:rsid w:val="004715BB"/>
    <w:rsid w:val="004715E6"/>
    <w:rsid w:val="00471EDC"/>
    <w:rsid w:val="00472F3D"/>
    <w:rsid w:val="004731DC"/>
    <w:rsid w:val="00474110"/>
    <w:rsid w:val="0047415D"/>
    <w:rsid w:val="0047468A"/>
    <w:rsid w:val="00475398"/>
    <w:rsid w:val="0047590F"/>
    <w:rsid w:val="004761C1"/>
    <w:rsid w:val="00476652"/>
    <w:rsid w:val="00477845"/>
    <w:rsid w:val="004802A7"/>
    <w:rsid w:val="004807E8"/>
    <w:rsid w:val="0048099A"/>
    <w:rsid w:val="00481042"/>
    <w:rsid w:val="00481536"/>
    <w:rsid w:val="00481657"/>
    <w:rsid w:val="00482846"/>
    <w:rsid w:val="00483AC8"/>
    <w:rsid w:val="00483C7A"/>
    <w:rsid w:val="00484C2B"/>
    <w:rsid w:val="004852B6"/>
    <w:rsid w:val="00485C0E"/>
    <w:rsid w:val="004870CB"/>
    <w:rsid w:val="00487460"/>
    <w:rsid w:val="004912B0"/>
    <w:rsid w:val="00491D15"/>
    <w:rsid w:val="00492C28"/>
    <w:rsid w:val="00494AC0"/>
    <w:rsid w:val="00495593"/>
    <w:rsid w:val="00495F66"/>
    <w:rsid w:val="004961DF"/>
    <w:rsid w:val="00496282"/>
    <w:rsid w:val="004962CB"/>
    <w:rsid w:val="00497311"/>
    <w:rsid w:val="004A03C1"/>
    <w:rsid w:val="004A11AF"/>
    <w:rsid w:val="004A1230"/>
    <w:rsid w:val="004A12DC"/>
    <w:rsid w:val="004A16D1"/>
    <w:rsid w:val="004A1D05"/>
    <w:rsid w:val="004A2C97"/>
    <w:rsid w:val="004A2DB3"/>
    <w:rsid w:val="004A2EF0"/>
    <w:rsid w:val="004A33A1"/>
    <w:rsid w:val="004A35BA"/>
    <w:rsid w:val="004A35E3"/>
    <w:rsid w:val="004A394F"/>
    <w:rsid w:val="004A6361"/>
    <w:rsid w:val="004A63DC"/>
    <w:rsid w:val="004A66F6"/>
    <w:rsid w:val="004A6851"/>
    <w:rsid w:val="004A6E86"/>
    <w:rsid w:val="004A740E"/>
    <w:rsid w:val="004B00C0"/>
    <w:rsid w:val="004B0DF3"/>
    <w:rsid w:val="004B0EA6"/>
    <w:rsid w:val="004B1912"/>
    <w:rsid w:val="004B1A8B"/>
    <w:rsid w:val="004B1E7F"/>
    <w:rsid w:val="004B2DCF"/>
    <w:rsid w:val="004B3DBD"/>
    <w:rsid w:val="004B499A"/>
    <w:rsid w:val="004B5FFF"/>
    <w:rsid w:val="004B79BD"/>
    <w:rsid w:val="004C10FC"/>
    <w:rsid w:val="004C1B08"/>
    <w:rsid w:val="004C25F3"/>
    <w:rsid w:val="004C3687"/>
    <w:rsid w:val="004C378C"/>
    <w:rsid w:val="004C3E56"/>
    <w:rsid w:val="004C44DB"/>
    <w:rsid w:val="004C459E"/>
    <w:rsid w:val="004C4A08"/>
    <w:rsid w:val="004C4C8A"/>
    <w:rsid w:val="004C5DAF"/>
    <w:rsid w:val="004C6363"/>
    <w:rsid w:val="004C6997"/>
    <w:rsid w:val="004D0BA2"/>
    <w:rsid w:val="004D0FC9"/>
    <w:rsid w:val="004D236E"/>
    <w:rsid w:val="004D24C7"/>
    <w:rsid w:val="004D2CE6"/>
    <w:rsid w:val="004D2D63"/>
    <w:rsid w:val="004D3773"/>
    <w:rsid w:val="004D3BC4"/>
    <w:rsid w:val="004D4A26"/>
    <w:rsid w:val="004D4C9F"/>
    <w:rsid w:val="004D5381"/>
    <w:rsid w:val="004D5F5B"/>
    <w:rsid w:val="004D726D"/>
    <w:rsid w:val="004E22A1"/>
    <w:rsid w:val="004E3B52"/>
    <w:rsid w:val="004E4369"/>
    <w:rsid w:val="004E4552"/>
    <w:rsid w:val="004E5261"/>
    <w:rsid w:val="004E7424"/>
    <w:rsid w:val="004E7CAF"/>
    <w:rsid w:val="004F1046"/>
    <w:rsid w:val="004F1169"/>
    <w:rsid w:val="004F157D"/>
    <w:rsid w:val="004F15F5"/>
    <w:rsid w:val="004F19B9"/>
    <w:rsid w:val="004F1DFB"/>
    <w:rsid w:val="004F4985"/>
    <w:rsid w:val="004F5FE6"/>
    <w:rsid w:val="004F67F4"/>
    <w:rsid w:val="004F6B67"/>
    <w:rsid w:val="004F72D7"/>
    <w:rsid w:val="004F7315"/>
    <w:rsid w:val="004F7460"/>
    <w:rsid w:val="00500333"/>
    <w:rsid w:val="00500B9A"/>
    <w:rsid w:val="00502E20"/>
    <w:rsid w:val="0050359C"/>
    <w:rsid w:val="00503B30"/>
    <w:rsid w:val="00503B69"/>
    <w:rsid w:val="00503CD9"/>
    <w:rsid w:val="0050468B"/>
    <w:rsid w:val="005046B4"/>
    <w:rsid w:val="00504FE8"/>
    <w:rsid w:val="00505D7C"/>
    <w:rsid w:val="005063DD"/>
    <w:rsid w:val="005066F4"/>
    <w:rsid w:val="005068D8"/>
    <w:rsid w:val="00506A77"/>
    <w:rsid w:val="00506AEA"/>
    <w:rsid w:val="0051155A"/>
    <w:rsid w:val="00511D4E"/>
    <w:rsid w:val="00511E54"/>
    <w:rsid w:val="005125A8"/>
    <w:rsid w:val="005127FE"/>
    <w:rsid w:val="005130DB"/>
    <w:rsid w:val="00513108"/>
    <w:rsid w:val="00513C1E"/>
    <w:rsid w:val="0051553A"/>
    <w:rsid w:val="0051558A"/>
    <w:rsid w:val="00515B10"/>
    <w:rsid w:val="0051603E"/>
    <w:rsid w:val="00516B88"/>
    <w:rsid w:val="00516BAC"/>
    <w:rsid w:val="00516E17"/>
    <w:rsid w:val="00520670"/>
    <w:rsid w:val="005206DD"/>
    <w:rsid w:val="00520B12"/>
    <w:rsid w:val="00520CE2"/>
    <w:rsid w:val="00521634"/>
    <w:rsid w:val="00521688"/>
    <w:rsid w:val="00521CF2"/>
    <w:rsid w:val="00521DFE"/>
    <w:rsid w:val="00522367"/>
    <w:rsid w:val="00522E50"/>
    <w:rsid w:val="00523039"/>
    <w:rsid w:val="005236EF"/>
    <w:rsid w:val="00524660"/>
    <w:rsid w:val="00524EBD"/>
    <w:rsid w:val="005253B2"/>
    <w:rsid w:val="00525841"/>
    <w:rsid w:val="0052671D"/>
    <w:rsid w:val="00526C92"/>
    <w:rsid w:val="00527843"/>
    <w:rsid w:val="00527D29"/>
    <w:rsid w:val="00530DDC"/>
    <w:rsid w:val="00531508"/>
    <w:rsid w:val="005326D8"/>
    <w:rsid w:val="00532738"/>
    <w:rsid w:val="00532D41"/>
    <w:rsid w:val="00533062"/>
    <w:rsid w:val="00533402"/>
    <w:rsid w:val="005361A5"/>
    <w:rsid w:val="0054052E"/>
    <w:rsid w:val="00540761"/>
    <w:rsid w:val="0054190F"/>
    <w:rsid w:val="00541B99"/>
    <w:rsid w:val="0054280D"/>
    <w:rsid w:val="00544A3E"/>
    <w:rsid w:val="00544A46"/>
    <w:rsid w:val="00544F3C"/>
    <w:rsid w:val="00544F5D"/>
    <w:rsid w:val="00545A68"/>
    <w:rsid w:val="00545EFA"/>
    <w:rsid w:val="005463A5"/>
    <w:rsid w:val="005467E3"/>
    <w:rsid w:val="005518F5"/>
    <w:rsid w:val="00552204"/>
    <w:rsid w:val="00552E94"/>
    <w:rsid w:val="005535EE"/>
    <w:rsid w:val="00553B1A"/>
    <w:rsid w:val="00553CD9"/>
    <w:rsid w:val="00554235"/>
    <w:rsid w:val="0055449E"/>
    <w:rsid w:val="00554747"/>
    <w:rsid w:val="00554A22"/>
    <w:rsid w:val="005550A1"/>
    <w:rsid w:val="00555535"/>
    <w:rsid w:val="00555BC1"/>
    <w:rsid w:val="005560F4"/>
    <w:rsid w:val="00556F25"/>
    <w:rsid w:val="0055711B"/>
    <w:rsid w:val="00557B20"/>
    <w:rsid w:val="00557B53"/>
    <w:rsid w:val="00557FF0"/>
    <w:rsid w:val="00560E06"/>
    <w:rsid w:val="00560E9B"/>
    <w:rsid w:val="0056288C"/>
    <w:rsid w:val="00562909"/>
    <w:rsid w:val="005633C8"/>
    <w:rsid w:val="005643BF"/>
    <w:rsid w:val="005643DA"/>
    <w:rsid w:val="005644C8"/>
    <w:rsid w:val="00564DA5"/>
    <w:rsid w:val="00565EFA"/>
    <w:rsid w:val="00566979"/>
    <w:rsid w:val="0057040E"/>
    <w:rsid w:val="00570A01"/>
    <w:rsid w:val="0057109A"/>
    <w:rsid w:val="005711FA"/>
    <w:rsid w:val="00571DE8"/>
    <w:rsid w:val="00572434"/>
    <w:rsid w:val="005724CE"/>
    <w:rsid w:val="00572540"/>
    <w:rsid w:val="00573963"/>
    <w:rsid w:val="005743E6"/>
    <w:rsid w:val="00574811"/>
    <w:rsid w:val="00575970"/>
    <w:rsid w:val="00576B69"/>
    <w:rsid w:val="005774A1"/>
    <w:rsid w:val="00577EC2"/>
    <w:rsid w:val="00581D1F"/>
    <w:rsid w:val="005820FE"/>
    <w:rsid w:val="00582939"/>
    <w:rsid w:val="005829A6"/>
    <w:rsid w:val="00582BB1"/>
    <w:rsid w:val="005831CD"/>
    <w:rsid w:val="005836D7"/>
    <w:rsid w:val="00585458"/>
    <w:rsid w:val="00586306"/>
    <w:rsid w:val="00586791"/>
    <w:rsid w:val="00586BDC"/>
    <w:rsid w:val="00587618"/>
    <w:rsid w:val="00591CD6"/>
    <w:rsid w:val="00593183"/>
    <w:rsid w:val="005932A2"/>
    <w:rsid w:val="005932E1"/>
    <w:rsid w:val="00594436"/>
    <w:rsid w:val="00594825"/>
    <w:rsid w:val="00595DB7"/>
    <w:rsid w:val="00596145"/>
    <w:rsid w:val="005970D1"/>
    <w:rsid w:val="005973CB"/>
    <w:rsid w:val="00597454"/>
    <w:rsid w:val="005A01A6"/>
    <w:rsid w:val="005A0289"/>
    <w:rsid w:val="005A2770"/>
    <w:rsid w:val="005A2C19"/>
    <w:rsid w:val="005A5EFA"/>
    <w:rsid w:val="005A761E"/>
    <w:rsid w:val="005B059C"/>
    <w:rsid w:val="005B06E6"/>
    <w:rsid w:val="005B0891"/>
    <w:rsid w:val="005B11F1"/>
    <w:rsid w:val="005B19AB"/>
    <w:rsid w:val="005B1DDA"/>
    <w:rsid w:val="005B2662"/>
    <w:rsid w:val="005B27BA"/>
    <w:rsid w:val="005B3B03"/>
    <w:rsid w:val="005B5575"/>
    <w:rsid w:val="005B580C"/>
    <w:rsid w:val="005B5FF0"/>
    <w:rsid w:val="005B7D2A"/>
    <w:rsid w:val="005C0622"/>
    <w:rsid w:val="005C0FE7"/>
    <w:rsid w:val="005C10F0"/>
    <w:rsid w:val="005C1B92"/>
    <w:rsid w:val="005C2B8E"/>
    <w:rsid w:val="005C31D1"/>
    <w:rsid w:val="005C3DC0"/>
    <w:rsid w:val="005C5674"/>
    <w:rsid w:val="005C592C"/>
    <w:rsid w:val="005C7775"/>
    <w:rsid w:val="005D0580"/>
    <w:rsid w:val="005D0DA2"/>
    <w:rsid w:val="005D0F10"/>
    <w:rsid w:val="005D19B6"/>
    <w:rsid w:val="005D2E79"/>
    <w:rsid w:val="005D5594"/>
    <w:rsid w:val="005D63D2"/>
    <w:rsid w:val="005D76C9"/>
    <w:rsid w:val="005D7B85"/>
    <w:rsid w:val="005E0509"/>
    <w:rsid w:val="005E1953"/>
    <w:rsid w:val="005E23B2"/>
    <w:rsid w:val="005E3C03"/>
    <w:rsid w:val="005E4823"/>
    <w:rsid w:val="005E540B"/>
    <w:rsid w:val="005E5572"/>
    <w:rsid w:val="005E5A3F"/>
    <w:rsid w:val="005E7046"/>
    <w:rsid w:val="005E77E1"/>
    <w:rsid w:val="005F0168"/>
    <w:rsid w:val="005F0931"/>
    <w:rsid w:val="005F0994"/>
    <w:rsid w:val="005F0BB8"/>
    <w:rsid w:val="005F354B"/>
    <w:rsid w:val="005F455D"/>
    <w:rsid w:val="005F4EA1"/>
    <w:rsid w:val="005F5E5F"/>
    <w:rsid w:val="005F5F27"/>
    <w:rsid w:val="005F6958"/>
    <w:rsid w:val="005F789D"/>
    <w:rsid w:val="006015F8"/>
    <w:rsid w:val="00601775"/>
    <w:rsid w:val="006019F3"/>
    <w:rsid w:val="00601A35"/>
    <w:rsid w:val="00601B2E"/>
    <w:rsid w:val="00601B31"/>
    <w:rsid w:val="00602A9B"/>
    <w:rsid w:val="00602E69"/>
    <w:rsid w:val="00603485"/>
    <w:rsid w:val="00603BFB"/>
    <w:rsid w:val="00605647"/>
    <w:rsid w:val="00607825"/>
    <w:rsid w:val="00611AA5"/>
    <w:rsid w:val="006125E2"/>
    <w:rsid w:val="00613136"/>
    <w:rsid w:val="00613997"/>
    <w:rsid w:val="006172FD"/>
    <w:rsid w:val="006202BD"/>
    <w:rsid w:val="00621901"/>
    <w:rsid w:val="006224C8"/>
    <w:rsid w:val="006225F0"/>
    <w:rsid w:val="006226D6"/>
    <w:rsid w:val="0062354C"/>
    <w:rsid w:val="0062369F"/>
    <w:rsid w:val="00624075"/>
    <w:rsid w:val="00624E55"/>
    <w:rsid w:val="00627010"/>
    <w:rsid w:val="006272FD"/>
    <w:rsid w:val="006273C4"/>
    <w:rsid w:val="0062756E"/>
    <w:rsid w:val="006302BD"/>
    <w:rsid w:val="006307AE"/>
    <w:rsid w:val="006309C2"/>
    <w:rsid w:val="00630FCD"/>
    <w:rsid w:val="00632597"/>
    <w:rsid w:val="0063408E"/>
    <w:rsid w:val="006346F7"/>
    <w:rsid w:val="0063504C"/>
    <w:rsid w:val="00636492"/>
    <w:rsid w:val="00637840"/>
    <w:rsid w:val="00637CC2"/>
    <w:rsid w:val="006401BC"/>
    <w:rsid w:val="00640C7C"/>
    <w:rsid w:val="00640F9F"/>
    <w:rsid w:val="006411F1"/>
    <w:rsid w:val="00644421"/>
    <w:rsid w:val="006451C3"/>
    <w:rsid w:val="00645767"/>
    <w:rsid w:val="00645DF4"/>
    <w:rsid w:val="0065048C"/>
    <w:rsid w:val="00650D53"/>
    <w:rsid w:val="00651383"/>
    <w:rsid w:val="00651AD2"/>
    <w:rsid w:val="00651D1D"/>
    <w:rsid w:val="00652585"/>
    <w:rsid w:val="00653620"/>
    <w:rsid w:val="00653F57"/>
    <w:rsid w:val="006546D7"/>
    <w:rsid w:val="00654C3C"/>
    <w:rsid w:val="00655983"/>
    <w:rsid w:val="00655B69"/>
    <w:rsid w:val="0065621D"/>
    <w:rsid w:val="006565BA"/>
    <w:rsid w:val="00657508"/>
    <w:rsid w:val="006600CA"/>
    <w:rsid w:val="006600F2"/>
    <w:rsid w:val="00660BD4"/>
    <w:rsid w:val="006620EB"/>
    <w:rsid w:val="00664435"/>
    <w:rsid w:val="00664CA7"/>
    <w:rsid w:val="006654C3"/>
    <w:rsid w:val="006655F7"/>
    <w:rsid w:val="00665767"/>
    <w:rsid w:val="00667386"/>
    <w:rsid w:val="006679EE"/>
    <w:rsid w:val="00667C9B"/>
    <w:rsid w:val="00667CB4"/>
    <w:rsid w:val="0067043C"/>
    <w:rsid w:val="00670D31"/>
    <w:rsid w:val="006714D4"/>
    <w:rsid w:val="00672086"/>
    <w:rsid w:val="00673703"/>
    <w:rsid w:val="00673B73"/>
    <w:rsid w:val="00674392"/>
    <w:rsid w:val="00674A98"/>
    <w:rsid w:val="006752D0"/>
    <w:rsid w:val="006757AD"/>
    <w:rsid w:val="00676050"/>
    <w:rsid w:val="00677C9D"/>
    <w:rsid w:val="00677CDC"/>
    <w:rsid w:val="00677F8F"/>
    <w:rsid w:val="0068007D"/>
    <w:rsid w:val="006807FF"/>
    <w:rsid w:val="00680C98"/>
    <w:rsid w:val="00681930"/>
    <w:rsid w:val="00682569"/>
    <w:rsid w:val="00682C71"/>
    <w:rsid w:val="00682D1B"/>
    <w:rsid w:val="006835BA"/>
    <w:rsid w:val="00683A6B"/>
    <w:rsid w:val="00683D43"/>
    <w:rsid w:val="00686BE3"/>
    <w:rsid w:val="00691526"/>
    <w:rsid w:val="006925A7"/>
    <w:rsid w:val="00692822"/>
    <w:rsid w:val="006930EA"/>
    <w:rsid w:val="0069318F"/>
    <w:rsid w:val="0069370A"/>
    <w:rsid w:val="00693892"/>
    <w:rsid w:val="00694161"/>
    <w:rsid w:val="0069436B"/>
    <w:rsid w:val="00694C74"/>
    <w:rsid w:val="00695AC6"/>
    <w:rsid w:val="00696C15"/>
    <w:rsid w:val="00697EDA"/>
    <w:rsid w:val="006A01D2"/>
    <w:rsid w:val="006A0307"/>
    <w:rsid w:val="006A1B87"/>
    <w:rsid w:val="006A204E"/>
    <w:rsid w:val="006A2933"/>
    <w:rsid w:val="006A37EF"/>
    <w:rsid w:val="006A3899"/>
    <w:rsid w:val="006A4317"/>
    <w:rsid w:val="006A546E"/>
    <w:rsid w:val="006A610F"/>
    <w:rsid w:val="006A6993"/>
    <w:rsid w:val="006A7993"/>
    <w:rsid w:val="006A7DAF"/>
    <w:rsid w:val="006B00B8"/>
    <w:rsid w:val="006B02E0"/>
    <w:rsid w:val="006B031B"/>
    <w:rsid w:val="006B0526"/>
    <w:rsid w:val="006B0CEC"/>
    <w:rsid w:val="006B0E4B"/>
    <w:rsid w:val="006B2653"/>
    <w:rsid w:val="006B396C"/>
    <w:rsid w:val="006B4963"/>
    <w:rsid w:val="006B4CD3"/>
    <w:rsid w:val="006B7B63"/>
    <w:rsid w:val="006C0CFF"/>
    <w:rsid w:val="006C13F5"/>
    <w:rsid w:val="006C1C7A"/>
    <w:rsid w:val="006C1FD7"/>
    <w:rsid w:val="006C4560"/>
    <w:rsid w:val="006C4FE1"/>
    <w:rsid w:val="006C63A1"/>
    <w:rsid w:val="006C66A8"/>
    <w:rsid w:val="006C6F9F"/>
    <w:rsid w:val="006C7DA0"/>
    <w:rsid w:val="006D058D"/>
    <w:rsid w:val="006D09B6"/>
    <w:rsid w:val="006D27F4"/>
    <w:rsid w:val="006D288E"/>
    <w:rsid w:val="006D35F4"/>
    <w:rsid w:val="006D38C7"/>
    <w:rsid w:val="006D3F50"/>
    <w:rsid w:val="006D43A0"/>
    <w:rsid w:val="006D464F"/>
    <w:rsid w:val="006D472C"/>
    <w:rsid w:val="006D529D"/>
    <w:rsid w:val="006D55AC"/>
    <w:rsid w:val="006D5C27"/>
    <w:rsid w:val="006D6639"/>
    <w:rsid w:val="006D72CB"/>
    <w:rsid w:val="006D7D6E"/>
    <w:rsid w:val="006E144A"/>
    <w:rsid w:val="006E17B2"/>
    <w:rsid w:val="006E2402"/>
    <w:rsid w:val="006E278E"/>
    <w:rsid w:val="006E3527"/>
    <w:rsid w:val="006E3629"/>
    <w:rsid w:val="006E3F98"/>
    <w:rsid w:val="006E4169"/>
    <w:rsid w:val="006E4309"/>
    <w:rsid w:val="006E4A62"/>
    <w:rsid w:val="006E512A"/>
    <w:rsid w:val="006E635F"/>
    <w:rsid w:val="006E6ACE"/>
    <w:rsid w:val="006E75FC"/>
    <w:rsid w:val="006E7B83"/>
    <w:rsid w:val="006F11E6"/>
    <w:rsid w:val="006F21D3"/>
    <w:rsid w:val="006F2551"/>
    <w:rsid w:val="006F280F"/>
    <w:rsid w:val="006F2953"/>
    <w:rsid w:val="006F308C"/>
    <w:rsid w:val="006F330C"/>
    <w:rsid w:val="006F3766"/>
    <w:rsid w:val="006F3BB1"/>
    <w:rsid w:val="006F5DB3"/>
    <w:rsid w:val="006F6D7D"/>
    <w:rsid w:val="006F7B07"/>
    <w:rsid w:val="00700365"/>
    <w:rsid w:val="00700565"/>
    <w:rsid w:val="007007B6"/>
    <w:rsid w:val="00700AA5"/>
    <w:rsid w:val="00701947"/>
    <w:rsid w:val="00702820"/>
    <w:rsid w:val="00703C25"/>
    <w:rsid w:val="00704BB5"/>
    <w:rsid w:val="007050FA"/>
    <w:rsid w:val="00707036"/>
    <w:rsid w:val="0071001F"/>
    <w:rsid w:val="00710023"/>
    <w:rsid w:val="00710275"/>
    <w:rsid w:val="007102E5"/>
    <w:rsid w:val="00710A50"/>
    <w:rsid w:val="007116DA"/>
    <w:rsid w:val="00711BF9"/>
    <w:rsid w:val="007120D2"/>
    <w:rsid w:val="00712986"/>
    <w:rsid w:val="00712A3C"/>
    <w:rsid w:val="00713090"/>
    <w:rsid w:val="00713497"/>
    <w:rsid w:val="007140DB"/>
    <w:rsid w:val="00714134"/>
    <w:rsid w:val="007149B7"/>
    <w:rsid w:val="0071550C"/>
    <w:rsid w:val="0071637F"/>
    <w:rsid w:val="00717001"/>
    <w:rsid w:val="00720E28"/>
    <w:rsid w:val="00720E7C"/>
    <w:rsid w:val="00721B94"/>
    <w:rsid w:val="00722092"/>
    <w:rsid w:val="00723346"/>
    <w:rsid w:val="007253F5"/>
    <w:rsid w:val="00725926"/>
    <w:rsid w:val="00725ED1"/>
    <w:rsid w:val="007266E8"/>
    <w:rsid w:val="00726EEC"/>
    <w:rsid w:val="00727C7C"/>
    <w:rsid w:val="00730846"/>
    <w:rsid w:val="00731383"/>
    <w:rsid w:val="007314AF"/>
    <w:rsid w:val="00731DA5"/>
    <w:rsid w:val="00731FE9"/>
    <w:rsid w:val="0073356E"/>
    <w:rsid w:val="00733871"/>
    <w:rsid w:val="007346F1"/>
    <w:rsid w:val="00734C00"/>
    <w:rsid w:val="007357DB"/>
    <w:rsid w:val="00736D83"/>
    <w:rsid w:val="007409AD"/>
    <w:rsid w:val="00740FC1"/>
    <w:rsid w:val="00741873"/>
    <w:rsid w:val="00741B55"/>
    <w:rsid w:val="00742EC0"/>
    <w:rsid w:val="00743A6F"/>
    <w:rsid w:val="00745690"/>
    <w:rsid w:val="00746EB0"/>
    <w:rsid w:val="007471E7"/>
    <w:rsid w:val="0075071E"/>
    <w:rsid w:val="00750C88"/>
    <w:rsid w:val="0075173B"/>
    <w:rsid w:val="007523C8"/>
    <w:rsid w:val="00752E55"/>
    <w:rsid w:val="0075386C"/>
    <w:rsid w:val="007540AC"/>
    <w:rsid w:val="007542E4"/>
    <w:rsid w:val="00754780"/>
    <w:rsid w:val="007548C5"/>
    <w:rsid w:val="00755B87"/>
    <w:rsid w:val="00756B46"/>
    <w:rsid w:val="00756C2A"/>
    <w:rsid w:val="00757D5D"/>
    <w:rsid w:val="00760451"/>
    <w:rsid w:val="007613A5"/>
    <w:rsid w:val="00761C94"/>
    <w:rsid w:val="007625C5"/>
    <w:rsid w:val="007625FA"/>
    <w:rsid w:val="00762B5A"/>
    <w:rsid w:val="0076319A"/>
    <w:rsid w:val="0076355D"/>
    <w:rsid w:val="0076359B"/>
    <w:rsid w:val="007636FF"/>
    <w:rsid w:val="00765535"/>
    <w:rsid w:val="00765991"/>
    <w:rsid w:val="0076615C"/>
    <w:rsid w:val="0076661C"/>
    <w:rsid w:val="00766AED"/>
    <w:rsid w:val="00766DEC"/>
    <w:rsid w:val="007678B4"/>
    <w:rsid w:val="007678E1"/>
    <w:rsid w:val="00767AD6"/>
    <w:rsid w:val="00770970"/>
    <w:rsid w:val="00771AAB"/>
    <w:rsid w:val="0077282D"/>
    <w:rsid w:val="00774579"/>
    <w:rsid w:val="007749F8"/>
    <w:rsid w:val="007752E6"/>
    <w:rsid w:val="00775CB5"/>
    <w:rsid w:val="007760AD"/>
    <w:rsid w:val="00777813"/>
    <w:rsid w:val="00777BD8"/>
    <w:rsid w:val="0078028D"/>
    <w:rsid w:val="007825B4"/>
    <w:rsid w:val="007844CF"/>
    <w:rsid w:val="007848F1"/>
    <w:rsid w:val="00784C4B"/>
    <w:rsid w:val="00785795"/>
    <w:rsid w:val="007859BC"/>
    <w:rsid w:val="007875F4"/>
    <w:rsid w:val="007877D2"/>
    <w:rsid w:val="007927CA"/>
    <w:rsid w:val="00795FBB"/>
    <w:rsid w:val="00796DD7"/>
    <w:rsid w:val="00797686"/>
    <w:rsid w:val="00797A5B"/>
    <w:rsid w:val="00797C03"/>
    <w:rsid w:val="007A0412"/>
    <w:rsid w:val="007A1074"/>
    <w:rsid w:val="007A40BB"/>
    <w:rsid w:val="007A4F90"/>
    <w:rsid w:val="007A62D8"/>
    <w:rsid w:val="007A63F3"/>
    <w:rsid w:val="007A66D2"/>
    <w:rsid w:val="007A6BBD"/>
    <w:rsid w:val="007A6BD3"/>
    <w:rsid w:val="007B050D"/>
    <w:rsid w:val="007B08E5"/>
    <w:rsid w:val="007B09AA"/>
    <w:rsid w:val="007B2F59"/>
    <w:rsid w:val="007B2F98"/>
    <w:rsid w:val="007B37F5"/>
    <w:rsid w:val="007B3F49"/>
    <w:rsid w:val="007B4F45"/>
    <w:rsid w:val="007B6EF7"/>
    <w:rsid w:val="007B76B5"/>
    <w:rsid w:val="007B7881"/>
    <w:rsid w:val="007B79B3"/>
    <w:rsid w:val="007B7B7F"/>
    <w:rsid w:val="007C0045"/>
    <w:rsid w:val="007C1165"/>
    <w:rsid w:val="007C1226"/>
    <w:rsid w:val="007C2D90"/>
    <w:rsid w:val="007C2F72"/>
    <w:rsid w:val="007C3DD2"/>
    <w:rsid w:val="007C4874"/>
    <w:rsid w:val="007C6248"/>
    <w:rsid w:val="007C69F1"/>
    <w:rsid w:val="007C6EFB"/>
    <w:rsid w:val="007D0666"/>
    <w:rsid w:val="007D0F3B"/>
    <w:rsid w:val="007D0FBC"/>
    <w:rsid w:val="007D183C"/>
    <w:rsid w:val="007D2A5D"/>
    <w:rsid w:val="007D3B46"/>
    <w:rsid w:val="007D3C7D"/>
    <w:rsid w:val="007D4478"/>
    <w:rsid w:val="007D4677"/>
    <w:rsid w:val="007D48DB"/>
    <w:rsid w:val="007D4C7E"/>
    <w:rsid w:val="007D51FE"/>
    <w:rsid w:val="007D5FF5"/>
    <w:rsid w:val="007D6853"/>
    <w:rsid w:val="007D796C"/>
    <w:rsid w:val="007D7BA9"/>
    <w:rsid w:val="007E03F7"/>
    <w:rsid w:val="007E055C"/>
    <w:rsid w:val="007E1C7A"/>
    <w:rsid w:val="007E35CA"/>
    <w:rsid w:val="007E4797"/>
    <w:rsid w:val="007E4A2E"/>
    <w:rsid w:val="007E5443"/>
    <w:rsid w:val="007E66B4"/>
    <w:rsid w:val="007E68A5"/>
    <w:rsid w:val="007F053E"/>
    <w:rsid w:val="007F1BE2"/>
    <w:rsid w:val="007F1FA3"/>
    <w:rsid w:val="007F23E7"/>
    <w:rsid w:val="007F2413"/>
    <w:rsid w:val="007F3C42"/>
    <w:rsid w:val="007F5CDB"/>
    <w:rsid w:val="007F62E5"/>
    <w:rsid w:val="007F65DD"/>
    <w:rsid w:val="007F6D56"/>
    <w:rsid w:val="007F6F47"/>
    <w:rsid w:val="007F70EF"/>
    <w:rsid w:val="007F71E1"/>
    <w:rsid w:val="007F7C4D"/>
    <w:rsid w:val="007F7CE0"/>
    <w:rsid w:val="00801F4C"/>
    <w:rsid w:val="00802024"/>
    <w:rsid w:val="00803BC1"/>
    <w:rsid w:val="008048ED"/>
    <w:rsid w:val="00804A5B"/>
    <w:rsid w:val="00804A76"/>
    <w:rsid w:val="00804EF2"/>
    <w:rsid w:val="00805728"/>
    <w:rsid w:val="008057AD"/>
    <w:rsid w:val="0080661F"/>
    <w:rsid w:val="00806956"/>
    <w:rsid w:val="00806BA0"/>
    <w:rsid w:val="00807E22"/>
    <w:rsid w:val="0081030B"/>
    <w:rsid w:val="00810CAA"/>
    <w:rsid w:val="0081169F"/>
    <w:rsid w:val="008122CD"/>
    <w:rsid w:val="00812B90"/>
    <w:rsid w:val="008134B8"/>
    <w:rsid w:val="00813DBE"/>
    <w:rsid w:val="00813EBE"/>
    <w:rsid w:val="00813F30"/>
    <w:rsid w:val="0081454F"/>
    <w:rsid w:val="00814AC7"/>
    <w:rsid w:val="00814ECE"/>
    <w:rsid w:val="0081575C"/>
    <w:rsid w:val="008166D5"/>
    <w:rsid w:val="008202C6"/>
    <w:rsid w:val="0082107D"/>
    <w:rsid w:val="00822325"/>
    <w:rsid w:val="00823774"/>
    <w:rsid w:val="00823BE0"/>
    <w:rsid w:val="008245C6"/>
    <w:rsid w:val="008250E5"/>
    <w:rsid w:val="008253B7"/>
    <w:rsid w:val="00825723"/>
    <w:rsid w:val="008264BA"/>
    <w:rsid w:val="008267B7"/>
    <w:rsid w:val="00826B9B"/>
    <w:rsid w:val="00826E1D"/>
    <w:rsid w:val="008275EB"/>
    <w:rsid w:val="00830303"/>
    <w:rsid w:val="0083112D"/>
    <w:rsid w:val="00831DA3"/>
    <w:rsid w:val="00831F5E"/>
    <w:rsid w:val="008328D3"/>
    <w:rsid w:val="00832A07"/>
    <w:rsid w:val="00833328"/>
    <w:rsid w:val="00833774"/>
    <w:rsid w:val="008338C6"/>
    <w:rsid w:val="00834C83"/>
    <w:rsid w:val="00834E88"/>
    <w:rsid w:val="008352DD"/>
    <w:rsid w:val="00835342"/>
    <w:rsid w:val="008355DE"/>
    <w:rsid w:val="00835777"/>
    <w:rsid w:val="00835D39"/>
    <w:rsid w:val="00835F8F"/>
    <w:rsid w:val="00837733"/>
    <w:rsid w:val="00837EC0"/>
    <w:rsid w:val="00840B51"/>
    <w:rsid w:val="008410AC"/>
    <w:rsid w:val="008422EE"/>
    <w:rsid w:val="00842F55"/>
    <w:rsid w:val="008435AB"/>
    <w:rsid w:val="00843FAB"/>
    <w:rsid w:val="00845AEC"/>
    <w:rsid w:val="00845F05"/>
    <w:rsid w:val="008465FD"/>
    <w:rsid w:val="00847F6F"/>
    <w:rsid w:val="008509D9"/>
    <w:rsid w:val="00850B12"/>
    <w:rsid w:val="00850E3C"/>
    <w:rsid w:val="008513C6"/>
    <w:rsid w:val="008519F9"/>
    <w:rsid w:val="008524DB"/>
    <w:rsid w:val="008526B6"/>
    <w:rsid w:val="008528B3"/>
    <w:rsid w:val="008538D3"/>
    <w:rsid w:val="00853D94"/>
    <w:rsid w:val="00854AE6"/>
    <w:rsid w:val="00855F38"/>
    <w:rsid w:val="0085626B"/>
    <w:rsid w:val="0085638E"/>
    <w:rsid w:val="00856F59"/>
    <w:rsid w:val="008600FB"/>
    <w:rsid w:val="008602A3"/>
    <w:rsid w:val="00863E14"/>
    <w:rsid w:val="008643CA"/>
    <w:rsid w:val="00864DA9"/>
    <w:rsid w:val="0086530D"/>
    <w:rsid w:val="0086601B"/>
    <w:rsid w:val="0086624D"/>
    <w:rsid w:val="0086693F"/>
    <w:rsid w:val="00866BD0"/>
    <w:rsid w:val="00866C53"/>
    <w:rsid w:val="008671D1"/>
    <w:rsid w:val="008722F0"/>
    <w:rsid w:val="0087281E"/>
    <w:rsid w:val="00873A5E"/>
    <w:rsid w:val="00876469"/>
    <w:rsid w:val="00876C50"/>
    <w:rsid w:val="00876F46"/>
    <w:rsid w:val="00877B5D"/>
    <w:rsid w:val="008804B5"/>
    <w:rsid w:val="008818D6"/>
    <w:rsid w:val="00881E9D"/>
    <w:rsid w:val="00882A38"/>
    <w:rsid w:val="00882C3F"/>
    <w:rsid w:val="00882D6E"/>
    <w:rsid w:val="008836AC"/>
    <w:rsid w:val="008844BC"/>
    <w:rsid w:val="008846D4"/>
    <w:rsid w:val="00884C5B"/>
    <w:rsid w:val="00884D7F"/>
    <w:rsid w:val="008854FD"/>
    <w:rsid w:val="00885D2F"/>
    <w:rsid w:val="008871B5"/>
    <w:rsid w:val="00887DCB"/>
    <w:rsid w:val="00887DF6"/>
    <w:rsid w:val="008914C2"/>
    <w:rsid w:val="00891AF3"/>
    <w:rsid w:val="00892442"/>
    <w:rsid w:val="00893509"/>
    <w:rsid w:val="0089364D"/>
    <w:rsid w:val="008942C9"/>
    <w:rsid w:val="0089433F"/>
    <w:rsid w:val="0089559D"/>
    <w:rsid w:val="00895CBD"/>
    <w:rsid w:val="00895DD8"/>
    <w:rsid w:val="008960DF"/>
    <w:rsid w:val="008962CC"/>
    <w:rsid w:val="0089766B"/>
    <w:rsid w:val="00897C45"/>
    <w:rsid w:val="00897D67"/>
    <w:rsid w:val="008A0DF5"/>
    <w:rsid w:val="008A1F6B"/>
    <w:rsid w:val="008A38CD"/>
    <w:rsid w:val="008A38D6"/>
    <w:rsid w:val="008A51D8"/>
    <w:rsid w:val="008A5887"/>
    <w:rsid w:val="008A5FB3"/>
    <w:rsid w:val="008A61C3"/>
    <w:rsid w:val="008A62E2"/>
    <w:rsid w:val="008A6612"/>
    <w:rsid w:val="008A76BC"/>
    <w:rsid w:val="008A7ED6"/>
    <w:rsid w:val="008B0590"/>
    <w:rsid w:val="008B0837"/>
    <w:rsid w:val="008B1197"/>
    <w:rsid w:val="008B32C5"/>
    <w:rsid w:val="008B5CDA"/>
    <w:rsid w:val="008B72E4"/>
    <w:rsid w:val="008C027A"/>
    <w:rsid w:val="008C0604"/>
    <w:rsid w:val="008C0B07"/>
    <w:rsid w:val="008C0B3F"/>
    <w:rsid w:val="008C0E32"/>
    <w:rsid w:val="008C389A"/>
    <w:rsid w:val="008C46B7"/>
    <w:rsid w:val="008C4D08"/>
    <w:rsid w:val="008C527A"/>
    <w:rsid w:val="008C52C0"/>
    <w:rsid w:val="008C5AE5"/>
    <w:rsid w:val="008C5BC4"/>
    <w:rsid w:val="008C7A3E"/>
    <w:rsid w:val="008C7AE7"/>
    <w:rsid w:val="008C7BB8"/>
    <w:rsid w:val="008D0731"/>
    <w:rsid w:val="008D11CC"/>
    <w:rsid w:val="008D1F88"/>
    <w:rsid w:val="008D3D50"/>
    <w:rsid w:val="008D446B"/>
    <w:rsid w:val="008D50E7"/>
    <w:rsid w:val="008D662E"/>
    <w:rsid w:val="008D710A"/>
    <w:rsid w:val="008E0587"/>
    <w:rsid w:val="008E0946"/>
    <w:rsid w:val="008E0CC8"/>
    <w:rsid w:val="008E2F5B"/>
    <w:rsid w:val="008E3110"/>
    <w:rsid w:val="008E36A3"/>
    <w:rsid w:val="008E5037"/>
    <w:rsid w:val="008E6335"/>
    <w:rsid w:val="008E633C"/>
    <w:rsid w:val="008E7DE0"/>
    <w:rsid w:val="008E7E78"/>
    <w:rsid w:val="008F05EF"/>
    <w:rsid w:val="008F0B25"/>
    <w:rsid w:val="008F0C1A"/>
    <w:rsid w:val="008F0E3F"/>
    <w:rsid w:val="008F1089"/>
    <w:rsid w:val="008F2272"/>
    <w:rsid w:val="008F3E23"/>
    <w:rsid w:val="008F4894"/>
    <w:rsid w:val="008F4C35"/>
    <w:rsid w:val="008F4ED5"/>
    <w:rsid w:val="008F5281"/>
    <w:rsid w:val="008F5EA2"/>
    <w:rsid w:val="008F678B"/>
    <w:rsid w:val="008F6A96"/>
    <w:rsid w:val="008F6EDA"/>
    <w:rsid w:val="00900273"/>
    <w:rsid w:val="0090056A"/>
    <w:rsid w:val="00900DBF"/>
    <w:rsid w:val="00901251"/>
    <w:rsid w:val="009039C7"/>
    <w:rsid w:val="009041F3"/>
    <w:rsid w:val="009045E6"/>
    <w:rsid w:val="009049EB"/>
    <w:rsid w:val="00904B66"/>
    <w:rsid w:val="009050E9"/>
    <w:rsid w:val="0090528E"/>
    <w:rsid w:val="00905308"/>
    <w:rsid w:val="00906B2B"/>
    <w:rsid w:val="00910E85"/>
    <w:rsid w:val="0091186C"/>
    <w:rsid w:val="0091274C"/>
    <w:rsid w:val="009128DC"/>
    <w:rsid w:val="00912968"/>
    <w:rsid w:val="0091346C"/>
    <w:rsid w:val="00913B54"/>
    <w:rsid w:val="0091531E"/>
    <w:rsid w:val="00916002"/>
    <w:rsid w:val="00917046"/>
    <w:rsid w:val="009173E7"/>
    <w:rsid w:val="009176AD"/>
    <w:rsid w:val="0091791F"/>
    <w:rsid w:val="00920213"/>
    <w:rsid w:val="009206FF"/>
    <w:rsid w:val="00920932"/>
    <w:rsid w:val="00920B7C"/>
    <w:rsid w:val="00921582"/>
    <w:rsid w:val="0092236B"/>
    <w:rsid w:val="00922991"/>
    <w:rsid w:val="00922D78"/>
    <w:rsid w:val="009240DC"/>
    <w:rsid w:val="00924328"/>
    <w:rsid w:val="00924B87"/>
    <w:rsid w:val="00925199"/>
    <w:rsid w:val="009256A3"/>
    <w:rsid w:val="00925EFB"/>
    <w:rsid w:val="00926C48"/>
    <w:rsid w:val="00926F21"/>
    <w:rsid w:val="009275F3"/>
    <w:rsid w:val="009308A5"/>
    <w:rsid w:val="00931BBF"/>
    <w:rsid w:val="00932F54"/>
    <w:rsid w:val="00934BE9"/>
    <w:rsid w:val="00934DAA"/>
    <w:rsid w:val="009367D5"/>
    <w:rsid w:val="0093731F"/>
    <w:rsid w:val="00937BEE"/>
    <w:rsid w:val="00937EAB"/>
    <w:rsid w:val="0094224A"/>
    <w:rsid w:val="009422C6"/>
    <w:rsid w:val="009435CA"/>
    <w:rsid w:val="00943791"/>
    <w:rsid w:val="0094603C"/>
    <w:rsid w:val="009468A2"/>
    <w:rsid w:val="00946979"/>
    <w:rsid w:val="00946DF1"/>
    <w:rsid w:val="00947548"/>
    <w:rsid w:val="00947843"/>
    <w:rsid w:val="00947B24"/>
    <w:rsid w:val="009503F7"/>
    <w:rsid w:val="009507CF"/>
    <w:rsid w:val="00951563"/>
    <w:rsid w:val="00951DC2"/>
    <w:rsid w:val="0095261F"/>
    <w:rsid w:val="00952992"/>
    <w:rsid w:val="009529CD"/>
    <w:rsid w:val="009534F1"/>
    <w:rsid w:val="009540E9"/>
    <w:rsid w:val="00956415"/>
    <w:rsid w:val="00956511"/>
    <w:rsid w:val="00957500"/>
    <w:rsid w:val="009575DA"/>
    <w:rsid w:val="00960BE6"/>
    <w:rsid w:val="009625C3"/>
    <w:rsid w:val="00962D8B"/>
    <w:rsid w:val="009645DC"/>
    <w:rsid w:val="009650F2"/>
    <w:rsid w:val="0096523C"/>
    <w:rsid w:val="00965452"/>
    <w:rsid w:val="00965662"/>
    <w:rsid w:val="00965DA9"/>
    <w:rsid w:val="00966AFA"/>
    <w:rsid w:val="00967D0C"/>
    <w:rsid w:val="00967D88"/>
    <w:rsid w:val="00967EC7"/>
    <w:rsid w:val="00970939"/>
    <w:rsid w:val="00971B45"/>
    <w:rsid w:val="00971FF9"/>
    <w:rsid w:val="00972A97"/>
    <w:rsid w:val="00972CE8"/>
    <w:rsid w:val="00972D0A"/>
    <w:rsid w:val="0097348D"/>
    <w:rsid w:val="009742A7"/>
    <w:rsid w:val="00974382"/>
    <w:rsid w:val="0097453B"/>
    <w:rsid w:val="00974B43"/>
    <w:rsid w:val="00974EB8"/>
    <w:rsid w:val="009759D0"/>
    <w:rsid w:val="00976B9B"/>
    <w:rsid w:val="00977DDA"/>
    <w:rsid w:val="0098093D"/>
    <w:rsid w:val="0098170F"/>
    <w:rsid w:val="00981893"/>
    <w:rsid w:val="00982796"/>
    <w:rsid w:val="00982906"/>
    <w:rsid w:val="00982931"/>
    <w:rsid w:val="00982AD0"/>
    <w:rsid w:val="00982BB5"/>
    <w:rsid w:val="00982D10"/>
    <w:rsid w:val="00982EB1"/>
    <w:rsid w:val="00983079"/>
    <w:rsid w:val="0098486A"/>
    <w:rsid w:val="00986013"/>
    <w:rsid w:val="00986266"/>
    <w:rsid w:val="00986620"/>
    <w:rsid w:val="009906B3"/>
    <w:rsid w:val="00990A98"/>
    <w:rsid w:val="00991270"/>
    <w:rsid w:val="0099145E"/>
    <w:rsid w:val="00992E2E"/>
    <w:rsid w:val="009948CD"/>
    <w:rsid w:val="00994A0F"/>
    <w:rsid w:val="009953B0"/>
    <w:rsid w:val="00996257"/>
    <w:rsid w:val="009966DF"/>
    <w:rsid w:val="00996FEE"/>
    <w:rsid w:val="00997439"/>
    <w:rsid w:val="009975B1"/>
    <w:rsid w:val="009A06BD"/>
    <w:rsid w:val="009A1356"/>
    <w:rsid w:val="009A25CE"/>
    <w:rsid w:val="009A33E7"/>
    <w:rsid w:val="009A39D0"/>
    <w:rsid w:val="009A5E13"/>
    <w:rsid w:val="009A6FA7"/>
    <w:rsid w:val="009A7C9A"/>
    <w:rsid w:val="009A7DC3"/>
    <w:rsid w:val="009A7E87"/>
    <w:rsid w:val="009B1503"/>
    <w:rsid w:val="009B19D8"/>
    <w:rsid w:val="009B1BD1"/>
    <w:rsid w:val="009B1CC0"/>
    <w:rsid w:val="009B30C7"/>
    <w:rsid w:val="009B3264"/>
    <w:rsid w:val="009B49CA"/>
    <w:rsid w:val="009B4B9C"/>
    <w:rsid w:val="009B5079"/>
    <w:rsid w:val="009B5AE5"/>
    <w:rsid w:val="009B612D"/>
    <w:rsid w:val="009B74BB"/>
    <w:rsid w:val="009B77ED"/>
    <w:rsid w:val="009B7ABD"/>
    <w:rsid w:val="009C1C2A"/>
    <w:rsid w:val="009C1C47"/>
    <w:rsid w:val="009C271E"/>
    <w:rsid w:val="009C30E9"/>
    <w:rsid w:val="009C35B4"/>
    <w:rsid w:val="009C420A"/>
    <w:rsid w:val="009C453F"/>
    <w:rsid w:val="009C52CC"/>
    <w:rsid w:val="009C5531"/>
    <w:rsid w:val="009C6328"/>
    <w:rsid w:val="009C7FBB"/>
    <w:rsid w:val="009D037B"/>
    <w:rsid w:val="009D045E"/>
    <w:rsid w:val="009D07F0"/>
    <w:rsid w:val="009D0EE3"/>
    <w:rsid w:val="009D1E45"/>
    <w:rsid w:val="009D1F9C"/>
    <w:rsid w:val="009D2098"/>
    <w:rsid w:val="009D2165"/>
    <w:rsid w:val="009D2217"/>
    <w:rsid w:val="009D34E1"/>
    <w:rsid w:val="009D366B"/>
    <w:rsid w:val="009D37FC"/>
    <w:rsid w:val="009D4141"/>
    <w:rsid w:val="009D513D"/>
    <w:rsid w:val="009D60E4"/>
    <w:rsid w:val="009D7038"/>
    <w:rsid w:val="009E011E"/>
    <w:rsid w:val="009E03EE"/>
    <w:rsid w:val="009E0700"/>
    <w:rsid w:val="009E0A54"/>
    <w:rsid w:val="009E18F9"/>
    <w:rsid w:val="009E381F"/>
    <w:rsid w:val="009E4146"/>
    <w:rsid w:val="009E4B65"/>
    <w:rsid w:val="009E6B38"/>
    <w:rsid w:val="009E71AE"/>
    <w:rsid w:val="009E72F1"/>
    <w:rsid w:val="009E73DD"/>
    <w:rsid w:val="009E7805"/>
    <w:rsid w:val="009E7A86"/>
    <w:rsid w:val="009E7AC2"/>
    <w:rsid w:val="009E7C1C"/>
    <w:rsid w:val="009E7D65"/>
    <w:rsid w:val="009F41FA"/>
    <w:rsid w:val="009F48F7"/>
    <w:rsid w:val="009F4A87"/>
    <w:rsid w:val="009F53A9"/>
    <w:rsid w:val="009F61A6"/>
    <w:rsid w:val="009F6599"/>
    <w:rsid w:val="009F6744"/>
    <w:rsid w:val="009F6FA3"/>
    <w:rsid w:val="009F7A1F"/>
    <w:rsid w:val="00A0140B"/>
    <w:rsid w:val="00A022C2"/>
    <w:rsid w:val="00A027DB"/>
    <w:rsid w:val="00A03DB1"/>
    <w:rsid w:val="00A05380"/>
    <w:rsid w:val="00A05EF8"/>
    <w:rsid w:val="00A065F9"/>
    <w:rsid w:val="00A07730"/>
    <w:rsid w:val="00A105AD"/>
    <w:rsid w:val="00A1078E"/>
    <w:rsid w:val="00A108BF"/>
    <w:rsid w:val="00A1128B"/>
    <w:rsid w:val="00A113B1"/>
    <w:rsid w:val="00A11BA0"/>
    <w:rsid w:val="00A11BBD"/>
    <w:rsid w:val="00A130BF"/>
    <w:rsid w:val="00A13770"/>
    <w:rsid w:val="00A13DF7"/>
    <w:rsid w:val="00A13F39"/>
    <w:rsid w:val="00A1421B"/>
    <w:rsid w:val="00A1482C"/>
    <w:rsid w:val="00A14EB3"/>
    <w:rsid w:val="00A1661A"/>
    <w:rsid w:val="00A17034"/>
    <w:rsid w:val="00A208FC"/>
    <w:rsid w:val="00A20CE6"/>
    <w:rsid w:val="00A21362"/>
    <w:rsid w:val="00A2362C"/>
    <w:rsid w:val="00A24659"/>
    <w:rsid w:val="00A259E6"/>
    <w:rsid w:val="00A25D28"/>
    <w:rsid w:val="00A266B3"/>
    <w:rsid w:val="00A26A2D"/>
    <w:rsid w:val="00A27DE7"/>
    <w:rsid w:val="00A301B8"/>
    <w:rsid w:val="00A30549"/>
    <w:rsid w:val="00A307B7"/>
    <w:rsid w:val="00A31449"/>
    <w:rsid w:val="00A31615"/>
    <w:rsid w:val="00A319D4"/>
    <w:rsid w:val="00A31B54"/>
    <w:rsid w:val="00A32084"/>
    <w:rsid w:val="00A335FA"/>
    <w:rsid w:val="00A33932"/>
    <w:rsid w:val="00A35012"/>
    <w:rsid w:val="00A3569F"/>
    <w:rsid w:val="00A35C73"/>
    <w:rsid w:val="00A35D2F"/>
    <w:rsid w:val="00A35E6D"/>
    <w:rsid w:val="00A35E78"/>
    <w:rsid w:val="00A369AF"/>
    <w:rsid w:val="00A36C20"/>
    <w:rsid w:val="00A3763A"/>
    <w:rsid w:val="00A37914"/>
    <w:rsid w:val="00A40C97"/>
    <w:rsid w:val="00A40F3C"/>
    <w:rsid w:val="00A41B4B"/>
    <w:rsid w:val="00A436A9"/>
    <w:rsid w:val="00A45795"/>
    <w:rsid w:val="00A45E1F"/>
    <w:rsid w:val="00A463E8"/>
    <w:rsid w:val="00A46430"/>
    <w:rsid w:val="00A469B6"/>
    <w:rsid w:val="00A46C86"/>
    <w:rsid w:val="00A46FA3"/>
    <w:rsid w:val="00A47069"/>
    <w:rsid w:val="00A47811"/>
    <w:rsid w:val="00A47DC0"/>
    <w:rsid w:val="00A50036"/>
    <w:rsid w:val="00A503C2"/>
    <w:rsid w:val="00A51E72"/>
    <w:rsid w:val="00A52A8E"/>
    <w:rsid w:val="00A532AF"/>
    <w:rsid w:val="00A54108"/>
    <w:rsid w:val="00A5468D"/>
    <w:rsid w:val="00A547B2"/>
    <w:rsid w:val="00A55136"/>
    <w:rsid w:val="00A55AC1"/>
    <w:rsid w:val="00A55C2D"/>
    <w:rsid w:val="00A55FED"/>
    <w:rsid w:val="00A565AA"/>
    <w:rsid w:val="00A56612"/>
    <w:rsid w:val="00A56953"/>
    <w:rsid w:val="00A60160"/>
    <w:rsid w:val="00A601A8"/>
    <w:rsid w:val="00A608CE"/>
    <w:rsid w:val="00A608E0"/>
    <w:rsid w:val="00A60BD0"/>
    <w:rsid w:val="00A60EA2"/>
    <w:rsid w:val="00A611C2"/>
    <w:rsid w:val="00A61B50"/>
    <w:rsid w:val="00A6237F"/>
    <w:rsid w:val="00A62936"/>
    <w:rsid w:val="00A62E52"/>
    <w:rsid w:val="00A6327E"/>
    <w:rsid w:val="00A64D71"/>
    <w:rsid w:val="00A64DE7"/>
    <w:rsid w:val="00A6551E"/>
    <w:rsid w:val="00A66452"/>
    <w:rsid w:val="00A67404"/>
    <w:rsid w:val="00A6749D"/>
    <w:rsid w:val="00A674E2"/>
    <w:rsid w:val="00A71470"/>
    <w:rsid w:val="00A7148F"/>
    <w:rsid w:val="00A717B1"/>
    <w:rsid w:val="00A72D6D"/>
    <w:rsid w:val="00A730F7"/>
    <w:rsid w:val="00A73224"/>
    <w:rsid w:val="00A73448"/>
    <w:rsid w:val="00A73A6E"/>
    <w:rsid w:val="00A746AD"/>
    <w:rsid w:val="00A752A6"/>
    <w:rsid w:val="00A7576F"/>
    <w:rsid w:val="00A75C5C"/>
    <w:rsid w:val="00A75D2E"/>
    <w:rsid w:val="00A764E8"/>
    <w:rsid w:val="00A7799B"/>
    <w:rsid w:val="00A77F5A"/>
    <w:rsid w:val="00A81C18"/>
    <w:rsid w:val="00A82098"/>
    <w:rsid w:val="00A827CD"/>
    <w:rsid w:val="00A830FB"/>
    <w:rsid w:val="00A8336C"/>
    <w:rsid w:val="00A834A2"/>
    <w:rsid w:val="00A84386"/>
    <w:rsid w:val="00A86352"/>
    <w:rsid w:val="00A87791"/>
    <w:rsid w:val="00A87A09"/>
    <w:rsid w:val="00A87BCE"/>
    <w:rsid w:val="00A90134"/>
    <w:rsid w:val="00A9052B"/>
    <w:rsid w:val="00A91563"/>
    <w:rsid w:val="00A931BF"/>
    <w:rsid w:val="00A940DD"/>
    <w:rsid w:val="00A95608"/>
    <w:rsid w:val="00A963D3"/>
    <w:rsid w:val="00A963FC"/>
    <w:rsid w:val="00AA03F1"/>
    <w:rsid w:val="00AA09B5"/>
    <w:rsid w:val="00AA19E3"/>
    <w:rsid w:val="00AA1E7F"/>
    <w:rsid w:val="00AA2805"/>
    <w:rsid w:val="00AA2F2D"/>
    <w:rsid w:val="00AA393B"/>
    <w:rsid w:val="00AA40F5"/>
    <w:rsid w:val="00AA4EE3"/>
    <w:rsid w:val="00AA58A9"/>
    <w:rsid w:val="00AA58F2"/>
    <w:rsid w:val="00AA5B30"/>
    <w:rsid w:val="00AA5EE1"/>
    <w:rsid w:val="00AB0FD9"/>
    <w:rsid w:val="00AB1633"/>
    <w:rsid w:val="00AB1F11"/>
    <w:rsid w:val="00AB3A60"/>
    <w:rsid w:val="00AB73AB"/>
    <w:rsid w:val="00AB7929"/>
    <w:rsid w:val="00AC00EC"/>
    <w:rsid w:val="00AC01D0"/>
    <w:rsid w:val="00AC0AAB"/>
    <w:rsid w:val="00AC19F3"/>
    <w:rsid w:val="00AC1F7E"/>
    <w:rsid w:val="00AC237A"/>
    <w:rsid w:val="00AC24B7"/>
    <w:rsid w:val="00AC2712"/>
    <w:rsid w:val="00AC2C37"/>
    <w:rsid w:val="00AC3DBB"/>
    <w:rsid w:val="00AC42BD"/>
    <w:rsid w:val="00AC6278"/>
    <w:rsid w:val="00AC69D9"/>
    <w:rsid w:val="00AC6FE6"/>
    <w:rsid w:val="00AC7391"/>
    <w:rsid w:val="00AC7ED0"/>
    <w:rsid w:val="00AC7F25"/>
    <w:rsid w:val="00AD043A"/>
    <w:rsid w:val="00AD0ADD"/>
    <w:rsid w:val="00AD0FFE"/>
    <w:rsid w:val="00AD1EDE"/>
    <w:rsid w:val="00AD21E1"/>
    <w:rsid w:val="00AD24B4"/>
    <w:rsid w:val="00AD29E7"/>
    <w:rsid w:val="00AD444E"/>
    <w:rsid w:val="00AD505F"/>
    <w:rsid w:val="00AD638E"/>
    <w:rsid w:val="00AE0304"/>
    <w:rsid w:val="00AE2139"/>
    <w:rsid w:val="00AE2519"/>
    <w:rsid w:val="00AE32AC"/>
    <w:rsid w:val="00AE366D"/>
    <w:rsid w:val="00AE3EED"/>
    <w:rsid w:val="00AE48DB"/>
    <w:rsid w:val="00AE6D8E"/>
    <w:rsid w:val="00AE7AB9"/>
    <w:rsid w:val="00AE7D68"/>
    <w:rsid w:val="00AF05F3"/>
    <w:rsid w:val="00AF1179"/>
    <w:rsid w:val="00AF16C1"/>
    <w:rsid w:val="00AF2B37"/>
    <w:rsid w:val="00AF32B5"/>
    <w:rsid w:val="00AF352C"/>
    <w:rsid w:val="00AF36B5"/>
    <w:rsid w:val="00AF3B87"/>
    <w:rsid w:val="00AF3CD9"/>
    <w:rsid w:val="00AF4B79"/>
    <w:rsid w:val="00AF630D"/>
    <w:rsid w:val="00AF6FDB"/>
    <w:rsid w:val="00AF71EF"/>
    <w:rsid w:val="00AF72E9"/>
    <w:rsid w:val="00AF75C4"/>
    <w:rsid w:val="00B00F8F"/>
    <w:rsid w:val="00B01297"/>
    <w:rsid w:val="00B0150A"/>
    <w:rsid w:val="00B02191"/>
    <w:rsid w:val="00B02FB5"/>
    <w:rsid w:val="00B0394D"/>
    <w:rsid w:val="00B04535"/>
    <w:rsid w:val="00B053E8"/>
    <w:rsid w:val="00B057E8"/>
    <w:rsid w:val="00B063DA"/>
    <w:rsid w:val="00B0661B"/>
    <w:rsid w:val="00B06A71"/>
    <w:rsid w:val="00B07C79"/>
    <w:rsid w:val="00B106C4"/>
    <w:rsid w:val="00B10A48"/>
    <w:rsid w:val="00B11BFD"/>
    <w:rsid w:val="00B11C9A"/>
    <w:rsid w:val="00B1359B"/>
    <w:rsid w:val="00B137E8"/>
    <w:rsid w:val="00B1391A"/>
    <w:rsid w:val="00B143F9"/>
    <w:rsid w:val="00B14DC4"/>
    <w:rsid w:val="00B14F91"/>
    <w:rsid w:val="00B16317"/>
    <w:rsid w:val="00B17C23"/>
    <w:rsid w:val="00B17E38"/>
    <w:rsid w:val="00B201E3"/>
    <w:rsid w:val="00B2146E"/>
    <w:rsid w:val="00B22DB5"/>
    <w:rsid w:val="00B22E03"/>
    <w:rsid w:val="00B22F76"/>
    <w:rsid w:val="00B239BE"/>
    <w:rsid w:val="00B24840"/>
    <w:rsid w:val="00B24967"/>
    <w:rsid w:val="00B24AD6"/>
    <w:rsid w:val="00B25993"/>
    <w:rsid w:val="00B26032"/>
    <w:rsid w:val="00B2657D"/>
    <w:rsid w:val="00B27037"/>
    <w:rsid w:val="00B27221"/>
    <w:rsid w:val="00B30FB2"/>
    <w:rsid w:val="00B31475"/>
    <w:rsid w:val="00B31E56"/>
    <w:rsid w:val="00B327CF"/>
    <w:rsid w:val="00B33252"/>
    <w:rsid w:val="00B35033"/>
    <w:rsid w:val="00B36FB5"/>
    <w:rsid w:val="00B40CE8"/>
    <w:rsid w:val="00B414A0"/>
    <w:rsid w:val="00B418D1"/>
    <w:rsid w:val="00B41F14"/>
    <w:rsid w:val="00B425F2"/>
    <w:rsid w:val="00B42A45"/>
    <w:rsid w:val="00B42E21"/>
    <w:rsid w:val="00B42F1A"/>
    <w:rsid w:val="00B43049"/>
    <w:rsid w:val="00B43446"/>
    <w:rsid w:val="00B43B42"/>
    <w:rsid w:val="00B440A5"/>
    <w:rsid w:val="00B4483F"/>
    <w:rsid w:val="00B4684D"/>
    <w:rsid w:val="00B46BEB"/>
    <w:rsid w:val="00B479D6"/>
    <w:rsid w:val="00B47E2C"/>
    <w:rsid w:val="00B47E7A"/>
    <w:rsid w:val="00B50047"/>
    <w:rsid w:val="00B50415"/>
    <w:rsid w:val="00B5058F"/>
    <w:rsid w:val="00B50860"/>
    <w:rsid w:val="00B50BF6"/>
    <w:rsid w:val="00B51050"/>
    <w:rsid w:val="00B5225B"/>
    <w:rsid w:val="00B52DAE"/>
    <w:rsid w:val="00B540B9"/>
    <w:rsid w:val="00B54506"/>
    <w:rsid w:val="00B54B65"/>
    <w:rsid w:val="00B54F50"/>
    <w:rsid w:val="00B55EC6"/>
    <w:rsid w:val="00B5677A"/>
    <w:rsid w:val="00B56CBE"/>
    <w:rsid w:val="00B56D09"/>
    <w:rsid w:val="00B573A6"/>
    <w:rsid w:val="00B57A9C"/>
    <w:rsid w:val="00B60721"/>
    <w:rsid w:val="00B63898"/>
    <w:rsid w:val="00B638E8"/>
    <w:rsid w:val="00B63C88"/>
    <w:rsid w:val="00B6428A"/>
    <w:rsid w:val="00B65260"/>
    <w:rsid w:val="00B654BC"/>
    <w:rsid w:val="00B654C3"/>
    <w:rsid w:val="00B656BE"/>
    <w:rsid w:val="00B67C9F"/>
    <w:rsid w:val="00B7030B"/>
    <w:rsid w:val="00B706F9"/>
    <w:rsid w:val="00B70BF1"/>
    <w:rsid w:val="00B70CE4"/>
    <w:rsid w:val="00B710AC"/>
    <w:rsid w:val="00B71756"/>
    <w:rsid w:val="00B7184F"/>
    <w:rsid w:val="00B72115"/>
    <w:rsid w:val="00B7230F"/>
    <w:rsid w:val="00B72C22"/>
    <w:rsid w:val="00B733DE"/>
    <w:rsid w:val="00B7455B"/>
    <w:rsid w:val="00B746F3"/>
    <w:rsid w:val="00B75492"/>
    <w:rsid w:val="00B76169"/>
    <w:rsid w:val="00B779D5"/>
    <w:rsid w:val="00B8032C"/>
    <w:rsid w:val="00B805EE"/>
    <w:rsid w:val="00B8145E"/>
    <w:rsid w:val="00B81D9D"/>
    <w:rsid w:val="00B823EA"/>
    <w:rsid w:val="00B82F07"/>
    <w:rsid w:val="00B830B2"/>
    <w:rsid w:val="00B84743"/>
    <w:rsid w:val="00B84B72"/>
    <w:rsid w:val="00B85AC1"/>
    <w:rsid w:val="00B8698D"/>
    <w:rsid w:val="00B87132"/>
    <w:rsid w:val="00B8724F"/>
    <w:rsid w:val="00B879BC"/>
    <w:rsid w:val="00B87F4B"/>
    <w:rsid w:val="00B90424"/>
    <w:rsid w:val="00B905DD"/>
    <w:rsid w:val="00B9144F"/>
    <w:rsid w:val="00B92226"/>
    <w:rsid w:val="00B926BF"/>
    <w:rsid w:val="00B93087"/>
    <w:rsid w:val="00B93E17"/>
    <w:rsid w:val="00B95912"/>
    <w:rsid w:val="00B967E5"/>
    <w:rsid w:val="00B97032"/>
    <w:rsid w:val="00B9749C"/>
    <w:rsid w:val="00B9752B"/>
    <w:rsid w:val="00B979AD"/>
    <w:rsid w:val="00B97DB3"/>
    <w:rsid w:val="00BA19E3"/>
    <w:rsid w:val="00BA1BA4"/>
    <w:rsid w:val="00BA3174"/>
    <w:rsid w:val="00BA3FFB"/>
    <w:rsid w:val="00BA4E97"/>
    <w:rsid w:val="00BA523D"/>
    <w:rsid w:val="00BA55FA"/>
    <w:rsid w:val="00BA60D1"/>
    <w:rsid w:val="00BA60DB"/>
    <w:rsid w:val="00BA6476"/>
    <w:rsid w:val="00BA6507"/>
    <w:rsid w:val="00BA6844"/>
    <w:rsid w:val="00BA712B"/>
    <w:rsid w:val="00BA7FD1"/>
    <w:rsid w:val="00BB0323"/>
    <w:rsid w:val="00BB1196"/>
    <w:rsid w:val="00BB40FB"/>
    <w:rsid w:val="00BB51AB"/>
    <w:rsid w:val="00BB56C7"/>
    <w:rsid w:val="00BB5993"/>
    <w:rsid w:val="00BB6371"/>
    <w:rsid w:val="00BB6B43"/>
    <w:rsid w:val="00BB6E36"/>
    <w:rsid w:val="00BB6F74"/>
    <w:rsid w:val="00BC05E6"/>
    <w:rsid w:val="00BC0FCB"/>
    <w:rsid w:val="00BC148B"/>
    <w:rsid w:val="00BC1522"/>
    <w:rsid w:val="00BC1A6D"/>
    <w:rsid w:val="00BC2B08"/>
    <w:rsid w:val="00BC2B30"/>
    <w:rsid w:val="00BC4187"/>
    <w:rsid w:val="00BC5553"/>
    <w:rsid w:val="00BC55E6"/>
    <w:rsid w:val="00BC61C0"/>
    <w:rsid w:val="00BC61D8"/>
    <w:rsid w:val="00BC66CC"/>
    <w:rsid w:val="00BC67E5"/>
    <w:rsid w:val="00BC69B2"/>
    <w:rsid w:val="00BC7DDC"/>
    <w:rsid w:val="00BD062A"/>
    <w:rsid w:val="00BD0845"/>
    <w:rsid w:val="00BD09F8"/>
    <w:rsid w:val="00BD1526"/>
    <w:rsid w:val="00BD1F82"/>
    <w:rsid w:val="00BD2EFB"/>
    <w:rsid w:val="00BD44E1"/>
    <w:rsid w:val="00BD48C2"/>
    <w:rsid w:val="00BD4B39"/>
    <w:rsid w:val="00BD6102"/>
    <w:rsid w:val="00BD663D"/>
    <w:rsid w:val="00BD6651"/>
    <w:rsid w:val="00BD6DD0"/>
    <w:rsid w:val="00BD71D5"/>
    <w:rsid w:val="00BD7336"/>
    <w:rsid w:val="00BD76F9"/>
    <w:rsid w:val="00BD79CA"/>
    <w:rsid w:val="00BD7D77"/>
    <w:rsid w:val="00BE0053"/>
    <w:rsid w:val="00BE0739"/>
    <w:rsid w:val="00BE3C48"/>
    <w:rsid w:val="00BE4355"/>
    <w:rsid w:val="00BE538F"/>
    <w:rsid w:val="00BE5794"/>
    <w:rsid w:val="00BE6D44"/>
    <w:rsid w:val="00BE7084"/>
    <w:rsid w:val="00BE717B"/>
    <w:rsid w:val="00BE7248"/>
    <w:rsid w:val="00BE7CFE"/>
    <w:rsid w:val="00BF0C73"/>
    <w:rsid w:val="00BF18CC"/>
    <w:rsid w:val="00BF3B62"/>
    <w:rsid w:val="00BF4B20"/>
    <w:rsid w:val="00BF4DD6"/>
    <w:rsid w:val="00BF5160"/>
    <w:rsid w:val="00BF53F6"/>
    <w:rsid w:val="00BF5AC0"/>
    <w:rsid w:val="00BF6C93"/>
    <w:rsid w:val="00BF6E7B"/>
    <w:rsid w:val="00BF707F"/>
    <w:rsid w:val="00BF7858"/>
    <w:rsid w:val="00BF7D11"/>
    <w:rsid w:val="00C0066F"/>
    <w:rsid w:val="00C0168E"/>
    <w:rsid w:val="00C016C6"/>
    <w:rsid w:val="00C02349"/>
    <w:rsid w:val="00C023C7"/>
    <w:rsid w:val="00C02719"/>
    <w:rsid w:val="00C02A4D"/>
    <w:rsid w:val="00C02F0E"/>
    <w:rsid w:val="00C03845"/>
    <w:rsid w:val="00C043CF"/>
    <w:rsid w:val="00C050DE"/>
    <w:rsid w:val="00C068A3"/>
    <w:rsid w:val="00C07EAB"/>
    <w:rsid w:val="00C1006D"/>
    <w:rsid w:val="00C10074"/>
    <w:rsid w:val="00C10396"/>
    <w:rsid w:val="00C105FF"/>
    <w:rsid w:val="00C10EAE"/>
    <w:rsid w:val="00C11671"/>
    <w:rsid w:val="00C12DE2"/>
    <w:rsid w:val="00C159CA"/>
    <w:rsid w:val="00C168D5"/>
    <w:rsid w:val="00C172DF"/>
    <w:rsid w:val="00C205FD"/>
    <w:rsid w:val="00C20CED"/>
    <w:rsid w:val="00C2177A"/>
    <w:rsid w:val="00C2186A"/>
    <w:rsid w:val="00C22715"/>
    <w:rsid w:val="00C228F5"/>
    <w:rsid w:val="00C22D06"/>
    <w:rsid w:val="00C22F0F"/>
    <w:rsid w:val="00C23C2B"/>
    <w:rsid w:val="00C2433E"/>
    <w:rsid w:val="00C25557"/>
    <w:rsid w:val="00C25B72"/>
    <w:rsid w:val="00C26A94"/>
    <w:rsid w:val="00C27D50"/>
    <w:rsid w:val="00C3110B"/>
    <w:rsid w:val="00C3126B"/>
    <w:rsid w:val="00C3177F"/>
    <w:rsid w:val="00C31F1C"/>
    <w:rsid w:val="00C3344C"/>
    <w:rsid w:val="00C35575"/>
    <w:rsid w:val="00C36086"/>
    <w:rsid w:val="00C37A0B"/>
    <w:rsid w:val="00C37F33"/>
    <w:rsid w:val="00C40116"/>
    <w:rsid w:val="00C40FB1"/>
    <w:rsid w:val="00C4103F"/>
    <w:rsid w:val="00C426A2"/>
    <w:rsid w:val="00C427DD"/>
    <w:rsid w:val="00C428FB"/>
    <w:rsid w:val="00C43A1C"/>
    <w:rsid w:val="00C43BD6"/>
    <w:rsid w:val="00C43F58"/>
    <w:rsid w:val="00C44831"/>
    <w:rsid w:val="00C44920"/>
    <w:rsid w:val="00C46438"/>
    <w:rsid w:val="00C46E5E"/>
    <w:rsid w:val="00C47E5D"/>
    <w:rsid w:val="00C5081D"/>
    <w:rsid w:val="00C512E2"/>
    <w:rsid w:val="00C51506"/>
    <w:rsid w:val="00C51AC7"/>
    <w:rsid w:val="00C527D3"/>
    <w:rsid w:val="00C528C3"/>
    <w:rsid w:val="00C52B11"/>
    <w:rsid w:val="00C5404C"/>
    <w:rsid w:val="00C54A71"/>
    <w:rsid w:val="00C56EA3"/>
    <w:rsid w:val="00C57043"/>
    <w:rsid w:val="00C577D5"/>
    <w:rsid w:val="00C6002B"/>
    <w:rsid w:val="00C615ED"/>
    <w:rsid w:val="00C61D26"/>
    <w:rsid w:val="00C621DC"/>
    <w:rsid w:val="00C627F7"/>
    <w:rsid w:val="00C62804"/>
    <w:rsid w:val="00C62E82"/>
    <w:rsid w:val="00C63708"/>
    <w:rsid w:val="00C63EBB"/>
    <w:rsid w:val="00C63FCF"/>
    <w:rsid w:val="00C66279"/>
    <w:rsid w:val="00C66E91"/>
    <w:rsid w:val="00C67DAF"/>
    <w:rsid w:val="00C70024"/>
    <w:rsid w:val="00C70AF5"/>
    <w:rsid w:val="00C71201"/>
    <w:rsid w:val="00C723B4"/>
    <w:rsid w:val="00C73511"/>
    <w:rsid w:val="00C74D45"/>
    <w:rsid w:val="00C752F7"/>
    <w:rsid w:val="00C752FA"/>
    <w:rsid w:val="00C754BB"/>
    <w:rsid w:val="00C755C5"/>
    <w:rsid w:val="00C75815"/>
    <w:rsid w:val="00C75CD8"/>
    <w:rsid w:val="00C76196"/>
    <w:rsid w:val="00C76838"/>
    <w:rsid w:val="00C77DE7"/>
    <w:rsid w:val="00C80403"/>
    <w:rsid w:val="00C80B58"/>
    <w:rsid w:val="00C816F5"/>
    <w:rsid w:val="00C81CCB"/>
    <w:rsid w:val="00C82CC5"/>
    <w:rsid w:val="00C84320"/>
    <w:rsid w:val="00C84B85"/>
    <w:rsid w:val="00C84CA9"/>
    <w:rsid w:val="00C84FCD"/>
    <w:rsid w:val="00C85770"/>
    <w:rsid w:val="00C878EA"/>
    <w:rsid w:val="00C915B1"/>
    <w:rsid w:val="00C91E4F"/>
    <w:rsid w:val="00C92065"/>
    <w:rsid w:val="00C92996"/>
    <w:rsid w:val="00C92A7B"/>
    <w:rsid w:val="00C93F47"/>
    <w:rsid w:val="00C93FE8"/>
    <w:rsid w:val="00C940C4"/>
    <w:rsid w:val="00C94196"/>
    <w:rsid w:val="00C942C1"/>
    <w:rsid w:val="00C94ED8"/>
    <w:rsid w:val="00C95065"/>
    <w:rsid w:val="00C95820"/>
    <w:rsid w:val="00C96947"/>
    <w:rsid w:val="00C9719F"/>
    <w:rsid w:val="00C977C4"/>
    <w:rsid w:val="00CA10D3"/>
    <w:rsid w:val="00CA24F7"/>
    <w:rsid w:val="00CA27E0"/>
    <w:rsid w:val="00CA2A02"/>
    <w:rsid w:val="00CA2C83"/>
    <w:rsid w:val="00CA39B3"/>
    <w:rsid w:val="00CA3D4B"/>
    <w:rsid w:val="00CA55D6"/>
    <w:rsid w:val="00CA7776"/>
    <w:rsid w:val="00CB084A"/>
    <w:rsid w:val="00CB0ECE"/>
    <w:rsid w:val="00CB1A7C"/>
    <w:rsid w:val="00CB21DD"/>
    <w:rsid w:val="00CB366D"/>
    <w:rsid w:val="00CB41D7"/>
    <w:rsid w:val="00CB4A7D"/>
    <w:rsid w:val="00CB509E"/>
    <w:rsid w:val="00CB50C2"/>
    <w:rsid w:val="00CB5E75"/>
    <w:rsid w:val="00CB6CF2"/>
    <w:rsid w:val="00CB728F"/>
    <w:rsid w:val="00CC005C"/>
    <w:rsid w:val="00CC11FB"/>
    <w:rsid w:val="00CC2162"/>
    <w:rsid w:val="00CC2C09"/>
    <w:rsid w:val="00CC308D"/>
    <w:rsid w:val="00CC4332"/>
    <w:rsid w:val="00CC4BA1"/>
    <w:rsid w:val="00CC4DAE"/>
    <w:rsid w:val="00CC5B5A"/>
    <w:rsid w:val="00CC68CA"/>
    <w:rsid w:val="00CC7250"/>
    <w:rsid w:val="00CC782F"/>
    <w:rsid w:val="00CD0D9E"/>
    <w:rsid w:val="00CD1E14"/>
    <w:rsid w:val="00CD326D"/>
    <w:rsid w:val="00CD3BA1"/>
    <w:rsid w:val="00CD3CC5"/>
    <w:rsid w:val="00CD4666"/>
    <w:rsid w:val="00CD5B7B"/>
    <w:rsid w:val="00CD5C8C"/>
    <w:rsid w:val="00CD6711"/>
    <w:rsid w:val="00CD75D2"/>
    <w:rsid w:val="00CE018D"/>
    <w:rsid w:val="00CE023E"/>
    <w:rsid w:val="00CE02AC"/>
    <w:rsid w:val="00CE2245"/>
    <w:rsid w:val="00CE2EFD"/>
    <w:rsid w:val="00CE54E9"/>
    <w:rsid w:val="00CE582F"/>
    <w:rsid w:val="00CE5E5E"/>
    <w:rsid w:val="00CE6FDF"/>
    <w:rsid w:val="00CE759C"/>
    <w:rsid w:val="00CE7DFF"/>
    <w:rsid w:val="00CF098F"/>
    <w:rsid w:val="00CF15D3"/>
    <w:rsid w:val="00CF232D"/>
    <w:rsid w:val="00CF2636"/>
    <w:rsid w:val="00CF2D38"/>
    <w:rsid w:val="00CF3185"/>
    <w:rsid w:val="00CF44EF"/>
    <w:rsid w:val="00CF4D6C"/>
    <w:rsid w:val="00CF4F41"/>
    <w:rsid w:val="00CF53D5"/>
    <w:rsid w:val="00CF5C8F"/>
    <w:rsid w:val="00CF7675"/>
    <w:rsid w:val="00CF76D5"/>
    <w:rsid w:val="00D040A7"/>
    <w:rsid w:val="00D05D4C"/>
    <w:rsid w:val="00D05D77"/>
    <w:rsid w:val="00D062D8"/>
    <w:rsid w:val="00D07DC7"/>
    <w:rsid w:val="00D101FA"/>
    <w:rsid w:val="00D101FC"/>
    <w:rsid w:val="00D1280C"/>
    <w:rsid w:val="00D129EC"/>
    <w:rsid w:val="00D12AA4"/>
    <w:rsid w:val="00D13601"/>
    <w:rsid w:val="00D14B44"/>
    <w:rsid w:val="00D155CE"/>
    <w:rsid w:val="00D158C4"/>
    <w:rsid w:val="00D15936"/>
    <w:rsid w:val="00D15B5D"/>
    <w:rsid w:val="00D15E92"/>
    <w:rsid w:val="00D1644C"/>
    <w:rsid w:val="00D16882"/>
    <w:rsid w:val="00D16D53"/>
    <w:rsid w:val="00D17C16"/>
    <w:rsid w:val="00D17F96"/>
    <w:rsid w:val="00D21828"/>
    <w:rsid w:val="00D21F31"/>
    <w:rsid w:val="00D22F5E"/>
    <w:rsid w:val="00D23424"/>
    <w:rsid w:val="00D23830"/>
    <w:rsid w:val="00D23DCF"/>
    <w:rsid w:val="00D23DEC"/>
    <w:rsid w:val="00D24C54"/>
    <w:rsid w:val="00D25087"/>
    <w:rsid w:val="00D25120"/>
    <w:rsid w:val="00D27918"/>
    <w:rsid w:val="00D303A2"/>
    <w:rsid w:val="00D30DE1"/>
    <w:rsid w:val="00D30E49"/>
    <w:rsid w:val="00D31F69"/>
    <w:rsid w:val="00D32180"/>
    <w:rsid w:val="00D3236A"/>
    <w:rsid w:val="00D33964"/>
    <w:rsid w:val="00D342C3"/>
    <w:rsid w:val="00D35746"/>
    <w:rsid w:val="00D37583"/>
    <w:rsid w:val="00D375FB"/>
    <w:rsid w:val="00D3779D"/>
    <w:rsid w:val="00D3795B"/>
    <w:rsid w:val="00D37F1B"/>
    <w:rsid w:val="00D37F4D"/>
    <w:rsid w:val="00D407D9"/>
    <w:rsid w:val="00D42771"/>
    <w:rsid w:val="00D42B8B"/>
    <w:rsid w:val="00D42E5D"/>
    <w:rsid w:val="00D4373A"/>
    <w:rsid w:val="00D43F95"/>
    <w:rsid w:val="00D461F2"/>
    <w:rsid w:val="00D46ED5"/>
    <w:rsid w:val="00D46FF6"/>
    <w:rsid w:val="00D50422"/>
    <w:rsid w:val="00D5050A"/>
    <w:rsid w:val="00D507D1"/>
    <w:rsid w:val="00D50A47"/>
    <w:rsid w:val="00D50F8C"/>
    <w:rsid w:val="00D51624"/>
    <w:rsid w:val="00D51871"/>
    <w:rsid w:val="00D51C32"/>
    <w:rsid w:val="00D51C80"/>
    <w:rsid w:val="00D5224D"/>
    <w:rsid w:val="00D5278C"/>
    <w:rsid w:val="00D52FF6"/>
    <w:rsid w:val="00D5381F"/>
    <w:rsid w:val="00D53A2D"/>
    <w:rsid w:val="00D575E9"/>
    <w:rsid w:val="00D60EDB"/>
    <w:rsid w:val="00D611B5"/>
    <w:rsid w:val="00D623AE"/>
    <w:rsid w:val="00D635A7"/>
    <w:rsid w:val="00D635CD"/>
    <w:rsid w:val="00D64246"/>
    <w:rsid w:val="00D65289"/>
    <w:rsid w:val="00D65BB1"/>
    <w:rsid w:val="00D65BED"/>
    <w:rsid w:val="00D66AB1"/>
    <w:rsid w:val="00D67C57"/>
    <w:rsid w:val="00D67D54"/>
    <w:rsid w:val="00D705CF"/>
    <w:rsid w:val="00D705D2"/>
    <w:rsid w:val="00D71291"/>
    <w:rsid w:val="00D717B1"/>
    <w:rsid w:val="00D722C6"/>
    <w:rsid w:val="00D73CB8"/>
    <w:rsid w:val="00D74C4F"/>
    <w:rsid w:val="00D75488"/>
    <w:rsid w:val="00D76193"/>
    <w:rsid w:val="00D769F3"/>
    <w:rsid w:val="00D775BE"/>
    <w:rsid w:val="00D7791B"/>
    <w:rsid w:val="00D80CD5"/>
    <w:rsid w:val="00D80E35"/>
    <w:rsid w:val="00D80FA4"/>
    <w:rsid w:val="00D823D2"/>
    <w:rsid w:val="00D82D45"/>
    <w:rsid w:val="00D83315"/>
    <w:rsid w:val="00D83544"/>
    <w:rsid w:val="00D8355F"/>
    <w:rsid w:val="00D83571"/>
    <w:rsid w:val="00D8383A"/>
    <w:rsid w:val="00D83F9D"/>
    <w:rsid w:val="00D83FE3"/>
    <w:rsid w:val="00D84EF2"/>
    <w:rsid w:val="00D85B40"/>
    <w:rsid w:val="00D86D05"/>
    <w:rsid w:val="00D86F38"/>
    <w:rsid w:val="00D87123"/>
    <w:rsid w:val="00D8732A"/>
    <w:rsid w:val="00D873F8"/>
    <w:rsid w:val="00D879C3"/>
    <w:rsid w:val="00D9130D"/>
    <w:rsid w:val="00D9233D"/>
    <w:rsid w:val="00D92DDD"/>
    <w:rsid w:val="00D92EFF"/>
    <w:rsid w:val="00D9347D"/>
    <w:rsid w:val="00D936E8"/>
    <w:rsid w:val="00D93CFD"/>
    <w:rsid w:val="00D94E7D"/>
    <w:rsid w:val="00D95EC2"/>
    <w:rsid w:val="00D960A1"/>
    <w:rsid w:val="00D9648E"/>
    <w:rsid w:val="00D97D10"/>
    <w:rsid w:val="00DA31F7"/>
    <w:rsid w:val="00DA355F"/>
    <w:rsid w:val="00DA3589"/>
    <w:rsid w:val="00DA43B7"/>
    <w:rsid w:val="00DA492F"/>
    <w:rsid w:val="00DA4D1E"/>
    <w:rsid w:val="00DA5604"/>
    <w:rsid w:val="00DA5852"/>
    <w:rsid w:val="00DA6AF0"/>
    <w:rsid w:val="00DA772A"/>
    <w:rsid w:val="00DA7B18"/>
    <w:rsid w:val="00DB0757"/>
    <w:rsid w:val="00DB0A20"/>
    <w:rsid w:val="00DB15B9"/>
    <w:rsid w:val="00DB18CD"/>
    <w:rsid w:val="00DB22F1"/>
    <w:rsid w:val="00DB2756"/>
    <w:rsid w:val="00DB297B"/>
    <w:rsid w:val="00DB2F72"/>
    <w:rsid w:val="00DB3B66"/>
    <w:rsid w:val="00DB4286"/>
    <w:rsid w:val="00DB4547"/>
    <w:rsid w:val="00DB5D0A"/>
    <w:rsid w:val="00DB7A40"/>
    <w:rsid w:val="00DB7B2D"/>
    <w:rsid w:val="00DC0931"/>
    <w:rsid w:val="00DC0E6B"/>
    <w:rsid w:val="00DC1081"/>
    <w:rsid w:val="00DC18F6"/>
    <w:rsid w:val="00DC619C"/>
    <w:rsid w:val="00DC623B"/>
    <w:rsid w:val="00DC74D3"/>
    <w:rsid w:val="00DC78C2"/>
    <w:rsid w:val="00DC7C91"/>
    <w:rsid w:val="00DD008D"/>
    <w:rsid w:val="00DD18AA"/>
    <w:rsid w:val="00DD1ADF"/>
    <w:rsid w:val="00DD28E7"/>
    <w:rsid w:val="00DD3FAC"/>
    <w:rsid w:val="00DD4C14"/>
    <w:rsid w:val="00DD5B6A"/>
    <w:rsid w:val="00DD61D5"/>
    <w:rsid w:val="00DD63EB"/>
    <w:rsid w:val="00DD650D"/>
    <w:rsid w:val="00DD6768"/>
    <w:rsid w:val="00DD6B6A"/>
    <w:rsid w:val="00DD76D9"/>
    <w:rsid w:val="00DD7BBD"/>
    <w:rsid w:val="00DD7CD3"/>
    <w:rsid w:val="00DE0159"/>
    <w:rsid w:val="00DE0785"/>
    <w:rsid w:val="00DE0D6E"/>
    <w:rsid w:val="00DE0E46"/>
    <w:rsid w:val="00DE1282"/>
    <w:rsid w:val="00DE13F5"/>
    <w:rsid w:val="00DE161F"/>
    <w:rsid w:val="00DE26C9"/>
    <w:rsid w:val="00DE2EC5"/>
    <w:rsid w:val="00DE30F3"/>
    <w:rsid w:val="00DE3A1F"/>
    <w:rsid w:val="00DE3AEA"/>
    <w:rsid w:val="00DE48BF"/>
    <w:rsid w:val="00DE68B6"/>
    <w:rsid w:val="00DE70EA"/>
    <w:rsid w:val="00DE7232"/>
    <w:rsid w:val="00DF14E0"/>
    <w:rsid w:val="00DF17A9"/>
    <w:rsid w:val="00DF192D"/>
    <w:rsid w:val="00DF3302"/>
    <w:rsid w:val="00DF58E4"/>
    <w:rsid w:val="00DF596A"/>
    <w:rsid w:val="00DF694A"/>
    <w:rsid w:val="00DF6C70"/>
    <w:rsid w:val="00DF703C"/>
    <w:rsid w:val="00DF7134"/>
    <w:rsid w:val="00E00B1E"/>
    <w:rsid w:val="00E01114"/>
    <w:rsid w:val="00E01522"/>
    <w:rsid w:val="00E017DF"/>
    <w:rsid w:val="00E025DF"/>
    <w:rsid w:val="00E03517"/>
    <w:rsid w:val="00E04331"/>
    <w:rsid w:val="00E0521A"/>
    <w:rsid w:val="00E0527D"/>
    <w:rsid w:val="00E06C48"/>
    <w:rsid w:val="00E06CDD"/>
    <w:rsid w:val="00E06D44"/>
    <w:rsid w:val="00E10228"/>
    <w:rsid w:val="00E10496"/>
    <w:rsid w:val="00E11C18"/>
    <w:rsid w:val="00E12055"/>
    <w:rsid w:val="00E12725"/>
    <w:rsid w:val="00E1276E"/>
    <w:rsid w:val="00E12B45"/>
    <w:rsid w:val="00E13088"/>
    <w:rsid w:val="00E13410"/>
    <w:rsid w:val="00E13EE1"/>
    <w:rsid w:val="00E151D1"/>
    <w:rsid w:val="00E156A3"/>
    <w:rsid w:val="00E15C87"/>
    <w:rsid w:val="00E15D3C"/>
    <w:rsid w:val="00E1600B"/>
    <w:rsid w:val="00E16021"/>
    <w:rsid w:val="00E161F9"/>
    <w:rsid w:val="00E16BC7"/>
    <w:rsid w:val="00E17BCC"/>
    <w:rsid w:val="00E17C75"/>
    <w:rsid w:val="00E2034A"/>
    <w:rsid w:val="00E21417"/>
    <w:rsid w:val="00E21E27"/>
    <w:rsid w:val="00E22DFE"/>
    <w:rsid w:val="00E23F65"/>
    <w:rsid w:val="00E2450B"/>
    <w:rsid w:val="00E25C70"/>
    <w:rsid w:val="00E25CF0"/>
    <w:rsid w:val="00E261A3"/>
    <w:rsid w:val="00E26C4B"/>
    <w:rsid w:val="00E273F1"/>
    <w:rsid w:val="00E308CE"/>
    <w:rsid w:val="00E31361"/>
    <w:rsid w:val="00E3157C"/>
    <w:rsid w:val="00E3180B"/>
    <w:rsid w:val="00E321EB"/>
    <w:rsid w:val="00E331B5"/>
    <w:rsid w:val="00E36675"/>
    <w:rsid w:val="00E36E8F"/>
    <w:rsid w:val="00E3742F"/>
    <w:rsid w:val="00E406D5"/>
    <w:rsid w:val="00E424F6"/>
    <w:rsid w:val="00E43C72"/>
    <w:rsid w:val="00E43CD0"/>
    <w:rsid w:val="00E44CD3"/>
    <w:rsid w:val="00E44EEE"/>
    <w:rsid w:val="00E44F3F"/>
    <w:rsid w:val="00E450AD"/>
    <w:rsid w:val="00E4720E"/>
    <w:rsid w:val="00E473F8"/>
    <w:rsid w:val="00E4745A"/>
    <w:rsid w:val="00E50A6E"/>
    <w:rsid w:val="00E50CEC"/>
    <w:rsid w:val="00E50E0E"/>
    <w:rsid w:val="00E51BAE"/>
    <w:rsid w:val="00E51E4D"/>
    <w:rsid w:val="00E53568"/>
    <w:rsid w:val="00E53FCA"/>
    <w:rsid w:val="00E54690"/>
    <w:rsid w:val="00E55405"/>
    <w:rsid w:val="00E55513"/>
    <w:rsid w:val="00E557D7"/>
    <w:rsid w:val="00E55BDA"/>
    <w:rsid w:val="00E55F9E"/>
    <w:rsid w:val="00E5626C"/>
    <w:rsid w:val="00E5709A"/>
    <w:rsid w:val="00E5717A"/>
    <w:rsid w:val="00E571F3"/>
    <w:rsid w:val="00E6046D"/>
    <w:rsid w:val="00E604C4"/>
    <w:rsid w:val="00E609CF"/>
    <w:rsid w:val="00E60C3E"/>
    <w:rsid w:val="00E60D11"/>
    <w:rsid w:val="00E60E5B"/>
    <w:rsid w:val="00E60FF7"/>
    <w:rsid w:val="00E61188"/>
    <w:rsid w:val="00E623A6"/>
    <w:rsid w:val="00E63198"/>
    <w:rsid w:val="00E64D4F"/>
    <w:rsid w:val="00E6567E"/>
    <w:rsid w:val="00E65B82"/>
    <w:rsid w:val="00E65DB0"/>
    <w:rsid w:val="00E66726"/>
    <w:rsid w:val="00E668DA"/>
    <w:rsid w:val="00E70A20"/>
    <w:rsid w:val="00E70B63"/>
    <w:rsid w:val="00E74278"/>
    <w:rsid w:val="00E75AE1"/>
    <w:rsid w:val="00E75E43"/>
    <w:rsid w:val="00E76CBD"/>
    <w:rsid w:val="00E80322"/>
    <w:rsid w:val="00E804C4"/>
    <w:rsid w:val="00E8094E"/>
    <w:rsid w:val="00E8131B"/>
    <w:rsid w:val="00E81570"/>
    <w:rsid w:val="00E815E7"/>
    <w:rsid w:val="00E82C60"/>
    <w:rsid w:val="00E83F10"/>
    <w:rsid w:val="00E846C4"/>
    <w:rsid w:val="00E84B3D"/>
    <w:rsid w:val="00E84C2F"/>
    <w:rsid w:val="00E84E2E"/>
    <w:rsid w:val="00E86499"/>
    <w:rsid w:val="00E8669D"/>
    <w:rsid w:val="00E867DB"/>
    <w:rsid w:val="00E873E3"/>
    <w:rsid w:val="00E878E0"/>
    <w:rsid w:val="00E90AC1"/>
    <w:rsid w:val="00E90BA5"/>
    <w:rsid w:val="00E91A18"/>
    <w:rsid w:val="00E91E5F"/>
    <w:rsid w:val="00E91EF7"/>
    <w:rsid w:val="00E924B1"/>
    <w:rsid w:val="00E92AFC"/>
    <w:rsid w:val="00E943FE"/>
    <w:rsid w:val="00E94B7E"/>
    <w:rsid w:val="00E94E48"/>
    <w:rsid w:val="00E95C63"/>
    <w:rsid w:val="00E95CF1"/>
    <w:rsid w:val="00E95F7C"/>
    <w:rsid w:val="00E9603D"/>
    <w:rsid w:val="00E9688F"/>
    <w:rsid w:val="00E96B26"/>
    <w:rsid w:val="00E96C58"/>
    <w:rsid w:val="00E9739A"/>
    <w:rsid w:val="00E97412"/>
    <w:rsid w:val="00E974C5"/>
    <w:rsid w:val="00EA016C"/>
    <w:rsid w:val="00EA1C11"/>
    <w:rsid w:val="00EA1EBC"/>
    <w:rsid w:val="00EA231F"/>
    <w:rsid w:val="00EA30C8"/>
    <w:rsid w:val="00EA3181"/>
    <w:rsid w:val="00EA4C28"/>
    <w:rsid w:val="00EA4DC3"/>
    <w:rsid w:val="00EA5101"/>
    <w:rsid w:val="00EA6173"/>
    <w:rsid w:val="00EA6C96"/>
    <w:rsid w:val="00EA79A3"/>
    <w:rsid w:val="00EB0464"/>
    <w:rsid w:val="00EB2C0E"/>
    <w:rsid w:val="00EB2ECA"/>
    <w:rsid w:val="00EB3C01"/>
    <w:rsid w:val="00EB4493"/>
    <w:rsid w:val="00EB472E"/>
    <w:rsid w:val="00EB4F49"/>
    <w:rsid w:val="00EB5204"/>
    <w:rsid w:val="00EB5DB0"/>
    <w:rsid w:val="00EB6249"/>
    <w:rsid w:val="00EB7003"/>
    <w:rsid w:val="00EB7FD7"/>
    <w:rsid w:val="00EC0A8A"/>
    <w:rsid w:val="00EC0E20"/>
    <w:rsid w:val="00EC154B"/>
    <w:rsid w:val="00EC1C19"/>
    <w:rsid w:val="00EC22EE"/>
    <w:rsid w:val="00EC43D6"/>
    <w:rsid w:val="00EC4766"/>
    <w:rsid w:val="00EC4786"/>
    <w:rsid w:val="00EC4CE1"/>
    <w:rsid w:val="00EC518C"/>
    <w:rsid w:val="00EC5EB1"/>
    <w:rsid w:val="00EC65B6"/>
    <w:rsid w:val="00EC6633"/>
    <w:rsid w:val="00EC736F"/>
    <w:rsid w:val="00ED19BC"/>
    <w:rsid w:val="00ED25D3"/>
    <w:rsid w:val="00ED28AB"/>
    <w:rsid w:val="00ED2A54"/>
    <w:rsid w:val="00ED529F"/>
    <w:rsid w:val="00ED5A87"/>
    <w:rsid w:val="00ED6020"/>
    <w:rsid w:val="00ED6513"/>
    <w:rsid w:val="00EE0036"/>
    <w:rsid w:val="00EE0380"/>
    <w:rsid w:val="00EE0CD8"/>
    <w:rsid w:val="00EE1ED7"/>
    <w:rsid w:val="00EE2D2D"/>
    <w:rsid w:val="00EE384F"/>
    <w:rsid w:val="00EE38A9"/>
    <w:rsid w:val="00EE38D9"/>
    <w:rsid w:val="00EE3D85"/>
    <w:rsid w:val="00EE41EE"/>
    <w:rsid w:val="00EE4AAA"/>
    <w:rsid w:val="00EE56BB"/>
    <w:rsid w:val="00EE583A"/>
    <w:rsid w:val="00EE6811"/>
    <w:rsid w:val="00EE71CF"/>
    <w:rsid w:val="00EE7491"/>
    <w:rsid w:val="00EE7749"/>
    <w:rsid w:val="00EE7D3E"/>
    <w:rsid w:val="00EE7FB2"/>
    <w:rsid w:val="00EF199F"/>
    <w:rsid w:val="00EF3080"/>
    <w:rsid w:val="00EF59D8"/>
    <w:rsid w:val="00EF6616"/>
    <w:rsid w:val="00F0303C"/>
    <w:rsid w:val="00F03D42"/>
    <w:rsid w:val="00F04073"/>
    <w:rsid w:val="00F044B7"/>
    <w:rsid w:val="00F052AF"/>
    <w:rsid w:val="00F053D7"/>
    <w:rsid w:val="00F0777F"/>
    <w:rsid w:val="00F1209C"/>
    <w:rsid w:val="00F129D9"/>
    <w:rsid w:val="00F12D18"/>
    <w:rsid w:val="00F13D0E"/>
    <w:rsid w:val="00F143CA"/>
    <w:rsid w:val="00F14806"/>
    <w:rsid w:val="00F14925"/>
    <w:rsid w:val="00F15E21"/>
    <w:rsid w:val="00F16F10"/>
    <w:rsid w:val="00F175D1"/>
    <w:rsid w:val="00F1782B"/>
    <w:rsid w:val="00F17E95"/>
    <w:rsid w:val="00F20298"/>
    <w:rsid w:val="00F2032C"/>
    <w:rsid w:val="00F20582"/>
    <w:rsid w:val="00F20644"/>
    <w:rsid w:val="00F2070C"/>
    <w:rsid w:val="00F20E68"/>
    <w:rsid w:val="00F21B88"/>
    <w:rsid w:val="00F21BB2"/>
    <w:rsid w:val="00F234F6"/>
    <w:rsid w:val="00F237C6"/>
    <w:rsid w:val="00F249E3"/>
    <w:rsid w:val="00F24D83"/>
    <w:rsid w:val="00F26987"/>
    <w:rsid w:val="00F26BBD"/>
    <w:rsid w:val="00F27EB6"/>
    <w:rsid w:val="00F307F2"/>
    <w:rsid w:val="00F30A68"/>
    <w:rsid w:val="00F317EC"/>
    <w:rsid w:val="00F31DD7"/>
    <w:rsid w:val="00F32B5A"/>
    <w:rsid w:val="00F33176"/>
    <w:rsid w:val="00F33EBF"/>
    <w:rsid w:val="00F34404"/>
    <w:rsid w:val="00F34442"/>
    <w:rsid w:val="00F348A4"/>
    <w:rsid w:val="00F3588D"/>
    <w:rsid w:val="00F358A2"/>
    <w:rsid w:val="00F36A11"/>
    <w:rsid w:val="00F37623"/>
    <w:rsid w:val="00F4053A"/>
    <w:rsid w:val="00F42138"/>
    <w:rsid w:val="00F42318"/>
    <w:rsid w:val="00F4236E"/>
    <w:rsid w:val="00F4354A"/>
    <w:rsid w:val="00F4376B"/>
    <w:rsid w:val="00F438A5"/>
    <w:rsid w:val="00F43F5C"/>
    <w:rsid w:val="00F4456C"/>
    <w:rsid w:val="00F449B1"/>
    <w:rsid w:val="00F45E84"/>
    <w:rsid w:val="00F45F54"/>
    <w:rsid w:val="00F465E1"/>
    <w:rsid w:val="00F46983"/>
    <w:rsid w:val="00F474CC"/>
    <w:rsid w:val="00F47645"/>
    <w:rsid w:val="00F511DA"/>
    <w:rsid w:val="00F522A9"/>
    <w:rsid w:val="00F527BB"/>
    <w:rsid w:val="00F54BBE"/>
    <w:rsid w:val="00F5503C"/>
    <w:rsid w:val="00F553F7"/>
    <w:rsid w:val="00F56864"/>
    <w:rsid w:val="00F57389"/>
    <w:rsid w:val="00F5746C"/>
    <w:rsid w:val="00F5749E"/>
    <w:rsid w:val="00F6166E"/>
    <w:rsid w:val="00F61814"/>
    <w:rsid w:val="00F618FC"/>
    <w:rsid w:val="00F626E7"/>
    <w:rsid w:val="00F629C9"/>
    <w:rsid w:val="00F62CEE"/>
    <w:rsid w:val="00F62D71"/>
    <w:rsid w:val="00F63558"/>
    <w:rsid w:val="00F63AAE"/>
    <w:rsid w:val="00F64DD5"/>
    <w:rsid w:val="00F65D87"/>
    <w:rsid w:val="00F66BC0"/>
    <w:rsid w:val="00F67354"/>
    <w:rsid w:val="00F67ED0"/>
    <w:rsid w:val="00F67F0E"/>
    <w:rsid w:val="00F705C2"/>
    <w:rsid w:val="00F7068A"/>
    <w:rsid w:val="00F71424"/>
    <w:rsid w:val="00F71887"/>
    <w:rsid w:val="00F71A4B"/>
    <w:rsid w:val="00F71AC4"/>
    <w:rsid w:val="00F7447D"/>
    <w:rsid w:val="00F744FA"/>
    <w:rsid w:val="00F81B42"/>
    <w:rsid w:val="00F81C4A"/>
    <w:rsid w:val="00F81FC4"/>
    <w:rsid w:val="00F82DA7"/>
    <w:rsid w:val="00F82ED6"/>
    <w:rsid w:val="00F83353"/>
    <w:rsid w:val="00F84504"/>
    <w:rsid w:val="00F850B2"/>
    <w:rsid w:val="00F86032"/>
    <w:rsid w:val="00F86552"/>
    <w:rsid w:val="00F86A70"/>
    <w:rsid w:val="00F87947"/>
    <w:rsid w:val="00F87C6F"/>
    <w:rsid w:val="00F90DBD"/>
    <w:rsid w:val="00F91363"/>
    <w:rsid w:val="00F9145F"/>
    <w:rsid w:val="00F92802"/>
    <w:rsid w:val="00F92B61"/>
    <w:rsid w:val="00F92CCC"/>
    <w:rsid w:val="00F93198"/>
    <w:rsid w:val="00F9485B"/>
    <w:rsid w:val="00F94C9D"/>
    <w:rsid w:val="00F956D3"/>
    <w:rsid w:val="00F96138"/>
    <w:rsid w:val="00F96610"/>
    <w:rsid w:val="00F9756E"/>
    <w:rsid w:val="00F9779B"/>
    <w:rsid w:val="00F977DA"/>
    <w:rsid w:val="00F97C8E"/>
    <w:rsid w:val="00FA0172"/>
    <w:rsid w:val="00FA050A"/>
    <w:rsid w:val="00FA068D"/>
    <w:rsid w:val="00FA0734"/>
    <w:rsid w:val="00FA176F"/>
    <w:rsid w:val="00FA2096"/>
    <w:rsid w:val="00FA2CB8"/>
    <w:rsid w:val="00FA2D07"/>
    <w:rsid w:val="00FA2FED"/>
    <w:rsid w:val="00FA36F1"/>
    <w:rsid w:val="00FA6713"/>
    <w:rsid w:val="00FB029D"/>
    <w:rsid w:val="00FB0747"/>
    <w:rsid w:val="00FB0EA5"/>
    <w:rsid w:val="00FB132E"/>
    <w:rsid w:val="00FB2824"/>
    <w:rsid w:val="00FB3B56"/>
    <w:rsid w:val="00FB42C6"/>
    <w:rsid w:val="00FB4B58"/>
    <w:rsid w:val="00FB4C99"/>
    <w:rsid w:val="00FB5362"/>
    <w:rsid w:val="00FB6895"/>
    <w:rsid w:val="00FB745D"/>
    <w:rsid w:val="00FB7897"/>
    <w:rsid w:val="00FB7C1D"/>
    <w:rsid w:val="00FB7DA3"/>
    <w:rsid w:val="00FC070F"/>
    <w:rsid w:val="00FC2102"/>
    <w:rsid w:val="00FC27EF"/>
    <w:rsid w:val="00FC2C53"/>
    <w:rsid w:val="00FC2D35"/>
    <w:rsid w:val="00FC4453"/>
    <w:rsid w:val="00FC4DD1"/>
    <w:rsid w:val="00FC4F39"/>
    <w:rsid w:val="00FC747A"/>
    <w:rsid w:val="00FD03D5"/>
    <w:rsid w:val="00FD0667"/>
    <w:rsid w:val="00FD09FA"/>
    <w:rsid w:val="00FD0E74"/>
    <w:rsid w:val="00FD148C"/>
    <w:rsid w:val="00FD1A35"/>
    <w:rsid w:val="00FD1C4F"/>
    <w:rsid w:val="00FD1DF2"/>
    <w:rsid w:val="00FD1FBC"/>
    <w:rsid w:val="00FD352C"/>
    <w:rsid w:val="00FD3818"/>
    <w:rsid w:val="00FD3C12"/>
    <w:rsid w:val="00FD44D4"/>
    <w:rsid w:val="00FD508F"/>
    <w:rsid w:val="00FD59D7"/>
    <w:rsid w:val="00FD6182"/>
    <w:rsid w:val="00FD7761"/>
    <w:rsid w:val="00FD7DE1"/>
    <w:rsid w:val="00FE04D4"/>
    <w:rsid w:val="00FE0ABB"/>
    <w:rsid w:val="00FE0B5A"/>
    <w:rsid w:val="00FE10C6"/>
    <w:rsid w:val="00FE16D5"/>
    <w:rsid w:val="00FE3D87"/>
    <w:rsid w:val="00FE42B0"/>
    <w:rsid w:val="00FE4AF8"/>
    <w:rsid w:val="00FE4CC3"/>
    <w:rsid w:val="00FE5770"/>
    <w:rsid w:val="00FE65C9"/>
    <w:rsid w:val="00FE6C86"/>
    <w:rsid w:val="00FE6F1D"/>
    <w:rsid w:val="00FE75EF"/>
    <w:rsid w:val="00FF29B8"/>
    <w:rsid w:val="00FF2B4D"/>
    <w:rsid w:val="00FF3805"/>
    <w:rsid w:val="00FF48DB"/>
    <w:rsid w:val="00FF4DCE"/>
    <w:rsid w:val="00FF58DB"/>
    <w:rsid w:val="00FF60EB"/>
    <w:rsid w:val="00FF650A"/>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DDA7F"/>
  <w15:docId w15:val="{8E065476-30C8-4204-AEAB-3644D5D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D0"/>
    <w:pPr>
      <w:spacing w:after="200" w:line="276" w:lineRule="auto"/>
    </w:pPr>
  </w:style>
  <w:style w:type="paragraph" w:styleId="Heading1">
    <w:name w:val="heading 1"/>
    <w:basedOn w:val="Normal"/>
    <w:next w:val="Normal"/>
    <w:link w:val="Heading1Char"/>
    <w:uiPriority w:val="99"/>
    <w:qFormat/>
    <w:rsid w:val="00B56D09"/>
    <w:pPr>
      <w:keepNext/>
      <w:widowControl w:val="0"/>
      <w:numPr>
        <w:numId w:val="1"/>
      </w:numPr>
      <w:autoSpaceDE w:val="0"/>
      <w:autoSpaceDN w:val="0"/>
      <w:adjustRightInd w:val="0"/>
      <w:spacing w:before="240" w:after="0" w:line="240" w:lineRule="auto"/>
      <w:outlineLvl w:val="0"/>
    </w:pPr>
    <w:rPr>
      <w:rFonts w:ascii="Times New Roman" w:hAnsi="Times New Roman"/>
      <w:b/>
      <w:bCs/>
      <w:sz w:val="30"/>
      <w:szCs w:val="30"/>
      <w:lang w:eastAsia="en-CA"/>
    </w:rPr>
  </w:style>
  <w:style w:type="paragraph" w:styleId="Heading2">
    <w:name w:val="heading 2"/>
    <w:basedOn w:val="Normal"/>
    <w:next w:val="Normal"/>
    <w:link w:val="Heading2Char"/>
    <w:uiPriority w:val="99"/>
    <w:qFormat/>
    <w:rsid w:val="00B56D09"/>
    <w:pPr>
      <w:keepNext/>
      <w:widowControl w:val="0"/>
      <w:numPr>
        <w:ilvl w:val="1"/>
        <w:numId w:val="1"/>
      </w:numPr>
      <w:autoSpaceDE w:val="0"/>
      <w:autoSpaceDN w:val="0"/>
      <w:adjustRightInd w:val="0"/>
      <w:spacing w:before="200" w:after="0" w:line="240" w:lineRule="auto"/>
      <w:outlineLvl w:val="1"/>
    </w:pPr>
    <w:rPr>
      <w:rFonts w:ascii="Times New Roman" w:hAnsi="Times New Roman"/>
      <w:b/>
      <w:bCs/>
      <w:sz w:val="26"/>
      <w:szCs w:val="26"/>
      <w:lang w:eastAsia="en-CA"/>
    </w:rPr>
  </w:style>
  <w:style w:type="paragraph" w:styleId="Heading3">
    <w:name w:val="heading 3"/>
    <w:basedOn w:val="Normal"/>
    <w:next w:val="Normal"/>
    <w:link w:val="Heading3Char"/>
    <w:uiPriority w:val="99"/>
    <w:qFormat/>
    <w:rsid w:val="00B56D09"/>
    <w:pPr>
      <w:keepNext/>
      <w:widowControl w:val="0"/>
      <w:numPr>
        <w:ilvl w:val="2"/>
        <w:numId w:val="1"/>
      </w:numPr>
      <w:autoSpaceDE w:val="0"/>
      <w:autoSpaceDN w:val="0"/>
      <w:adjustRightInd w:val="0"/>
      <w:spacing w:before="180" w:after="0" w:line="240" w:lineRule="auto"/>
      <w:outlineLvl w:val="2"/>
    </w:pPr>
    <w:rPr>
      <w:rFonts w:ascii="Times New Roman" w:hAnsi="Times New Roman"/>
      <w:b/>
      <w:bCs/>
      <w:lang w:eastAsia="en-CA"/>
    </w:rPr>
  </w:style>
  <w:style w:type="paragraph" w:styleId="Heading4">
    <w:name w:val="heading 4"/>
    <w:basedOn w:val="Normal"/>
    <w:next w:val="Normal"/>
    <w:link w:val="Heading4Char"/>
    <w:uiPriority w:val="99"/>
    <w:qFormat/>
    <w:rsid w:val="00B56D09"/>
    <w:pPr>
      <w:keepNext/>
      <w:widowControl w:val="0"/>
      <w:numPr>
        <w:ilvl w:val="3"/>
        <w:numId w:val="1"/>
      </w:numPr>
      <w:autoSpaceDE w:val="0"/>
      <w:autoSpaceDN w:val="0"/>
      <w:adjustRightInd w:val="0"/>
      <w:spacing w:before="160" w:after="0" w:line="240" w:lineRule="auto"/>
      <w:outlineLvl w:val="3"/>
    </w:pPr>
    <w:rPr>
      <w:rFonts w:ascii="Times New Roman" w:hAnsi="Times New Roman"/>
      <w:b/>
      <w:bCs/>
      <w:lang w:eastAsia="en-CA"/>
    </w:rPr>
  </w:style>
  <w:style w:type="paragraph" w:styleId="Heading5">
    <w:name w:val="heading 5"/>
    <w:basedOn w:val="Normal"/>
    <w:next w:val="Normal"/>
    <w:link w:val="Heading5Char"/>
    <w:uiPriority w:val="99"/>
    <w:qFormat/>
    <w:rsid w:val="00B56D09"/>
    <w:pPr>
      <w:keepNext/>
      <w:widowControl w:val="0"/>
      <w:numPr>
        <w:ilvl w:val="4"/>
        <w:numId w:val="1"/>
      </w:numPr>
      <w:autoSpaceDE w:val="0"/>
      <w:autoSpaceDN w:val="0"/>
      <w:adjustRightInd w:val="0"/>
      <w:spacing w:before="140" w:after="0" w:line="240" w:lineRule="auto"/>
      <w:outlineLvl w:val="4"/>
    </w:pPr>
    <w:rPr>
      <w:rFonts w:ascii="Times New Roman" w:hAnsi="Times New Roman"/>
      <w:b/>
      <w:bCs/>
      <w:sz w:val="20"/>
      <w:szCs w:val="20"/>
      <w:lang w:eastAsia="en-CA"/>
    </w:rPr>
  </w:style>
  <w:style w:type="paragraph" w:styleId="Heading6">
    <w:name w:val="heading 6"/>
    <w:basedOn w:val="Normal"/>
    <w:next w:val="Normal"/>
    <w:link w:val="Heading6Char"/>
    <w:unhideWhenUsed/>
    <w:qFormat/>
    <w:locked/>
    <w:rsid w:val="008942C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D09"/>
    <w:rPr>
      <w:rFonts w:ascii="Times New Roman" w:hAnsi="Times New Roman"/>
      <w:b/>
      <w:bCs/>
      <w:sz w:val="30"/>
      <w:szCs w:val="30"/>
      <w:lang w:eastAsia="en-CA"/>
    </w:rPr>
  </w:style>
  <w:style w:type="character" w:customStyle="1" w:styleId="Heading2Char">
    <w:name w:val="Heading 2 Char"/>
    <w:basedOn w:val="DefaultParagraphFont"/>
    <w:link w:val="Heading2"/>
    <w:uiPriority w:val="99"/>
    <w:locked/>
    <w:rsid w:val="00B56D09"/>
    <w:rPr>
      <w:rFonts w:ascii="Times New Roman" w:hAnsi="Times New Roman"/>
      <w:b/>
      <w:bCs/>
      <w:sz w:val="26"/>
      <w:szCs w:val="26"/>
      <w:lang w:eastAsia="en-CA"/>
    </w:rPr>
  </w:style>
  <w:style w:type="character" w:customStyle="1" w:styleId="Heading3Char">
    <w:name w:val="Heading 3 Char"/>
    <w:basedOn w:val="DefaultParagraphFont"/>
    <w:link w:val="Heading3"/>
    <w:uiPriority w:val="99"/>
    <w:locked/>
    <w:rsid w:val="00B56D09"/>
    <w:rPr>
      <w:rFonts w:ascii="Times New Roman" w:hAnsi="Times New Roman"/>
      <w:b/>
      <w:bCs/>
      <w:lang w:eastAsia="en-CA"/>
    </w:rPr>
  </w:style>
  <w:style w:type="character" w:customStyle="1" w:styleId="Heading4Char">
    <w:name w:val="Heading 4 Char"/>
    <w:basedOn w:val="DefaultParagraphFont"/>
    <w:link w:val="Heading4"/>
    <w:uiPriority w:val="99"/>
    <w:locked/>
    <w:rsid w:val="00B56D09"/>
    <w:rPr>
      <w:rFonts w:ascii="Times New Roman" w:hAnsi="Times New Roman"/>
      <w:b/>
      <w:bCs/>
      <w:lang w:eastAsia="en-CA"/>
    </w:rPr>
  </w:style>
  <w:style w:type="character" w:customStyle="1" w:styleId="Heading5Char">
    <w:name w:val="Heading 5 Char"/>
    <w:basedOn w:val="DefaultParagraphFont"/>
    <w:link w:val="Heading5"/>
    <w:uiPriority w:val="99"/>
    <w:locked/>
    <w:rsid w:val="00B56D09"/>
    <w:rPr>
      <w:rFonts w:ascii="Times New Roman" w:hAnsi="Times New Roman"/>
      <w:b/>
      <w:bCs/>
      <w:sz w:val="20"/>
      <w:szCs w:val="20"/>
      <w:lang w:eastAsia="en-CA"/>
    </w:rPr>
  </w:style>
  <w:style w:type="paragraph" w:styleId="Header">
    <w:name w:val="header"/>
    <w:basedOn w:val="Normal"/>
    <w:link w:val="HeaderChar"/>
    <w:uiPriority w:val="99"/>
    <w:rsid w:val="003B2E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2EA6"/>
    <w:rPr>
      <w:rFonts w:cs="Times New Roman"/>
    </w:rPr>
  </w:style>
  <w:style w:type="paragraph" w:styleId="Footer">
    <w:name w:val="footer"/>
    <w:basedOn w:val="Normal"/>
    <w:link w:val="FooterChar"/>
    <w:uiPriority w:val="99"/>
    <w:rsid w:val="003B2E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2EA6"/>
    <w:rPr>
      <w:rFonts w:cs="Times New Roman"/>
    </w:rPr>
  </w:style>
  <w:style w:type="table" w:styleId="TableGrid">
    <w:name w:val="Table Grid"/>
    <w:basedOn w:val="TableNormal"/>
    <w:uiPriority w:val="99"/>
    <w:rsid w:val="00E92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in notes"/>
    <w:basedOn w:val="Normal"/>
    <w:link w:val="ListParagraphChar"/>
    <w:uiPriority w:val="34"/>
    <w:qFormat/>
    <w:rsid w:val="00972CE8"/>
    <w:pPr>
      <w:ind w:left="720"/>
      <w:contextualSpacing/>
    </w:pPr>
  </w:style>
  <w:style w:type="paragraph" w:customStyle="1" w:styleId="Default">
    <w:name w:val="Default"/>
    <w:link w:val="DefaultChar"/>
    <w:rsid w:val="004E7424"/>
    <w:pPr>
      <w:autoSpaceDE w:val="0"/>
      <w:autoSpaceDN w:val="0"/>
      <w:adjustRightInd w:val="0"/>
    </w:pPr>
    <w:rPr>
      <w:rFonts w:ascii="Arial" w:hAnsi="Arial"/>
      <w:color w:val="000000"/>
    </w:rPr>
  </w:style>
  <w:style w:type="paragraph" w:styleId="DocumentMap">
    <w:name w:val="Document Map"/>
    <w:basedOn w:val="Normal"/>
    <w:link w:val="DocumentMapChar"/>
    <w:uiPriority w:val="99"/>
    <w:semiHidden/>
    <w:rsid w:val="00250B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0B7F"/>
    <w:rPr>
      <w:rFonts w:ascii="Tahoma" w:hAnsi="Tahoma" w:cs="Tahoma"/>
      <w:sz w:val="16"/>
      <w:szCs w:val="16"/>
    </w:rPr>
  </w:style>
  <w:style w:type="paragraph" w:styleId="ListBullet">
    <w:name w:val="List Bullet"/>
    <w:basedOn w:val="Normal"/>
    <w:uiPriority w:val="99"/>
    <w:rsid w:val="008854FD"/>
    <w:pPr>
      <w:tabs>
        <w:tab w:val="num" w:pos="360"/>
      </w:tabs>
      <w:ind w:left="360" w:hanging="360"/>
      <w:contextualSpacing/>
    </w:pPr>
  </w:style>
  <w:style w:type="paragraph" w:styleId="NoSpacing">
    <w:name w:val="No Spacing"/>
    <w:link w:val="NoSpacingChar"/>
    <w:uiPriority w:val="1"/>
    <w:qFormat/>
    <w:rsid w:val="00167318"/>
  </w:style>
  <w:style w:type="paragraph" w:styleId="NormalWeb">
    <w:name w:val="Normal (Web)"/>
    <w:basedOn w:val="Normal"/>
    <w:uiPriority w:val="99"/>
    <w:rsid w:val="0089559D"/>
    <w:pPr>
      <w:spacing w:before="100" w:beforeAutospacing="1" w:after="100" w:afterAutospacing="1" w:line="240" w:lineRule="auto"/>
    </w:pPr>
    <w:rPr>
      <w:rFonts w:ascii="Arial" w:hAnsi="Arial" w:cs="Arial"/>
      <w:color w:val="000000"/>
      <w:sz w:val="16"/>
      <w:szCs w:val="16"/>
    </w:rPr>
  </w:style>
  <w:style w:type="paragraph" w:styleId="BalloonText">
    <w:name w:val="Balloon Text"/>
    <w:basedOn w:val="Normal"/>
    <w:link w:val="BalloonTextChar"/>
    <w:uiPriority w:val="99"/>
    <w:semiHidden/>
    <w:rsid w:val="00AD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05F"/>
    <w:rPr>
      <w:rFonts w:ascii="Tahoma" w:hAnsi="Tahoma" w:cs="Tahoma"/>
      <w:sz w:val="16"/>
      <w:szCs w:val="16"/>
    </w:rPr>
  </w:style>
  <w:style w:type="paragraph" w:styleId="BodyText3">
    <w:name w:val="Body Text 3"/>
    <w:basedOn w:val="Normal"/>
    <w:link w:val="BodyText3Char"/>
    <w:uiPriority w:val="99"/>
    <w:rsid w:val="006309C2"/>
    <w:pPr>
      <w:spacing w:after="0" w:line="240" w:lineRule="auto"/>
    </w:pPr>
    <w:rPr>
      <w:rFonts w:ascii="Arial" w:eastAsia="Batang" w:hAnsi="Arial"/>
      <w:szCs w:val="20"/>
      <w:lang w:val="en-CA"/>
    </w:rPr>
  </w:style>
  <w:style w:type="character" w:customStyle="1" w:styleId="BodyText3Char">
    <w:name w:val="Body Text 3 Char"/>
    <w:basedOn w:val="DefaultParagraphFont"/>
    <w:link w:val="BodyText3"/>
    <w:uiPriority w:val="99"/>
    <w:locked/>
    <w:rsid w:val="006309C2"/>
    <w:rPr>
      <w:rFonts w:ascii="Arial" w:eastAsia="Batang" w:hAnsi="Arial" w:cs="Times New Roman"/>
      <w:sz w:val="20"/>
      <w:szCs w:val="20"/>
      <w:lang w:val="en-CA"/>
    </w:rPr>
  </w:style>
  <w:style w:type="character" w:customStyle="1" w:styleId="DefaultChar">
    <w:name w:val="Default Char"/>
    <w:link w:val="Default"/>
    <w:uiPriority w:val="99"/>
    <w:locked/>
    <w:rsid w:val="006600F2"/>
    <w:rPr>
      <w:rFonts w:ascii="Arial" w:hAnsi="Arial"/>
      <w:color w:val="000000"/>
      <w:sz w:val="22"/>
    </w:rPr>
  </w:style>
  <w:style w:type="character" w:styleId="CommentReference">
    <w:name w:val="annotation reference"/>
    <w:basedOn w:val="DefaultParagraphFont"/>
    <w:uiPriority w:val="99"/>
    <w:semiHidden/>
    <w:rsid w:val="000D300B"/>
    <w:rPr>
      <w:rFonts w:cs="Times New Roman"/>
      <w:sz w:val="16"/>
      <w:szCs w:val="16"/>
    </w:rPr>
  </w:style>
  <w:style w:type="paragraph" w:styleId="CommentText">
    <w:name w:val="annotation text"/>
    <w:basedOn w:val="Normal"/>
    <w:link w:val="CommentTextChar"/>
    <w:uiPriority w:val="99"/>
    <w:rsid w:val="000D300B"/>
    <w:pPr>
      <w:spacing w:line="240" w:lineRule="auto"/>
    </w:pPr>
    <w:rPr>
      <w:sz w:val="20"/>
      <w:szCs w:val="20"/>
    </w:rPr>
  </w:style>
  <w:style w:type="character" w:customStyle="1" w:styleId="CommentTextChar">
    <w:name w:val="Comment Text Char"/>
    <w:basedOn w:val="DefaultParagraphFont"/>
    <w:link w:val="CommentText"/>
    <w:uiPriority w:val="99"/>
    <w:locked/>
    <w:rsid w:val="000D300B"/>
    <w:rPr>
      <w:rFonts w:cs="Times New Roman"/>
      <w:sz w:val="20"/>
      <w:szCs w:val="20"/>
    </w:rPr>
  </w:style>
  <w:style w:type="paragraph" w:styleId="CommentSubject">
    <w:name w:val="annotation subject"/>
    <w:basedOn w:val="CommentText"/>
    <w:next w:val="CommentText"/>
    <w:link w:val="CommentSubjectChar"/>
    <w:uiPriority w:val="99"/>
    <w:semiHidden/>
    <w:rsid w:val="000D300B"/>
    <w:rPr>
      <w:b/>
      <w:bCs/>
    </w:rPr>
  </w:style>
  <w:style w:type="character" w:customStyle="1" w:styleId="CommentSubjectChar">
    <w:name w:val="Comment Subject Char"/>
    <w:basedOn w:val="CommentTextChar"/>
    <w:link w:val="CommentSubject"/>
    <w:uiPriority w:val="99"/>
    <w:semiHidden/>
    <w:locked/>
    <w:rsid w:val="000D300B"/>
    <w:rPr>
      <w:rFonts w:cs="Times New Roman"/>
      <w:b/>
      <w:bCs/>
      <w:sz w:val="20"/>
      <w:szCs w:val="20"/>
    </w:rPr>
  </w:style>
  <w:style w:type="paragraph" w:styleId="Revision">
    <w:name w:val="Revision"/>
    <w:hidden/>
    <w:uiPriority w:val="99"/>
    <w:semiHidden/>
    <w:rsid w:val="00D95EC2"/>
  </w:style>
  <w:style w:type="paragraph" w:customStyle="1" w:styleId="Indent2">
    <w:name w:val="Indent 2"/>
    <w:basedOn w:val="Normal"/>
    <w:uiPriority w:val="99"/>
    <w:rsid w:val="004627A9"/>
    <w:pPr>
      <w:spacing w:after="260" w:line="260" w:lineRule="atLeast"/>
      <w:ind w:left="864"/>
    </w:pPr>
    <w:rPr>
      <w:rFonts w:ascii="Times New Roman" w:hAnsi="Times New Roman"/>
      <w:lang w:val="en-CA"/>
    </w:rPr>
  </w:style>
  <w:style w:type="paragraph" w:customStyle="1" w:styleId="Par1">
    <w:name w:val="Par. # 1"/>
    <w:basedOn w:val="Normal"/>
    <w:next w:val="Normal"/>
    <w:uiPriority w:val="99"/>
    <w:rsid w:val="004627A9"/>
    <w:pPr>
      <w:keepNext/>
      <w:numPr>
        <w:numId w:val="2"/>
      </w:numPr>
      <w:spacing w:after="290" w:line="290" w:lineRule="atLeast"/>
      <w:outlineLvl w:val="0"/>
    </w:pPr>
    <w:rPr>
      <w:rFonts w:ascii="Times New Roman" w:hAnsi="Times New Roman"/>
      <w:b/>
      <w:sz w:val="24"/>
      <w:lang w:val="en-CA"/>
    </w:rPr>
  </w:style>
  <w:style w:type="paragraph" w:customStyle="1" w:styleId="Par2">
    <w:name w:val="Par. # 2"/>
    <w:basedOn w:val="Par1"/>
    <w:next w:val="Indent2"/>
    <w:uiPriority w:val="99"/>
    <w:rsid w:val="004627A9"/>
    <w:pPr>
      <w:numPr>
        <w:ilvl w:val="1"/>
      </w:numPr>
      <w:spacing w:after="260" w:line="260" w:lineRule="atLeast"/>
      <w:ind w:hanging="360"/>
      <w:outlineLvl w:val="1"/>
    </w:pPr>
    <w:rPr>
      <w:b w:val="0"/>
      <w:sz w:val="22"/>
    </w:rPr>
  </w:style>
  <w:style w:type="paragraph" w:customStyle="1" w:styleId="Par3">
    <w:name w:val="Par. # 3"/>
    <w:basedOn w:val="Par2"/>
    <w:next w:val="Normal"/>
    <w:uiPriority w:val="99"/>
    <w:rsid w:val="004627A9"/>
    <w:pPr>
      <w:numPr>
        <w:ilvl w:val="2"/>
      </w:numPr>
      <w:ind w:hanging="180"/>
      <w:outlineLvl w:val="2"/>
    </w:pPr>
  </w:style>
  <w:style w:type="paragraph" w:customStyle="1" w:styleId="BodyText05">
    <w:name w:val="BodyText 0.5"/>
    <w:aliases w:val="B5"/>
    <w:basedOn w:val="BodyText"/>
    <w:uiPriority w:val="99"/>
    <w:rsid w:val="004627A9"/>
    <w:pPr>
      <w:spacing w:after="240" w:line="240" w:lineRule="auto"/>
      <w:ind w:firstLine="720"/>
      <w:jc w:val="both"/>
    </w:pPr>
    <w:rPr>
      <w:rFonts w:ascii="Times New Roman" w:hAnsi="Times New Roman"/>
      <w:szCs w:val="24"/>
      <w:lang w:val="en-CA"/>
    </w:rPr>
  </w:style>
  <w:style w:type="paragraph" w:styleId="BodyText">
    <w:name w:val="Body Text"/>
    <w:basedOn w:val="Normal"/>
    <w:link w:val="BodyTextChar"/>
    <w:uiPriority w:val="99"/>
    <w:semiHidden/>
    <w:rsid w:val="004627A9"/>
    <w:pPr>
      <w:spacing w:after="120"/>
    </w:pPr>
  </w:style>
  <w:style w:type="character" w:customStyle="1" w:styleId="BodyTextChar">
    <w:name w:val="Body Text Char"/>
    <w:basedOn w:val="DefaultParagraphFont"/>
    <w:link w:val="BodyText"/>
    <w:uiPriority w:val="99"/>
    <w:semiHidden/>
    <w:locked/>
    <w:rsid w:val="004627A9"/>
    <w:rPr>
      <w:rFonts w:cs="Times New Roman"/>
    </w:rPr>
  </w:style>
  <w:style w:type="character" w:styleId="PageNumber">
    <w:name w:val="page number"/>
    <w:basedOn w:val="DefaultParagraphFont"/>
    <w:uiPriority w:val="99"/>
    <w:rsid w:val="00245551"/>
    <w:rPr>
      <w:rFonts w:cs="Times New Roman"/>
    </w:rPr>
  </w:style>
  <w:style w:type="character" w:styleId="FollowedHyperlink">
    <w:name w:val="FollowedHyperlink"/>
    <w:basedOn w:val="DefaultParagraphFont"/>
    <w:uiPriority w:val="99"/>
    <w:rsid w:val="00694C74"/>
    <w:rPr>
      <w:rFonts w:cs="Times New Roman"/>
      <w:color w:val="800080"/>
      <w:u w:val="single"/>
    </w:rPr>
  </w:style>
  <w:style w:type="character" w:customStyle="1" w:styleId="NoSpacingChar">
    <w:name w:val="No Spacing Char"/>
    <w:basedOn w:val="DefaultParagraphFont"/>
    <w:link w:val="NoSpacing"/>
    <w:uiPriority w:val="1"/>
    <w:rsid w:val="00FE04D4"/>
  </w:style>
  <w:style w:type="character" w:styleId="Emphasis">
    <w:name w:val="Emphasis"/>
    <w:basedOn w:val="DefaultParagraphFont"/>
    <w:uiPriority w:val="20"/>
    <w:qFormat/>
    <w:locked/>
    <w:rsid w:val="00AF72E9"/>
    <w:rPr>
      <w:i/>
      <w:iCs/>
    </w:rPr>
  </w:style>
  <w:style w:type="paragraph" w:customStyle="1" w:styleId="NtTextLevel3Ind">
    <w:name w:val="Nt Text Level3 Ind"/>
    <w:uiPriority w:val="99"/>
    <w:rsid w:val="00447611"/>
    <w:pPr>
      <w:widowControl w:val="0"/>
      <w:tabs>
        <w:tab w:val="left" w:pos="3240"/>
      </w:tabs>
      <w:autoSpaceDE w:val="0"/>
      <w:autoSpaceDN w:val="0"/>
      <w:adjustRightInd w:val="0"/>
      <w:spacing w:after="288"/>
      <w:ind w:left="3240" w:right="72" w:hanging="2736"/>
      <w:jc w:val="both"/>
    </w:pPr>
    <w:rPr>
      <w:rFonts w:ascii="Trebuchet MS" w:hAnsi="Trebuchet MS" w:cs="Trebuchet MS"/>
      <w:color w:val="000000"/>
      <w:sz w:val="18"/>
      <w:szCs w:val="18"/>
    </w:rPr>
  </w:style>
  <w:style w:type="character" w:customStyle="1" w:styleId="CommentTextChar1">
    <w:name w:val="Comment Text Char1"/>
    <w:uiPriority w:val="99"/>
    <w:semiHidden/>
    <w:locked/>
    <w:rsid w:val="004F1169"/>
    <w:rPr>
      <w:sz w:val="20"/>
      <w:lang w:val="en-CA"/>
    </w:rPr>
  </w:style>
  <w:style w:type="numbering" w:customStyle="1" w:styleId="Style1">
    <w:name w:val="Style 1"/>
    <w:uiPriority w:val="99"/>
    <w:rsid w:val="0080661F"/>
    <w:pPr>
      <w:numPr>
        <w:numId w:val="3"/>
      </w:numPr>
    </w:pPr>
  </w:style>
  <w:style w:type="paragraph" w:customStyle="1" w:styleId="ifrsl6">
    <w:name w:val="ifrsl6"/>
    <w:basedOn w:val="Normal"/>
    <w:rsid w:val="004C3E56"/>
    <w:pPr>
      <w:spacing w:before="100" w:beforeAutospacing="1" w:after="100" w:afterAutospacing="1" w:line="240" w:lineRule="auto"/>
    </w:pPr>
    <w:rPr>
      <w:rFonts w:ascii="Times New Roman" w:hAnsi="Times New Roman"/>
      <w:sz w:val="24"/>
      <w:szCs w:val="24"/>
      <w:lang w:val="en-CA" w:eastAsia="en-CA"/>
    </w:rPr>
  </w:style>
  <w:style w:type="paragraph" w:customStyle="1" w:styleId="paragraph">
    <w:name w:val="paragraph"/>
    <w:basedOn w:val="Normal"/>
    <w:rsid w:val="004C3E56"/>
    <w:pPr>
      <w:spacing w:before="100" w:beforeAutospacing="1" w:after="100" w:afterAutospacing="1" w:line="240" w:lineRule="auto"/>
    </w:pPr>
    <w:rPr>
      <w:rFonts w:ascii="Times New Roman" w:hAnsi="Times New Roman"/>
      <w:sz w:val="24"/>
      <w:szCs w:val="24"/>
      <w:lang w:val="en-CA" w:eastAsia="en-CA"/>
    </w:rPr>
  </w:style>
  <w:style w:type="paragraph" w:customStyle="1" w:styleId="bullet">
    <w:name w:val="bullet"/>
    <w:basedOn w:val="Normal"/>
    <w:rsid w:val="004C3E56"/>
    <w:pPr>
      <w:spacing w:before="100" w:beforeAutospacing="1" w:after="100" w:afterAutospacing="1" w:line="240" w:lineRule="auto"/>
    </w:pPr>
    <w:rPr>
      <w:rFonts w:ascii="Times New Roman" w:hAnsi="Times New Roman"/>
      <w:sz w:val="24"/>
      <w:szCs w:val="24"/>
      <w:lang w:val="en-CA" w:eastAsia="en-CA"/>
    </w:rPr>
  </w:style>
  <w:style w:type="character" w:customStyle="1" w:styleId="apple-converted-space">
    <w:name w:val="apple-converted-space"/>
    <w:basedOn w:val="DefaultParagraphFont"/>
    <w:rsid w:val="004C3E56"/>
  </w:style>
  <w:style w:type="character" w:styleId="Hyperlink">
    <w:name w:val="Hyperlink"/>
    <w:basedOn w:val="DefaultParagraphFont"/>
    <w:uiPriority w:val="99"/>
    <w:unhideWhenUsed/>
    <w:rsid w:val="004C3E56"/>
    <w:rPr>
      <w:color w:val="0000FF"/>
      <w:u w:val="single"/>
    </w:rPr>
  </w:style>
  <w:style w:type="paragraph" w:customStyle="1" w:styleId="paragraphtext">
    <w:name w:val="paragraphtext"/>
    <w:basedOn w:val="Normal"/>
    <w:rsid w:val="004C3E56"/>
    <w:pPr>
      <w:spacing w:before="100" w:beforeAutospacing="1" w:after="100" w:afterAutospacing="1" w:line="240" w:lineRule="auto"/>
    </w:pPr>
    <w:rPr>
      <w:rFonts w:ascii="Times New Roman" w:hAnsi="Times New Roman"/>
      <w:sz w:val="24"/>
      <w:szCs w:val="24"/>
      <w:lang w:val="en-CA" w:eastAsia="en-CA"/>
    </w:rPr>
  </w:style>
  <w:style w:type="paragraph" w:customStyle="1" w:styleId="ifrsparagraphbold">
    <w:name w:val="ifrsparagraphbold"/>
    <w:basedOn w:val="Normal"/>
    <w:rsid w:val="0051558A"/>
    <w:pPr>
      <w:spacing w:before="100" w:beforeAutospacing="1" w:after="100" w:afterAutospacing="1" w:line="240" w:lineRule="auto"/>
    </w:pPr>
    <w:rPr>
      <w:rFonts w:ascii="Times New Roman" w:hAnsi="Times New Roman"/>
      <w:sz w:val="24"/>
      <w:szCs w:val="24"/>
      <w:lang w:val="en-CA" w:eastAsia="en-CA"/>
    </w:rPr>
  </w:style>
  <w:style w:type="paragraph" w:customStyle="1" w:styleId="ifrsboldbullet">
    <w:name w:val="ifrsboldbullet"/>
    <w:basedOn w:val="Normal"/>
    <w:rsid w:val="0051558A"/>
    <w:pPr>
      <w:spacing w:before="100" w:beforeAutospacing="1" w:after="100" w:afterAutospacing="1" w:line="240" w:lineRule="auto"/>
    </w:pPr>
    <w:rPr>
      <w:rFonts w:ascii="Times New Roman" w:hAnsi="Times New Roman"/>
      <w:sz w:val="24"/>
      <w:szCs w:val="24"/>
      <w:lang w:val="en-CA" w:eastAsia="en-CA"/>
    </w:rPr>
  </w:style>
  <w:style w:type="character" w:customStyle="1" w:styleId="Heading6Char">
    <w:name w:val="Heading 6 Char"/>
    <w:basedOn w:val="DefaultParagraphFont"/>
    <w:link w:val="Heading6"/>
    <w:rsid w:val="008942C9"/>
    <w:rPr>
      <w:rFonts w:asciiTheme="majorHAnsi" w:eastAsiaTheme="majorEastAsia" w:hAnsiTheme="majorHAnsi" w:cstheme="majorBidi"/>
      <w:color w:val="243F60" w:themeColor="accent1" w:themeShade="7F"/>
    </w:rPr>
  </w:style>
  <w:style w:type="paragraph" w:customStyle="1" w:styleId="Line1">
    <w:name w:val="Line 1"/>
    <w:rsid w:val="006D529D"/>
    <w:pPr>
      <w:widowControl w:val="0"/>
      <w:tabs>
        <w:tab w:val="left" w:pos="283"/>
        <w:tab w:val="left" w:pos="1133"/>
        <w:tab w:val="left" w:pos="5952"/>
      </w:tabs>
      <w:autoSpaceDE w:val="0"/>
      <w:autoSpaceDN w:val="0"/>
      <w:adjustRightInd w:val="0"/>
      <w:jc w:val="right"/>
    </w:pPr>
    <w:rPr>
      <w:rFonts w:ascii="Times New Roman" w:hAnsi="Times New Roman"/>
      <w:b/>
      <w:bCs/>
      <w:color w:val="000000"/>
      <w:sz w:val="20"/>
      <w:szCs w:val="20"/>
    </w:rPr>
  </w:style>
  <w:style w:type="paragraph" w:customStyle="1" w:styleId="Letter-Body">
    <w:name w:val="Letter - Body"/>
    <w:rsid w:val="006D529D"/>
    <w:pPr>
      <w:widowControl w:val="0"/>
      <w:tabs>
        <w:tab w:val="left" w:pos="283"/>
        <w:tab w:val="left" w:pos="1133"/>
        <w:tab w:val="left" w:pos="5952"/>
      </w:tabs>
      <w:autoSpaceDE w:val="0"/>
      <w:autoSpaceDN w:val="0"/>
      <w:adjustRightInd w:val="0"/>
    </w:pPr>
    <w:rPr>
      <w:rFonts w:ascii="Times New Roman" w:hAnsi="Times New Roman"/>
      <w:color w:val="000000"/>
      <w:sz w:val="20"/>
      <w:szCs w:val="20"/>
    </w:rPr>
  </w:style>
  <w:style w:type="paragraph" w:styleId="FootnoteText">
    <w:name w:val="footnote text"/>
    <w:basedOn w:val="Normal"/>
    <w:link w:val="FootnoteTextChar"/>
    <w:uiPriority w:val="99"/>
    <w:semiHidden/>
    <w:rsid w:val="006D529D"/>
    <w:pPr>
      <w:overflowPunct w:val="0"/>
      <w:autoSpaceDE w:val="0"/>
      <w:autoSpaceDN w:val="0"/>
      <w:adjustRightInd w:val="0"/>
      <w:spacing w:after="0" w:line="240" w:lineRule="auto"/>
      <w:textAlignment w:val="baseline"/>
    </w:pPr>
    <w:rPr>
      <w:rFonts w:ascii="Arial" w:hAnsi="Arial"/>
      <w:sz w:val="20"/>
      <w:szCs w:val="20"/>
    </w:rPr>
  </w:style>
  <w:style w:type="character" w:customStyle="1" w:styleId="FootnoteTextChar">
    <w:name w:val="Footnote Text Char"/>
    <w:basedOn w:val="DefaultParagraphFont"/>
    <w:link w:val="FootnoteText"/>
    <w:uiPriority w:val="99"/>
    <w:semiHidden/>
    <w:rsid w:val="006D529D"/>
    <w:rPr>
      <w:rFonts w:ascii="Arial" w:hAnsi="Arial"/>
      <w:sz w:val="20"/>
      <w:szCs w:val="20"/>
    </w:rPr>
  </w:style>
  <w:style w:type="character" w:customStyle="1" w:styleId="ListParagraphChar">
    <w:name w:val="List Paragraph Char"/>
    <w:aliases w:val="Bullets in notes Char"/>
    <w:basedOn w:val="DefaultParagraphFont"/>
    <w:link w:val="ListParagraph"/>
    <w:uiPriority w:val="34"/>
    <w:rsid w:val="00BA7FD1"/>
  </w:style>
  <w:style w:type="paragraph" w:styleId="BodyTextIndent">
    <w:name w:val="Body Text Indent"/>
    <w:basedOn w:val="Normal"/>
    <w:link w:val="BodyTextIndentChar"/>
    <w:uiPriority w:val="99"/>
    <w:unhideWhenUsed/>
    <w:rsid w:val="00B414A0"/>
    <w:pPr>
      <w:spacing w:after="120"/>
      <w:ind w:left="360"/>
    </w:pPr>
  </w:style>
  <w:style w:type="character" w:customStyle="1" w:styleId="BodyTextIndentChar">
    <w:name w:val="Body Text Indent Char"/>
    <w:basedOn w:val="DefaultParagraphFont"/>
    <w:link w:val="BodyTextIndent"/>
    <w:uiPriority w:val="99"/>
    <w:rsid w:val="00B414A0"/>
  </w:style>
  <w:style w:type="paragraph" w:customStyle="1" w:styleId="headercas">
    <w:name w:val="headercas"/>
    <w:basedOn w:val="Normal"/>
    <w:rsid w:val="00086C8F"/>
    <w:pPr>
      <w:spacing w:before="65" w:after="65" w:line="240" w:lineRule="auto"/>
    </w:pPr>
    <w:rPr>
      <w:rFonts w:ascii="Times New Roman" w:hAnsi="Times New Roman"/>
      <w:b/>
      <w:bCs/>
      <w:sz w:val="23"/>
      <w:szCs w:val="23"/>
    </w:rPr>
  </w:style>
  <w:style w:type="paragraph" w:customStyle="1" w:styleId="l5cas">
    <w:name w:val="l5cas"/>
    <w:basedOn w:val="Normal"/>
    <w:rsid w:val="00086C8F"/>
    <w:pPr>
      <w:spacing w:before="65" w:after="65" w:line="240" w:lineRule="auto"/>
    </w:pPr>
    <w:rPr>
      <w:rFonts w:ascii="Times New Roman" w:hAnsi="Times New Roman"/>
      <w:b/>
      <w:bCs/>
    </w:rPr>
  </w:style>
  <w:style w:type="paragraph" w:customStyle="1" w:styleId="paragraphnoindent">
    <w:name w:val="paragraphnoindent"/>
    <w:basedOn w:val="Normal"/>
    <w:rsid w:val="00086C8F"/>
    <w:pPr>
      <w:spacing w:before="65" w:after="65" w:line="240" w:lineRule="auto"/>
    </w:pPr>
    <w:rPr>
      <w:rFonts w:ascii="Times New Roman" w:hAnsi="Times New Roman"/>
    </w:rPr>
  </w:style>
  <w:style w:type="paragraph" w:customStyle="1" w:styleId="Preformatted">
    <w:name w:val="Preformatted"/>
    <w:link w:val="PreformattedChar"/>
    <w:rsid w:val="0071413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sz w:val="20"/>
      <w:szCs w:val="20"/>
      <w:lang w:val="en-CA"/>
    </w:rPr>
  </w:style>
  <w:style w:type="character" w:customStyle="1" w:styleId="PreformattedChar">
    <w:name w:val="Preformatted Char"/>
    <w:link w:val="Preformatted"/>
    <w:rsid w:val="00714134"/>
    <w:rPr>
      <w:rFonts w:ascii="Courier New" w:hAnsi="Courier New"/>
      <w:sz w:val="20"/>
      <w:szCs w:val="20"/>
      <w:lang w:val="en-CA"/>
    </w:rPr>
  </w:style>
  <w:style w:type="paragraph" w:styleId="PlainText">
    <w:name w:val="Plain Text"/>
    <w:basedOn w:val="Normal"/>
    <w:link w:val="PlainTextChar"/>
    <w:uiPriority w:val="99"/>
    <w:rsid w:val="00DB2F72"/>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DB2F72"/>
    <w:rPr>
      <w:rFonts w:ascii="Courier New" w:eastAsia="Batang" w:hAnsi="Courier New" w:cs="Courier New"/>
      <w:sz w:val="20"/>
      <w:szCs w:val="20"/>
    </w:rPr>
  </w:style>
  <w:style w:type="character" w:styleId="Strong">
    <w:name w:val="Strong"/>
    <w:basedOn w:val="DefaultParagraphFont"/>
    <w:uiPriority w:val="22"/>
    <w:qFormat/>
    <w:locked/>
    <w:rsid w:val="00544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551">
      <w:bodyDiv w:val="1"/>
      <w:marLeft w:val="0"/>
      <w:marRight w:val="0"/>
      <w:marTop w:val="0"/>
      <w:marBottom w:val="0"/>
      <w:divBdr>
        <w:top w:val="none" w:sz="0" w:space="0" w:color="auto"/>
        <w:left w:val="none" w:sz="0" w:space="0" w:color="auto"/>
        <w:bottom w:val="none" w:sz="0" w:space="0" w:color="auto"/>
        <w:right w:val="none" w:sz="0" w:space="0" w:color="auto"/>
      </w:divBdr>
    </w:div>
    <w:div w:id="96678302">
      <w:bodyDiv w:val="1"/>
      <w:marLeft w:val="0"/>
      <w:marRight w:val="0"/>
      <w:marTop w:val="0"/>
      <w:marBottom w:val="0"/>
      <w:divBdr>
        <w:top w:val="none" w:sz="0" w:space="0" w:color="auto"/>
        <w:left w:val="none" w:sz="0" w:space="0" w:color="auto"/>
        <w:bottom w:val="none" w:sz="0" w:space="0" w:color="auto"/>
        <w:right w:val="none" w:sz="0" w:space="0" w:color="auto"/>
      </w:divBdr>
      <w:divsChild>
        <w:div w:id="118306985">
          <w:marLeft w:val="0"/>
          <w:marRight w:val="0"/>
          <w:marTop w:val="0"/>
          <w:marBottom w:val="0"/>
          <w:divBdr>
            <w:top w:val="none" w:sz="0" w:space="0" w:color="auto"/>
            <w:left w:val="none" w:sz="0" w:space="0" w:color="auto"/>
            <w:bottom w:val="none" w:sz="0" w:space="0" w:color="auto"/>
            <w:right w:val="none" w:sz="0" w:space="0" w:color="auto"/>
          </w:divBdr>
        </w:div>
        <w:div w:id="846211065">
          <w:marLeft w:val="0"/>
          <w:marRight w:val="0"/>
          <w:marTop w:val="0"/>
          <w:marBottom w:val="0"/>
          <w:divBdr>
            <w:top w:val="none" w:sz="0" w:space="0" w:color="auto"/>
            <w:left w:val="none" w:sz="0" w:space="0" w:color="auto"/>
            <w:bottom w:val="none" w:sz="0" w:space="0" w:color="auto"/>
            <w:right w:val="none" w:sz="0" w:space="0" w:color="auto"/>
          </w:divBdr>
        </w:div>
        <w:div w:id="1285651056">
          <w:marLeft w:val="0"/>
          <w:marRight w:val="0"/>
          <w:marTop w:val="0"/>
          <w:marBottom w:val="0"/>
          <w:divBdr>
            <w:top w:val="none" w:sz="0" w:space="0" w:color="auto"/>
            <w:left w:val="none" w:sz="0" w:space="0" w:color="auto"/>
            <w:bottom w:val="none" w:sz="0" w:space="0" w:color="auto"/>
            <w:right w:val="none" w:sz="0" w:space="0" w:color="auto"/>
          </w:divBdr>
        </w:div>
        <w:div w:id="1411343386">
          <w:marLeft w:val="0"/>
          <w:marRight w:val="0"/>
          <w:marTop w:val="0"/>
          <w:marBottom w:val="0"/>
          <w:divBdr>
            <w:top w:val="none" w:sz="0" w:space="0" w:color="auto"/>
            <w:left w:val="none" w:sz="0" w:space="0" w:color="auto"/>
            <w:bottom w:val="none" w:sz="0" w:space="0" w:color="auto"/>
            <w:right w:val="none" w:sz="0" w:space="0" w:color="auto"/>
          </w:divBdr>
        </w:div>
        <w:div w:id="1508522346">
          <w:marLeft w:val="0"/>
          <w:marRight w:val="0"/>
          <w:marTop w:val="0"/>
          <w:marBottom w:val="0"/>
          <w:divBdr>
            <w:top w:val="none" w:sz="0" w:space="0" w:color="auto"/>
            <w:left w:val="none" w:sz="0" w:space="0" w:color="auto"/>
            <w:bottom w:val="none" w:sz="0" w:space="0" w:color="auto"/>
            <w:right w:val="none" w:sz="0" w:space="0" w:color="auto"/>
          </w:divBdr>
        </w:div>
      </w:divsChild>
    </w:div>
    <w:div w:id="215819153">
      <w:bodyDiv w:val="1"/>
      <w:marLeft w:val="0"/>
      <w:marRight w:val="0"/>
      <w:marTop w:val="0"/>
      <w:marBottom w:val="0"/>
      <w:divBdr>
        <w:top w:val="none" w:sz="0" w:space="0" w:color="auto"/>
        <w:left w:val="none" w:sz="0" w:space="0" w:color="auto"/>
        <w:bottom w:val="none" w:sz="0" w:space="0" w:color="auto"/>
        <w:right w:val="none" w:sz="0" w:space="0" w:color="auto"/>
      </w:divBdr>
    </w:div>
    <w:div w:id="329135608">
      <w:bodyDiv w:val="1"/>
      <w:marLeft w:val="0"/>
      <w:marRight w:val="0"/>
      <w:marTop w:val="0"/>
      <w:marBottom w:val="0"/>
      <w:divBdr>
        <w:top w:val="none" w:sz="0" w:space="0" w:color="auto"/>
        <w:left w:val="none" w:sz="0" w:space="0" w:color="auto"/>
        <w:bottom w:val="none" w:sz="0" w:space="0" w:color="auto"/>
        <w:right w:val="none" w:sz="0" w:space="0" w:color="auto"/>
      </w:divBdr>
    </w:div>
    <w:div w:id="370766074">
      <w:bodyDiv w:val="1"/>
      <w:marLeft w:val="0"/>
      <w:marRight w:val="0"/>
      <w:marTop w:val="0"/>
      <w:marBottom w:val="0"/>
      <w:divBdr>
        <w:top w:val="none" w:sz="0" w:space="0" w:color="auto"/>
        <w:left w:val="none" w:sz="0" w:space="0" w:color="auto"/>
        <w:bottom w:val="none" w:sz="0" w:space="0" w:color="auto"/>
        <w:right w:val="none" w:sz="0" w:space="0" w:color="auto"/>
      </w:divBdr>
    </w:div>
    <w:div w:id="378943320">
      <w:bodyDiv w:val="1"/>
      <w:marLeft w:val="0"/>
      <w:marRight w:val="0"/>
      <w:marTop w:val="0"/>
      <w:marBottom w:val="0"/>
      <w:divBdr>
        <w:top w:val="none" w:sz="0" w:space="0" w:color="auto"/>
        <w:left w:val="none" w:sz="0" w:space="0" w:color="auto"/>
        <w:bottom w:val="none" w:sz="0" w:space="0" w:color="auto"/>
        <w:right w:val="none" w:sz="0" w:space="0" w:color="auto"/>
      </w:divBdr>
    </w:div>
    <w:div w:id="381371321">
      <w:bodyDiv w:val="1"/>
      <w:marLeft w:val="0"/>
      <w:marRight w:val="0"/>
      <w:marTop w:val="0"/>
      <w:marBottom w:val="0"/>
      <w:divBdr>
        <w:top w:val="none" w:sz="0" w:space="0" w:color="auto"/>
        <w:left w:val="none" w:sz="0" w:space="0" w:color="auto"/>
        <w:bottom w:val="none" w:sz="0" w:space="0" w:color="auto"/>
        <w:right w:val="none" w:sz="0" w:space="0" w:color="auto"/>
      </w:divBdr>
    </w:div>
    <w:div w:id="420444333">
      <w:bodyDiv w:val="1"/>
      <w:marLeft w:val="0"/>
      <w:marRight w:val="0"/>
      <w:marTop w:val="0"/>
      <w:marBottom w:val="0"/>
      <w:divBdr>
        <w:top w:val="none" w:sz="0" w:space="0" w:color="auto"/>
        <w:left w:val="none" w:sz="0" w:space="0" w:color="auto"/>
        <w:bottom w:val="none" w:sz="0" w:space="0" w:color="auto"/>
        <w:right w:val="none" w:sz="0" w:space="0" w:color="auto"/>
      </w:divBdr>
    </w:div>
    <w:div w:id="454064881">
      <w:bodyDiv w:val="1"/>
      <w:marLeft w:val="0"/>
      <w:marRight w:val="0"/>
      <w:marTop w:val="0"/>
      <w:marBottom w:val="0"/>
      <w:divBdr>
        <w:top w:val="none" w:sz="0" w:space="0" w:color="auto"/>
        <w:left w:val="none" w:sz="0" w:space="0" w:color="auto"/>
        <w:bottom w:val="none" w:sz="0" w:space="0" w:color="auto"/>
        <w:right w:val="none" w:sz="0" w:space="0" w:color="auto"/>
      </w:divBdr>
    </w:div>
    <w:div w:id="525948337">
      <w:marLeft w:val="0"/>
      <w:marRight w:val="0"/>
      <w:marTop w:val="0"/>
      <w:marBottom w:val="0"/>
      <w:divBdr>
        <w:top w:val="none" w:sz="0" w:space="0" w:color="auto"/>
        <w:left w:val="none" w:sz="0" w:space="0" w:color="auto"/>
        <w:bottom w:val="none" w:sz="0" w:space="0" w:color="auto"/>
        <w:right w:val="none" w:sz="0" w:space="0" w:color="auto"/>
      </w:divBdr>
    </w:div>
    <w:div w:id="525948338">
      <w:marLeft w:val="0"/>
      <w:marRight w:val="0"/>
      <w:marTop w:val="0"/>
      <w:marBottom w:val="0"/>
      <w:divBdr>
        <w:top w:val="none" w:sz="0" w:space="0" w:color="auto"/>
        <w:left w:val="none" w:sz="0" w:space="0" w:color="auto"/>
        <w:bottom w:val="none" w:sz="0" w:space="0" w:color="auto"/>
        <w:right w:val="none" w:sz="0" w:space="0" w:color="auto"/>
      </w:divBdr>
    </w:div>
    <w:div w:id="525948339">
      <w:marLeft w:val="0"/>
      <w:marRight w:val="0"/>
      <w:marTop w:val="0"/>
      <w:marBottom w:val="0"/>
      <w:divBdr>
        <w:top w:val="none" w:sz="0" w:space="0" w:color="auto"/>
        <w:left w:val="none" w:sz="0" w:space="0" w:color="auto"/>
        <w:bottom w:val="none" w:sz="0" w:space="0" w:color="auto"/>
        <w:right w:val="none" w:sz="0" w:space="0" w:color="auto"/>
      </w:divBdr>
    </w:div>
    <w:div w:id="525948340">
      <w:marLeft w:val="0"/>
      <w:marRight w:val="0"/>
      <w:marTop w:val="0"/>
      <w:marBottom w:val="0"/>
      <w:divBdr>
        <w:top w:val="none" w:sz="0" w:space="0" w:color="auto"/>
        <w:left w:val="none" w:sz="0" w:space="0" w:color="auto"/>
        <w:bottom w:val="none" w:sz="0" w:space="0" w:color="auto"/>
        <w:right w:val="none" w:sz="0" w:space="0" w:color="auto"/>
      </w:divBdr>
    </w:div>
    <w:div w:id="525948341">
      <w:marLeft w:val="0"/>
      <w:marRight w:val="0"/>
      <w:marTop w:val="0"/>
      <w:marBottom w:val="400"/>
      <w:divBdr>
        <w:top w:val="none" w:sz="0" w:space="0" w:color="auto"/>
        <w:left w:val="none" w:sz="0" w:space="0" w:color="auto"/>
        <w:bottom w:val="none" w:sz="0" w:space="0" w:color="auto"/>
        <w:right w:val="none" w:sz="0" w:space="0" w:color="auto"/>
      </w:divBdr>
      <w:divsChild>
        <w:div w:id="525948343">
          <w:marLeft w:val="0"/>
          <w:marRight w:val="0"/>
          <w:marTop w:val="0"/>
          <w:marBottom w:val="0"/>
          <w:divBdr>
            <w:top w:val="none" w:sz="0" w:space="0" w:color="auto"/>
            <w:left w:val="none" w:sz="0" w:space="0" w:color="auto"/>
            <w:bottom w:val="none" w:sz="0" w:space="0" w:color="auto"/>
            <w:right w:val="none" w:sz="0" w:space="0" w:color="auto"/>
          </w:divBdr>
        </w:div>
      </w:divsChild>
    </w:div>
    <w:div w:id="525948342">
      <w:marLeft w:val="0"/>
      <w:marRight w:val="0"/>
      <w:marTop w:val="0"/>
      <w:marBottom w:val="0"/>
      <w:divBdr>
        <w:top w:val="none" w:sz="0" w:space="0" w:color="auto"/>
        <w:left w:val="none" w:sz="0" w:space="0" w:color="auto"/>
        <w:bottom w:val="none" w:sz="0" w:space="0" w:color="auto"/>
        <w:right w:val="none" w:sz="0" w:space="0" w:color="auto"/>
      </w:divBdr>
    </w:div>
    <w:div w:id="525948344">
      <w:marLeft w:val="0"/>
      <w:marRight w:val="0"/>
      <w:marTop w:val="0"/>
      <w:marBottom w:val="0"/>
      <w:divBdr>
        <w:top w:val="none" w:sz="0" w:space="0" w:color="auto"/>
        <w:left w:val="none" w:sz="0" w:space="0" w:color="auto"/>
        <w:bottom w:val="none" w:sz="0" w:space="0" w:color="auto"/>
        <w:right w:val="none" w:sz="0" w:space="0" w:color="auto"/>
      </w:divBdr>
    </w:div>
    <w:div w:id="525948345">
      <w:marLeft w:val="0"/>
      <w:marRight w:val="0"/>
      <w:marTop w:val="0"/>
      <w:marBottom w:val="0"/>
      <w:divBdr>
        <w:top w:val="none" w:sz="0" w:space="0" w:color="auto"/>
        <w:left w:val="none" w:sz="0" w:space="0" w:color="auto"/>
        <w:bottom w:val="none" w:sz="0" w:space="0" w:color="auto"/>
        <w:right w:val="none" w:sz="0" w:space="0" w:color="auto"/>
      </w:divBdr>
    </w:div>
    <w:div w:id="525948346">
      <w:marLeft w:val="0"/>
      <w:marRight w:val="0"/>
      <w:marTop w:val="0"/>
      <w:marBottom w:val="0"/>
      <w:divBdr>
        <w:top w:val="none" w:sz="0" w:space="0" w:color="auto"/>
        <w:left w:val="none" w:sz="0" w:space="0" w:color="auto"/>
        <w:bottom w:val="none" w:sz="0" w:space="0" w:color="auto"/>
        <w:right w:val="none" w:sz="0" w:space="0" w:color="auto"/>
      </w:divBdr>
    </w:div>
    <w:div w:id="525948347">
      <w:marLeft w:val="0"/>
      <w:marRight w:val="0"/>
      <w:marTop w:val="0"/>
      <w:marBottom w:val="0"/>
      <w:divBdr>
        <w:top w:val="none" w:sz="0" w:space="0" w:color="auto"/>
        <w:left w:val="none" w:sz="0" w:space="0" w:color="auto"/>
        <w:bottom w:val="none" w:sz="0" w:space="0" w:color="auto"/>
        <w:right w:val="none" w:sz="0" w:space="0" w:color="auto"/>
      </w:divBdr>
    </w:div>
    <w:div w:id="525948348">
      <w:marLeft w:val="0"/>
      <w:marRight w:val="0"/>
      <w:marTop w:val="0"/>
      <w:marBottom w:val="0"/>
      <w:divBdr>
        <w:top w:val="none" w:sz="0" w:space="0" w:color="auto"/>
        <w:left w:val="none" w:sz="0" w:space="0" w:color="auto"/>
        <w:bottom w:val="none" w:sz="0" w:space="0" w:color="auto"/>
        <w:right w:val="none" w:sz="0" w:space="0" w:color="auto"/>
      </w:divBdr>
    </w:div>
    <w:div w:id="525948349">
      <w:marLeft w:val="0"/>
      <w:marRight w:val="0"/>
      <w:marTop w:val="0"/>
      <w:marBottom w:val="0"/>
      <w:divBdr>
        <w:top w:val="none" w:sz="0" w:space="0" w:color="auto"/>
        <w:left w:val="none" w:sz="0" w:space="0" w:color="auto"/>
        <w:bottom w:val="none" w:sz="0" w:space="0" w:color="auto"/>
        <w:right w:val="none" w:sz="0" w:space="0" w:color="auto"/>
      </w:divBdr>
    </w:div>
    <w:div w:id="525948350">
      <w:marLeft w:val="0"/>
      <w:marRight w:val="0"/>
      <w:marTop w:val="0"/>
      <w:marBottom w:val="0"/>
      <w:divBdr>
        <w:top w:val="none" w:sz="0" w:space="0" w:color="auto"/>
        <w:left w:val="none" w:sz="0" w:space="0" w:color="auto"/>
        <w:bottom w:val="none" w:sz="0" w:space="0" w:color="auto"/>
        <w:right w:val="none" w:sz="0" w:space="0" w:color="auto"/>
      </w:divBdr>
    </w:div>
    <w:div w:id="525948351">
      <w:marLeft w:val="0"/>
      <w:marRight w:val="0"/>
      <w:marTop w:val="0"/>
      <w:marBottom w:val="0"/>
      <w:divBdr>
        <w:top w:val="none" w:sz="0" w:space="0" w:color="auto"/>
        <w:left w:val="none" w:sz="0" w:space="0" w:color="auto"/>
        <w:bottom w:val="none" w:sz="0" w:space="0" w:color="auto"/>
        <w:right w:val="none" w:sz="0" w:space="0" w:color="auto"/>
      </w:divBdr>
    </w:div>
    <w:div w:id="525948352">
      <w:marLeft w:val="0"/>
      <w:marRight w:val="0"/>
      <w:marTop w:val="0"/>
      <w:marBottom w:val="0"/>
      <w:divBdr>
        <w:top w:val="none" w:sz="0" w:space="0" w:color="auto"/>
        <w:left w:val="none" w:sz="0" w:space="0" w:color="auto"/>
        <w:bottom w:val="none" w:sz="0" w:space="0" w:color="auto"/>
        <w:right w:val="none" w:sz="0" w:space="0" w:color="auto"/>
      </w:divBdr>
    </w:div>
    <w:div w:id="525948355">
      <w:marLeft w:val="0"/>
      <w:marRight w:val="0"/>
      <w:marTop w:val="0"/>
      <w:marBottom w:val="0"/>
      <w:divBdr>
        <w:top w:val="none" w:sz="0" w:space="0" w:color="auto"/>
        <w:left w:val="none" w:sz="0" w:space="0" w:color="auto"/>
        <w:bottom w:val="none" w:sz="0" w:space="0" w:color="auto"/>
        <w:right w:val="none" w:sz="0" w:space="0" w:color="auto"/>
      </w:divBdr>
    </w:div>
    <w:div w:id="525948356">
      <w:marLeft w:val="0"/>
      <w:marRight w:val="0"/>
      <w:marTop w:val="0"/>
      <w:marBottom w:val="0"/>
      <w:divBdr>
        <w:top w:val="none" w:sz="0" w:space="0" w:color="auto"/>
        <w:left w:val="none" w:sz="0" w:space="0" w:color="auto"/>
        <w:bottom w:val="none" w:sz="0" w:space="0" w:color="auto"/>
        <w:right w:val="none" w:sz="0" w:space="0" w:color="auto"/>
      </w:divBdr>
      <w:divsChild>
        <w:div w:id="525948358">
          <w:marLeft w:val="0"/>
          <w:marRight w:val="0"/>
          <w:marTop w:val="0"/>
          <w:marBottom w:val="0"/>
          <w:divBdr>
            <w:top w:val="none" w:sz="0" w:space="0" w:color="auto"/>
            <w:left w:val="none" w:sz="0" w:space="0" w:color="auto"/>
            <w:bottom w:val="double" w:sz="4" w:space="1" w:color="auto"/>
            <w:right w:val="none" w:sz="0" w:space="0" w:color="auto"/>
          </w:divBdr>
        </w:div>
      </w:divsChild>
    </w:div>
    <w:div w:id="525948357">
      <w:marLeft w:val="0"/>
      <w:marRight w:val="0"/>
      <w:marTop w:val="0"/>
      <w:marBottom w:val="0"/>
      <w:divBdr>
        <w:top w:val="none" w:sz="0" w:space="0" w:color="auto"/>
        <w:left w:val="none" w:sz="0" w:space="0" w:color="auto"/>
        <w:bottom w:val="none" w:sz="0" w:space="0" w:color="auto"/>
        <w:right w:val="none" w:sz="0" w:space="0" w:color="auto"/>
      </w:divBdr>
      <w:divsChild>
        <w:div w:id="525948354">
          <w:marLeft w:val="0"/>
          <w:marRight w:val="0"/>
          <w:marTop w:val="0"/>
          <w:marBottom w:val="0"/>
          <w:divBdr>
            <w:top w:val="none" w:sz="0" w:space="0" w:color="auto"/>
            <w:left w:val="none" w:sz="0" w:space="0" w:color="auto"/>
            <w:bottom w:val="double" w:sz="4" w:space="1" w:color="auto"/>
            <w:right w:val="none" w:sz="0" w:space="0" w:color="auto"/>
          </w:divBdr>
        </w:div>
      </w:divsChild>
    </w:div>
    <w:div w:id="525948359">
      <w:marLeft w:val="0"/>
      <w:marRight w:val="0"/>
      <w:marTop w:val="0"/>
      <w:marBottom w:val="0"/>
      <w:divBdr>
        <w:top w:val="none" w:sz="0" w:space="0" w:color="auto"/>
        <w:left w:val="none" w:sz="0" w:space="0" w:color="auto"/>
        <w:bottom w:val="none" w:sz="0" w:space="0" w:color="auto"/>
        <w:right w:val="none" w:sz="0" w:space="0" w:color="auto"/>
      </w:divBdr>
      <w:divsChild>
        <w:div w:id="525948353">
          <w:marLeft w:val="0"/>
          <w:marRight w:val="0"/>
          <w:marTop w:val="0"/>
          <w:marBottom w:val="0"/>
          <w:divBdr>
            <w:top w:val="none" w:sz="0" w:space="0" w:color="auto"/>
            <w:left w:val="none" w:sz="0" w:space="0" w:color="auto"/>
            <w:bottom w:val="double" w:sz="4" w:space="1" w:color="auto"/>
            <w:right w:val="none" w:sz="0" w:space="0" w:color="auto"/>
          </w:divBdr>
        </w:div>
      </w:divsChild>
    </w:div>
    <w:div w:id="525948360">
      <w:marLeft w:val="0"/>
      <w:marRight w:val="0"/>
      <w:marTop w:val="0"/>
      <w:marBottom w:val="0"/>
      <w:divBdr>
        <w:top w:val="none" w:sz="0" w:space="0" w:color="auto"/>
        <w:left w:val="none" w:sz="0" w:space="0" w:color="auto"/>
        <w:bottom w:val="none" w:sz="0" w:space="0" w:color="auto"/>
        <w:right w:val="none" w:sz="0" w:space="0" w:color="auto"/>
      </w:divBdr>
    </w:div>
    <w:div w:id="525948361">
      <w:marLeft w:val="0"/>
      <w:marRight w:val="0"/>
      <w:marTop w:val="0"/>
      <w:marBottom w:val="0"/>
      <w:divBdr>
        <w:top w:val="none" w:sz="0" w:space="0" w:color="auto"/>
        <w:left w:val="none" w:sz="0" w:space="0" w:color="auto"/>
        <w:bottom w:val="none" w:sz="0" w:space="0" w:color="auto"/>
        <w:right w:val="none" w:sz="0" w:space="0" w:color="auto"/>
      </w:divBdr>
      <w:divsChild>
        <w:div w:id="525948364">
          <w:marLeft w:val="0"/>
          <w:marRight w:val="0"/>
          <w:marTop w:val="0"/>
          <w:marBottom w:val="0"/>
          <w:divBdr>
            <w:top w:val="none" w:sz="0" w:space="0" w:color="auto"/>
            <w:left w:val="none" w:sz="0" w:space="0" w:color="auto"/>
            <w:bottom w:val="double" w:sz="4" w:space="1" w:color="auto"/>
            <w:right w:val="none" w:sz="0" w:space="0" w:color="auto"/>
          </w:divBdr>
        </w:div>
      </w:divsChild>
    </w:div>
    <w:div w:id="525948362">
      <w:marLeft w:val="0"/>
      <w:marRight w:val="0"/>
      <w:marTop w:val="0"/>
      <w:marBottom w:val="0"/>
      <w:divBdr>
        <w:top w:val="none" w:sz="0" w:space="0" w:color="auto"/>
        <w:left w:val="none" w:sz="0" w:space="0" w:color="auto"/>
        <w:bottom w:val="none" w:sz="0" w:space="0" w:color="auto"/>
        <w:right w:val="none" w:sz="0" w:space="0" w:color="auto"/>
      </w:divBdr>
      <w:divsChild>
        <w:div w:id="525948363">
          <w:marLeft w:val="0"/>
          <w:marRight w:val="0"/>
          <w:marTop w:val="0"/>
          <w:marBottom w:val="0"/>
          <w:divBdr>
            <w:top w:val="none" w:sz="0" w:space="0" w:color="auto"/>
            <w:left w:val="none" w:sz="0" w:space="0" w:color="auto"/>
            <w:bottom w:val="double" w:sz="4" w:space="1" w:color="auto"/>
            <w:right w:val="none" w:sz="0" w:space="0" w:color="auto"/>
          </w:divBdr>
        </w:div>
      </w:divsChild>
    </w:div>
    <w:div w:id="525948365">
      <w:marLeft w:val="0"/>
      <w:marRight w:val="0"/>
      <w:marTop w:val="0"/>
      <w:marBottom w:val="0"/>
      <w:divBdr>
        <w:top w:val="none" w:sz="0" w:space="0" w:color="auto"/>
        <w:left w:val="none" w:sz="0" w:space="0" w:color="auto"/>
        <w:bottom w:val="none" w:sz="0" w:space="0" w:color="auto"/>
        <w:right w:val="none" w:sz="0" w:space="0" w:color="auto"/>
      </w:divBdr>
    </w:div>
    <w:div w:id="525948366">
      <w:marLeft w:val="0"/>
      <w:marRight w:val="0"/>
      <w:marTop w:val="0"/>
      <w:marBottom w:val="0"/>
      <w:divBdr>
        <w:top w:val="none" w:sz="0" w:space="0" w:color="auto"/>
        <w:left w:val="none" w:sz="0" w:space="0" w:color="auto"/>
        <w:bottom w:val="none" w:sz="0" w:space="0" w:color="auto"/>
        <w:right w:val="none" w:sz="0" w:space="0" w:color="auto"/>
      </w:divBdr>
    </w:div>
    <w:div w:id="525948367">
      <w:marLeft w:val="0"/>
      <w:marRight w:val="0"/>
      <w:marTop w:val="0"/>
      <w:marBottom w:val="0"/>
      <w:divBdr>
        <w:top w:val="none" w:sz="0" w:space="0" w:color="auto"/>
        <w:left w:val="none" w:sz="0" w:space="0" w:color="auto"/>
        <w:bottom w:val="none" w:sz="0" w:space="0" w:color="auto"/>
        <w:right w:val="none" w:sz="0" w:space="0" w:color="auto"/>
      </w:divBdr>
    </w:div>
    <w:div w:id="525948368">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sChild>
        <w:div w:id="988436127">
          <w:marLeft w:val="0"/>
          <w:marRight w:val="0"/>
          <w:marTop w:val="150"/>
          <w:marBottom w:val="0"/>
          <w:divBdr>
            <w:top w:val="none" w:sz="0" w:space="0" w:color="auto"/>
            <w:left w:val="none" w:sz="0" w:space="0" w:color="auto"/>
            <w:bottom w:val="none" w:sz="0" w:space="0" w:color="auto"/>
            <w:right w:val="none" w:sz="0" w:space="0" w:color="auto"/>
          </w:divBdr>
          <w:divsChild>
            <w:div w:id="550578494">
              <w:marLeft w:val="0"/>
              <w:marRight w:val="0"/>
              <w:marTop w:val="0"/>
              <w:marBottom w:val="0"/>
              <w:divBdr>
                <w:top w:val="none" w:sz="0" w:space="0" w:color="auto"/>
                <w:left w:val="none" w:sz="0" w:space="0" w:color="auto"/>
                <w:bottom w:val="none" w:sz="0" w:space="0" w:color="auto"/>
                <w:right w:val="none" w:sz="0" w:space="0" w:color="auto"/>
              </w:divBdr>
              <w:divsChild>
                <w:div w:id="995185250">
                  <w:marLeft w:val="0"/>
                  <w:marRight w:val="0"/>
                  <w:marTop w:val="0"/>
                  <w:marBottom w:val="0"/>
                  <w:divBdr>
                    <w:top w:val="none" w:sz="0" w:space="0" w:color="auto"/>
                    <w:left w:val="none" w:sz="0" w:space="0" w:color="auto"/>
                    <w:bottom w:val="none" w:sz="0" w:space="0" w:color="auto"/>
                    <w:right w:val="none" w:sz="0" w:space="0" w:color="auto"/>
                  </w:divBdr>
                  <w:divsChild>
                    <w:div w:id="1982420746">
                      <w:marLeft w:val="0"/>
                      <w:marRight w:val="0"/>
                      <w:marTop w:val="0"/>
                      <w:marBottom w:val="0"/>
                      <w:divBdr>
                        <w:top w:val="none" w:sz="0" w:space="0" w:color="auto"/>
                        <w:left w:val="none" w:sz="0" w:space="0" w:color="auto"/>
                        <w:bottom w:val="none" w:sz="0" w:space="0" w:color="auto"/>
                        <w:right w:val="none" w:sz="0" w:space="0" w:color="auto"/>
                      </w:divBdr>
                      <w:divsChild>
                        <w:div w:id="1641570871">
                          <w:marLeft w:val="0"/>
                          <w:marRight w:val="0"/>
                          <w:marTop w:val="0"/>
                          <w:marBottom w:val="0"/>
                          <w:divBdr>
                            <w:top w:val="none" w:sz="0" w:space="0" w:color="auto"/>
                            <w:left w:val="none" w:sz="0" w:space="0" w:color="auto"/>
                            <w:bottom w:val="none" w:sz="0" w:space="0" w:color="auto"/>
                            <w:right w:val="none" w:sz="0" w:space="0" w:color="auto"/>
                          </w:divBdr>
                          <w:divsChild>
                            <w:div w:id="665086175">
                              <w:marLeft w:val="0"/>
                              <w:marRight w:val="0"/>
                              <w:marTop w:val="0"/>
                              <w:marBottom w:val="0"/>
                              <w:divBdr>
                                <w:top w:val="none" w:sz="0" w:space="0" w:color="auto"/>
                                <w:left w:val="none" w:sz="0" w:space="0" w:color="auto"/>
                                <w:bottom w:val="none" w:sz="0" w:space="0" w:color="auto"/>
                                <w:right w:val="none" w:sz="0" w:space="0" w:color="auto"/>
                              </w:divBdr>
                              <w:divsChild>
                                <w:div w:id="479158066">
                                  <w:marLeft w:val="0"/>
                                  <w:marRight w:val="225"/>
                                  <w:marTop w:val="225"/>
                                  <w:marBottom w:val="600"/>
                                  <w:divBdr>
                                    <w:top w:val="none" w:sz="0" w:space="0" w:color="auto"/>
                                    <w:left w:val="none" w:sz="0" w:space="0" w:color="auto"/>
                                    <w:bottom w:val="none" w:sz="0" w:space="0" w:color="auto"/>
                                    <w:right w:val="none" w:sz="0" w:space="0" w:color="auto"/>
                                  </w:divBdr>
                                  <w:divsChild>
                                    <w:div w:id="17152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32408">
      <w:bodyDiv w:val="1"/>
      <w:marLeft w:val="0"/>
      <w:marRight w:val="0"/>
      <w:marTop w:val="0"/>
      <w:marBottom w:val="0"/>
      <w:divBdr>
        <w:top w:val="none" w:sz="0" w:space="0" w:color="auto"/>
        <w:left w:val="none" w:sz="0" w:space="0" w:color="auto"/>
        <w:bottom w:val="none" w:sz="0" w:space="0" w:color="auto"/>
        <w:right w:val="none" w:sz="0" w:space="0" w:color="auto"/>
      </w:divBdr>
    </w:div>
    <w:div w:id="643244954">
      <w:bodyDiv w:val="1"/>
      <w:marLeft w:val="0"/>
      <w:marRight w:val="0"/>
      <w:marTop w:val="0"/>
      <w:marBottom w:val="0"/>
      <w:divBdr>
        <w:top w:val="none" w:sz="0" w:space="0" w:color="auto"/>
        <w:left w:val="none" w:sz="0" w:space="0" w:color="auto"/>
        <w:bottom w:val="none" w:sz="0" w:space="0" w:color="auto"/>
        <w:right w:val="none" w:sz="0" w:space="0" w:color="auto"/>
      </w:divBdr>
    </w:div>
    <w:div w:id="743992984">
      <w:bodyDiv w:val="1"/>
      <w:marLeft w:val="0"/>
      <w:marRight w:val="0"/>
      <w:marTop w:val="0"/>
      <w:marBottom w:val="0"/>
      <w:divBdr>
        <w:top w:val="none" w:sz="0" w:space="0" w:color="auto"/>
        <w:left w:val="none" w:sz="0" w:space="0" w:color="auto"/>
        <w:bottom w:val="none" w:sz="0" w:space="0" w:color="auto"/>
        <w:right w:val="none" w:sz="0" w:space="0" w:color="auto"/>
      </w:divBdr>
      <w:divsChild>
        <w:div w:id="17778761">
          <w:marLeft w:val="0"/>
          <w:marRight w:val="0"/>
          <w:marTop w:val="0"/>
          <w:marBottom w:val="0"/>
          <w:divBdr>
            <w:top w:val="none" w:sz="0" w:space="0" w:color="auto"/>
            <w:left w:val="none" w:sz="0" w:space="0" w:color="auto"/>
            <w:bottom w:val="none" w:sz="0" w:space="0" w:color="auto"/>
            <w:right w:val="none" w:sz="0" w:space="0" w:color="auto"/>
          </w:divBdr>
        </w:div>
        <w:div w:id="342509760">
          <w:marLeft w:val="0"/>
          <w:marRight w:val="0"/>
          <w:marTop w:val="0"/>
          <w:marBottom w:val="0"/>
          <w:divBdr>
            <w:top w:val="none" w:sz="0" w:space="0" w:color="auto"/>
            <w:left w:val="none" w:sz="0" w:space="0" w:color="auto"/>
            <w:bottom w:val="none" w:sz="0" w:space="0" w:color="auto"/>
            <w:right w:val="none" w:sz="0" w:space="0" w:color="auto"/>
          </w:divBdr>
        </w:div>
        <w:div w:id="1042822168">
          <w:marLeft w:val="0"/>
          <w:marRight w:val="0"/>
          <w:marTop w:val="0"/>
          <w:marBottom w:val="0"/>
          <w:divBdr>
            <w:top w:val="none" w:sz="0" w:space="0" w:color="auto"/>
            <w:left w:val="none" w:sz="0" w:space="0" w:color="auto"/>
            <w:bottom w:val="none" w:sz="0" w:space="0" w:color="auto"/>
            <w:right w:val="none" w:sz="0" w:space="0" w:color="auto"/>
          </w:divBdr>
        </w:div>
        <w:div w:id="1357805703">
          <w:marLeft w:val="0"/>
          <w:marRight w:val="0"/>
          <w:marTop w:val="0"/>
          <w:marBottom w:val="0"/>
          <w:divBdr>
            <w:top w:val="none" w:sz="0" w:space="0" w:color="auto"/>
            <w:left w:val="none" w:sz="0" w:space="0" w:color="auto"/>
            <w:bottom w:val="none" w:sz="0" w:space="0" w:color="auto"/>
            <w:right w:val="none" w:sz="0" w:space="0" w:color="auto"/>
          </w:divBdr>
        </w:div>
        <w:div w:id="1924561173">
          <w:marLeft w:val="0"/>
          <w:marRight w:val="0"/>
          <w:marTop w:val="0"/>
          <w:marBottom w:val="0"/>
          <w:divBdr>
            <w:top w:val="none" w:sz="0" w:space="0" w:color="auto"/>
            <w:left w:val="none" w:sz="0" w:space="0" w:color="auto"/>
            <w:bottom w:val="none" w:sz="0" w:space="0" w:color="auto"/>
            <w:right w:val="none" w:sz="0" w:space="0" w:color="auto"/>
          </w:divBdr>
        </w:div>
        <w:div w:id="2082285055">
          <w:marLeft w:val="0"/>
          <w:marRight w:val="0"/>
          <w:marTop w:val="0"/>
          <w:marBottom w:val="0"/>
          <w:divBdr>
            <w:top w:val="none" w:sz="0" w:space="0" w:color="auto"/>
            <w:left w:val="none" w:sz="0" w:space="0" w:color="auto"/>
            <w:bottom w:val="none" w:sz="0" w:space="0" w:color="auto"/>
            <w:right w:val="none" w:sz="0" w:space="0" w:color="auto"/>
          </w:divBdr>
        </w:div>
      </w:divsChild>
    </w:div>
    <w:div w:id="766124003">
      <w:bodyDiv w:val="1"/>
      <w:marLeft w:val="0"/>
      <w:marRight w:val="0"/>
      <w:marTop w:val="0"/>
      <w:marBottom w:val="0"/>
      <w:divBdr>
        <w:top w:val="none" w:sz="0" w:space="0" w:color="auto"/>
        <w:left w:val="none" w:sz="0" w:space="0" w:color="auto"/>
        <w:bottom w:val="none" w:sz="0" w:space="0" w:color="auto"/>
        <w:right w:val="none" w:sz="0" w:space="0" w:color="auto"/>
      </w:divBdr>
    </w:div>
    <w:div w:id="860242872">
      <w:bodyDiv w:val="1"/>
      <w:marLeft w:val="0"/>
      <w:marRight w:val="0"/>
      <w:marTop w:val="0"/>
      <w:marBottom w:val="0"/>
      <w:divBdr>
        <w:top w:val="none" w:sz="0" w:space="0" w:color="auto"/>
        <w:left w:val="none" w:sz="0" w:space="0" w:color="auto"/>
        <w:bottom w:val="none" w:sz="0" w:space="0" w:color="auto"/>
        <w:right w:val="none" w:sz="0" w:space="0" w:color="auto"/>
      </w:divBdr>
    </w:div>
    <w:div w:id="923801048">
      <w:bodyDiv w:val="1"/>
      <w:marLeft w:val="0"/>
      <w:marRight w:val="0"/>
      <w:marTop w:val="0"/>
      <w:marBottom w:val="0"/>
      <w:divBdr>
        <w:top w:val="none" w:sz="0" w:space="0" w:color="auto"/>
        <w:left w:val="none" w:sz="0" w:space="0" w:color="auto"/>
        <w:bottom w:val="none" w:sz="0" w:space="0" w:color="auto"/>
        <w:right w:val="none" w:sz="0" w:space="0" w:color="auto"/>
      </w:divBdr>
    </w:div>
    <w:div w:id="945772031">
      <w:bodyDiv w:val="1"/>
      <w:marLeft w:val="0"/>
      <w:marRight w:val="0"/>
      <w:marTop w:val="0"/>
      <w:marBottom w:val="0"/>
      <w:divBdr>
        <w:top w:val="none" w:sz="0" w:space="0" w:color="auto"/>
        <w:left w:val="none" w:sz="0" w:space="0" w:color="auto"/>
        <w:bottom w:val="none" w:sz="0" w:space="0" w:color="auto"/>
        <w:right w:val="none" w:sz="0" w:space="0" w:color="auto"/>
      </w:divBdr>
    </w:div>
    <w:div w:id="1068115673">
      <w:bodyDiv w:val="1"/>
      <w:marLeft w:val="0"/>
      <w:marRight w:val="0"/>
      <w:marTop w:val="0"/>
      <w:marBottom w:val="0"/>
      <w:divBdr>
        <w:top w:val="none" w:sz="0" w:space="0" w:color="auto"/>
        <w:left w:val="none" w:sz="0" w:space="0" w:color="auto"/>
        <w:bottom w:val="none" w:sz="0" w:space="0" w:color="auto"/>
        <w:right w:val="none" w:sz="0" w:space="0" w:color="auto"/>
      </w:divBdr>
    </w:div>
    <w:div w:id="1116868352">
      <w:bodyDiv w:val="1"/>
      <w:marLeft w:val="0"/>
      <w:marRight w:val="0"/>
      <w:marTop w:val="0"/>
      <w:marBottom w:val="0"/>
      <w:divBdr>
        <w:top w:val="none" w:sz="0" w:space="0" w:color="auto"/>
        <w:left w:val="none" w:sz="0" w:space="0" w:color="auto"/>
        <w:bottom w:val="none" w:sz="0" w:space="0" w:color="auto"/>
        <w:right w:val="none" w:sz="0" w:space="0" w:color="auto"/>
      </w:divBdr>
    </w:div>
    <w:div w:id="1120951233">
      <w:bodyDiv w:val="1"/>
      <w:marLeft w:val="0"/>
      <w:marRight w:val="0"/>
      <w:marTop w:val="0"/>
      <w:marBottom w:val="0"/>
      <w:divBdr>
        <w:top w:val="none" w:sz="0" w:space="0" w:color="auto"/>
        <w:left w:val="none" w:sz="0" w:space="0" w:color="auto"/>
        <w:bottom w:val="none" w:sz="0" w:space="0" w:color="auto"/>
        <w:right w:val="none" w:sz="0" w:space="0" w:color="auto"/>
      </w:divBdr>
    </w:div>
    <w:div w:id="1185439370">
      <w:bodyDiv w:val="1"/>
      <w:marLeft w:val="0"/>
      <w:marRight w:val="0"/>
      <w:marTop w:val="0"/>
      <w:marBottom w:val="0"/>
      <w:divBdr>
        <w:top w:val="none" w:sz="0" w:space="0" w:color="auto"/>
        <w:left w:val="none" w:sz="0" w:space="0" w:color="auto"/>
        <w:bottom w:val="none" w:sz="0" w:space="0" w:color="auto"/>
        <w:right w:val="none" w:sz="0" w:space="0" w:color="auto"/>
      </w:divBdr>
    </w:div>
    <w:div w:id="1334382216">
      <w:bodyDiv w:val="1"/>
      <w:marLeft w:val="0"/>
      <w:marRight w:val="0"/>
      <w:marTop w:val="0"/>
      <w:marBottom w:val="0"/>
      <w:divBdr>
        <w:top w:val="none" w:sz="0" w:space="0" w:color="auto"/>
        <w:left w:val="none" w:sz="0" w:space="0" w:color="auto"/>
        <w:bottom w:val="none" w:sz="0" w:space="0" w:color="auto"/>
        <w:right w:val="none" w:sz="0" w:space="0" w:color="auto"/>
      </w:divBdr>
    </w:div>
    <w:div w:id="1351028022">
      <w:bodyDiv w:val="1"/>
      <w:marLeft w:val="0"/>
      <w:marRight w:val="0"/>
      <w:marTop w:val="0"/>
      <w:marBottom w:val="0"/>
      <w:divBdr>
        <w:top w:val="none" w:sz="0" w:space="0" w:color="auto"/>
        <w:left w:val="none" w:sz="0" w:space="0" w:color="auto"/>
        <w:bottom w:val="none" w:sz="0" w:space="0" w:color="auto"/>
        <w:right w:val="none" w:sz="0" w:space="0" w:color="auto"/>
      </w:divBdr>
    </w:div>
    <w:div w:id="1501384743">
      <w:bodyDiv w:val="1"/>
      <w:marLeft w:val="0"/>
      <w:marRight w:val="0"/>
      <w:marTop w:val="0"/>
      <w:marBottom w:val="0"/>
      <w:divBdr>
        <w:top w:val="none" w:sz="0" w:space="0" w:color="auto"/>
        <w:left w:val="none" w:sz="0" w:space="0" w:color="auto"/>
        <w:bottom w:val="none" w:sz="0" w:space="0" w:color="auto"/>
        <w:right w:val="none" w:sz="0" w:space="0" w:color="auto"/>
      </w:divBdr>
    </w:div>
    <w:div w:id="1610576922">
      <w:bodyDiv w:val="1"/>
      <w:marLeft w:val="0"/>
      <w:marRight w:val="0"/>
      <w:marTop w:val="0"/>
      <w:marBottom w:val="0"/>
      <w:divBdr>
        <w:top w:val="none" w:sz="0" w:space="0" w:color="auto"/>
        <w:left w:val="none" w:sz="0" w:space="0" w:color="auto"/>
        <w:bottom w:val="none" w:sz="0" w:space="0" w:color="auto"/>
        <w:right w:val="none" w:sz="0" w:space="0" w:color="auto"/>
      </w:divBdr>
    </w:div>
    <w:div w:id="1624262930">
      <w:bodyDiv w:val="1"/>
      <w:marLeft w:val="0"/>
      <w:marRight w:val="0"/>
      <w:marTop w:val="0"/>
      <w:marBottom w:val="0"/>
      <w:divBdr>
        <w:top w:val="none" w:sz="0" w:space="0" w:color="auto"/>
        <w:left w:val="none" w:sz="0" w:space="0" w:color="auto"/>
        <w:bottom w:val="none" w:sz="0" w:space="0" w:color="auto"/>
        <w:right w:val="none" w:sz="0" w:space="0" w:color="auto"/>
      </w:divBdr>
    </w:div>
    <w:div w:id="1743914859">
      <w:bodyDiv w:val="1"/>
      <w:marLeft w:val="0"/>
      <w:marRight w:val="0"/>
      <w:marTop w:val="0"/>
      <w:marBottom w:val="0"/>
      <w:divBdr>
        <w:top w:val="none" w:sz="0" w:space="0" w:color="auto"/>
        <w:left w:val="none" w:sz="0" w:space="0" w:color="auto"/>
        <w:bottom w:val="none" w:sz="0" w:space="0" w:color="auto"/>
        <w:right w:val="none" w:sz="0" w:space="0" w:color="auto"/>
      </w:divBdr>
    </w:div>
    <w:div w:id="1886407159">
      <w:bodyDiv w:val="1"/>
      <w:marLeft w:val="0"/>
      <w:marRight w:val="0"/>
      <w:marTop w:val="0"/>
      <w:marBottom w:val="0"/>
      <w:divBdr>
        <w:top w:val="none" w:sz="0" w:space="0" w:color="auto"/>
        <w:left w:val="none" w:sz="0" w:space="0" w:color="auto"/>
        <w:bottom w:val="none" w:sz="0" w:space="0" w:color="auto"/>
        <w:right w:val="none" w:sz="0" w:space="0" w:color="auto"/>
      </w:divBdr>
    </w:div>
    <w:div w:id="1909269069">
      <w:bodyDiv w:val="1"/>
      <w:marLeft w:val="0"/>
      <w:marRight w:val="0"/>
      <w:marTop w:val="0"/>
      <w:marBottom w:val="0"/>
      <w:divBdr>
        <w:top w:val="none" w:sz="0" w:space="0" w:color="auto"/>
        <w:left w:val="none" w:sz="0" w:space="0" w:color="auto"/>
        <w:bottom w:val="none" w:sz="0" w:space="0" w:color="auto"/>
        <w:right w:val="none" w:sz="0" w:space="0" w:color="auto"/>
      </w:divBdr>
    </w:div>
    <w:div w:id="1937513053">
      <w:bodyDiv w:val="1"/>
      <w:marLeft w:val="0"/>
      <w:marRight w:val="0"/>
      <w:marTop w:val="0"/>
      <w:marBottom w:val="0"/>
      <w:divBdr>
        <w:top w:val="none" w:sz="0" w:space="0" w:color="auto"/>
        <w:left w:val="none" w:sz="0" w:space="0" w:color="auto"/>
        <w:bottom w:val="none" w:sz="0" w:space="0" w:color="auto"/>
        <w:right w:val="none" w:sz="0" w:space="0" w:color="auto"/>
      </w:divBdr>
    </w:div>
    <w:div w:id="20035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0" ma:contentTypeDescription="Create a new document." ma:contentTypeScope="" ma:versionID="b16dadf5a2a2d80e27bcfa20324365b7">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f910abbeed2e219329afafa05b3e3fd2"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C2C4-949B-46DA-854C-582F786F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8DC6B-F742-43BC-88E7-869A7A2D51DB}">
  <ds:schemaRefs>
    <ds:schemaRef ds:uri="http://schemas.microsoft.com/sharepoint/v3/contenttype/forms"/>
  </ds:schemaRefs>
</ds:datastoreItem>
</file>

<file path=customXml/itemProps3.xml><?xml version="1.0" encoding="utf-8"?>
<ds:datastoreItem xmlns:ds="http://schemas.openxmlformats.org/officeDocument/2006/customXml" ds:itemID="{D930640C-CDDF-49CA-9FBB-905EAC191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20764-603D-4AF9-98DD-044AC08F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16</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Redhawk Resources, Inc</vt:lpstr>
    </vt:vector>
  </TitlesOfParts>
  <Company>DMCL Chartered Accountants</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Redhawk Resources, Inc</dc:title>
  <dc:subject/>
  <dc:creator>Matt Gosden</dc:creator>
  <cp:keywords/>
  <dc:description/>
  <cp:lastModifiedBy>Graeme Moore</cp:lastModifiedBy>
  <cp:revision>23</cp:revision>
  <cp:lastPrinted>2020-06-01T07:15:00Z</cp:lastPrinted>
  <dcterms:created xsi:type="dcterms:W3CDTF">2020-05-29T21:11:00Z</dcterms:created>
  <dcterms:modified xsi:type="dcterms:W3CDTF">2020-08-28T19:34:00Z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0x010100F3F18E2D66807E4392C37229355013C7</vt:lpwstr>
  </property>
</Properties>
</file>