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F7DE6" w14:textId="77777777" w:rsidR="00FC08C4" w:rsidRPr="00FC08C4" w:rsidRDefault="00FC08C4">
      <w:pPr>
        <w:pStyle w:val="Title"/>
        <w:rPr>
          <w:sz w:val="28"/>
        </w:rPr>
      </w:pPr>
    </w:p>
    <w:p w14:paraId="6CCE05AC" w14:textId="77777777" w:rsidR="00CA3F36" w:rsidRPr="00FC08C4" w:rsidRDefault="00CA3F36">
      <w:pPr>
        <w:jc w:val="center"/>
        <w:rPr>
          <w:b/>
          <w:sz w:val="24"/>
        </w:rPr>
      </w:pPr>
    </w:p>
    <w:p w14:paraId="36BC87CE" w14:textId="77777777" w:rsidR="00CA3F36" w:rsidRPr="00FC08C4" w:rsidRDefault="00CA3F36">
      <w:pPr>
        <w:rPr>
          <w:sz w:val="24"/>
        </w:rPr>
      </w:pPr>
    </w:p>
    <w:p w14:paraId="79B2A819" w14:textId="0ED349A8" w:rsidR="00FC08C4" w:rsidRPr="00FC08C4" w:rsidRDefault="000A6EF2" w:rsidP="00FC08C4">
      <w:pPr>
        <w:rPr>
          <w:sz w:val="24"/>
          <w:lang w:val="en-CA"/>
        </w:rPr>
      </w:pPr>
      <w:r>
        <w:rPr>
          <w:sz w:val="24"/>
          <w:lang w:val="en-CA"/>
        </w:rPr>
        <w:t xml:space="preserve">January </w:t>
      </w:r>
      <w:r w:rsidR="00A65DF8">
        <w:rPr>
          <w:sz w:val="24"/>
          <w:lang w:val="en-CA"/>
        </w:rPr>
        <w:t>31</w:t>
      </w:r>
      <w:r>
        <w:rPr>
          <w:sz w:val="24"/>
          <w:lang w:val="en-CA"/>
        </w:rPr>
        <w:t>, 2020</w:t>
      </w:r>
    </w:p>
    <w:p w14:paraId="55E7C51C" w14:textId="77777777" w:rsidR="00FC08C4" w:rsidRPr="00FC08C4" w:rsidRDefault="00FC08C4" w:rsidP="00FC08C4">
      <w:pPr>
        <w:rPr>
          <w:sz w:val="24"/>
          <w:lang w:val="en-CA"/>
        </w:rPr>
      </w:pPr>
    </w:p>
    <w:p w14:paraId="3781B118" w14:textId="77777777" w:rsidR="00FC08C4" w:rsidRPr="00FC08C4" w:rsidRDefault="00FC08C4" w:rsidP="00FC08C4">
      <w:pPr>
        <w:jc w:val="both"/>
        <w:rPr>
          <w:sz w:val="24"/>
          <w:szCs w:val="24"/>
          <w:highlight w:val="yellow"/>
          <w:lang w:val="en-CA"/>
        </w:rPr>
      </w:pPr>
    </w:p>
    <w:p w14:paraId="0573AB1B" w14:textId="77777777" w:rsidR="00FC08C4" w:rsidRPr="00FC08C4" w:rsidRDefault="00FC08C4" w:rsidP="00FC08C4">
      <w:pPr>
        <w:jc w:val="both"/>
        <w:rPr>
          <w:bCs/>
          <w:sz w:val="24"/>
          <w:szCs w:val="24"/>
        </w:rPr>
      </w:pPr>
      <w:r w:rsidRPr="00FC08C4">
        <w:rPr>
          <w:bCs/>
          <w:sz w:val="24"/>
          <w:szCs w:val="24"/>
        </w:rPr>
        <w:t>Canadian Securities Exchange</w:t>
      </w:r>
    </w:p>
    <w:p w14:paraId="48742A26" w14:textId="77777777" w:rsidR="008446A8" w:rsidRDefault="008446A8" w:rsidP="00FC08C4">
      <w:pPr>
        <w:jc w:val="both"/>
        <w:rPr>
          <w:bCs/>
          <w:sz w:val="24"/>
          <w:szCs w:val="24"/>
        </w:rPr>
      </w:pPr>
      <w:r w:rsidRPr="008446A8">
        <w:rPr>
          <w:bCs/>
          <w:sz w:val="24"/>
          <w:szCs w:val="24"/>
        </w:rPr>
        <w:t>100 King St W, Toronto, ON M5X 1A9</w:t>
      </w:r>
    </w:p>
    <w:p w14:paraId="71932A09" w14:textId="77777777" w:rsidR="00FC08C4" w:rsidRPr="00FC08C4" w:rsidRDefault="00FC08C4" w:rsidP="00FC08C4">
      <w:pPr>
        <w:jc w:val="both"/>
        <w:rPr>
          <w:bCs/>
          <w:sz w:val="24"/>
          <w:szCs w:val="24"/>
        </w:rPr>
      </w:pPr>
    </w:p>
    <w:p w14:paraId="35C08FB6" w14:textId="77777777" w:rsidR="00FC08C4" w:rsidRPr="00FC08C4" w:rsidRDefault="00FC08C4" w:rsidP="00FC08C4">
      <w:pPr>
        <w:jc w:val="both"/>
        <w:rPr>
          <w:bCs/>
          <w:sz w:val="24"/>
          <w:szCs w:val="24"/>
        </w:rPr>
      </w:pPr>
      <w:r w:rsidRPr="00FC08C4">
        <w:rPr>
          <w:bCs/>
          <w:sz w:val="24"/>
          <w:szCs w:val="24"/>
        </w:rPr>
        <w:t xml:space="preserve">Dear </w:t>
      </w:r>
      <w:r w:rsidR="004D2E63">
        <w:rPr>
          <w:bCs/>
          <w:sz w:val="24"/>
          <w:szCs w:val="24"/>
        </w:rPr>
        <w:t>Sirs/Mesdames</w:t>
      </w:r>
      <w:r w:rsidRPr="00FC08C4">
        <w:rPr>
          <w:bCs/>
          <w:sz w:val="24"/>
          <w:szCs w:val="24"/>
        </w:rPr>
        <w:t>:</w:t>
      </w:r>
    </w:p>
    <w:p w14:paraId="3755F715" w14:textId="77777777" w:rsidR="00CA3F36" w:rsidRPr="00FC08C4" w:rsidRDefault="00CA3F36">
      <w:pPr>
        <w:rPr>
          <w:sz w:val="24"/>
        </w:rPr>
      </w:pPr>
    </w:p>
    <w:p w14:paraId="77F4C2C8" w14:textId="54438F11" w:rsidR="00CA3F36" w:rsidRPr="00FC08C4" w:rsidRDefault="00CA3F36">
      <w:pPr>
        <w:rPr>
          <w:b/>
          <w:sz w:val="24"/>
          <w:u w:val="single"/>
        </w:rPr>
      </w:pPr>
      <w:r w:rsidRPr="00FC08C4">
        <w:rPr>
          <w:b/>
          <w:sz w:val="24"/>
          <w:u w:val="single"/>
        </w:rPr>
        <w:t xml:space="preserve">Re:  </w:t>
      </w:r>
      <w:bookmarkStart w:id="0" w:name="_GoBack"/>
      <w:proofErr w:type="spellStart"/>
      <w:r w:rsidR="00E141EB">
        <w:rPr>
          <w:b/>
          <w:sz w:val="24"/>
          <w:u w:val="single"/>
        </w:rPr>
        <w:t>Xt</w:t>
      </w:r>
      <w:r w:rsidR="00EE3E1A">
        <w:rPr>
          <w:b/>
          <w:sz w:val="24"/>
          <w:u w:val="single"/>
        </w:rPr>
        <w:t>raction</w:t>
      </w:r>
      <w:proofErr w:type="spellEnd"/>
      <w:r w:rsidR="00EE3E1A">
        <w:rPr>
          <w:b/>
          <w:sz w:val="24"/>
          <w:u w:val="single"/>
        </w:rPr>
        <w:t xml:space="preserve"> Services Holdings Corp. </w:t>
      </w:r>
      <w:r w:rsidR="000A6EF2">
        <w:rPr>
          <w:b/>
          <w:sz w:val="24"/>
          <w:u w:val="single"/>
        </w:rPr>
        <w:t xml:space="preserve">– Acquisition of securities of </w:t>
      </w:r>
      <w:proofErr w:type="spellStart"/>
      <w:r w:rsidR="000A6EF2">
        <w:rPr>
          <w:b/>
          <w:sz w:val="24"/>
          <w:u w:val="single"/>
        </w:rPr>
        <w:t>Kushco</w:t>
      </w:r>
      <w:proofErr w:type="spellEnd"/>
      <w:r w:rsidR="000A6EF2">
        <w:rPr>
          <w:b/>
          <w:sz w:val="24"/>
          <w:u w:val="single"/>
        </w:rPr>
        <w:t xml:space="preserve"> Holdings, Inc. </w:t>
      </w:r>
      <w:bookmarkEnd w:id="0"/>
    </w:p>
    <w:p w14:paraId="7AB57707" w14:textId="77777777" w:rsidR="00CB62F6" w:rsidRDefault="00CB62F6">
      <w:pPr>
        <w:jc w:val="both"/>
        <w:rPr>
          <w:sz w:val="24"/>
        </w:rPr>
      </w:pPr>
    </w:p>
    <w:p w14:paraId="00AB387A" w14:textId="732CFC0F" w:rsidR="00A65DF8" w:rsidRDefault="00E42B59" w:rsidP="00CB62F6">
      <w:pPr>
        <w:jc w:val="both"/>
        <w:rPr>
          <w:sz w:val="24"/>
        </w:rPr>
      </w:pPr>
      <w:r>
        <w:rPr>
          <w:sz w:val="24"/>
        </w:rPr>
        <w:t>Pursuant to section 3.3(a) of the Canadian Securities Exchange’s Policy 6</w:t>
      </w:r>
      <w:r w:rsidR="007D3E45">
        <w:rPr>
          <w:sz w:val="24"/>
        </w:rPr>
        <w:t xml:space="preserve"> </w:t>
      </w:r>
      <w:r w:rsidRPr="00E42B59">
        <w:rPr>
          <w:i/>
          <w:iCs/>
          <w:sz w:val="24"/>
        </w:rPr>
        <w:t>Distributions</w:t>
      </w:r>
      <w:r>
        <w:rPr>
          <w:sz w:val="24"/>
        </w:rPr>
        <w:t xml:space="preserve">, </w:t>
      </w:r>
      <w:proofErr w:type="spellStart"/>
      <w:r w:rsidR="000A6EF2" w:rsidRPr="000A6EF2">
        <w:rPr>
          <w:sz w:val="24"/>
        </w:rPr>
        <w:t>Xtraction</w:t>
      </w:r>
      <w:proofErr w:type="spellEnd"/>
      <w:r w:rsidR="000A6EF2" w:rsidRPr="000A6EF2">
        <w:rPr>
          <w:sz w:val="24"/>
        </w:rPr>
        <w:t xml:space="preserve"> Services Holdings Corp</w:t>
      </w:r>
      <w:r w:rsidR="000A6EF2">
        <w:rPr>
          <w:sz w:val="24"/>
        </w:rPr>
        <w:t>. (the “</w:t>
      </w:r>
      <w:r w:rsidR="000A6EF2" w:rsidRPr="000A6EF2">
        <w:rPr>
          <w:b/>
          <w:bCs/>
          <w:sz w:val="24"/>
        </w:rPr>
        <w:t>Issuer</w:t>
      </w:r>
      <w:r w:rsidR="000A6EF2">
        <w:rPr>
          <w:sz w:val="24"/>
        </w:rPr>
        <w:t xml:space="preserve">”) </w:t>
      </w:r>
      <w:r w:rsidR="00CB62F6" w:rsidRPr="00CB62F6">
        <w:rPr>
          <w:sz w:val="24"/>
        </w:rPr>
        <w:t xml:space="preserve">hereby </w:t>
      </w:r>
      <w:r w:rsidR="000A6EF2">
        <w:rPr>
          <w:sz w:val="24"/>
        </w:rPr>
        <w:t xml:space="preserve">confirms closing of its acquisition of </w:t>
      </w:r>
      <w:r w:rsidR="000A6EF2" w:rsidRPr="000A6EF2">
        <w:rPr>
          <w:sz w:val="24"/>
        </w:rPr>
        <w:t>1,653,081</w:t>
      </w:r>
      <w:r w:rsidR="000A6EF2">
        <w:rPr>
          <w:sz w:val="24"/>
        </w:rPr>
        <w:t xml:space="preserve"> common stock of </w:t>
      </w:r>
      <w:proofErr w:type="spellStart"/>
      <w:r w:rsidR="000A6EF2">
        <w:rPr>
          <w:sz w:val="24"/>
        </w:rPr>
        <w:t>KushCo</w:t>
      </w:r>
      <w:proofErr w:type="spellEnd"/>
      <w:r w:rsidR="00A65DF8">
        <w:rPr>
          <w:sz w:val="24"/>
        </w:rPr>
        <w:t xml:space="preserve"> Holdings, Inc.</w:t>
      </w:r>
      <w:r w:rsidR="000A6EF2">
        <w:rPr>
          <w:sz w:val="24"/>
        </w:rPr>
        <w:t xml:space="preserve"> in consideration for the issuance by the Issuer of </w:t>
      </w:r>
      <w:r w:rsidR="000A6EF2" w:rsidRPr="000A6EF2">
        <w:rPr>
          <w:sz w:val="24"/>
        </w:rPr>
        <w:t>10,600.3</w:t>
      </w:r>
      <w:r w:rsidR="00A65DF8">
        <w:rPr>
          <w:sz w:val="24"/>
        </w:rPr>
        <w:t xml:space="preserve"> </w:t>
      </w:r>
      <w:r w:rsidR="000A6EF2">
        <w:rPr>
          <w:sz w:val="24"/>
        </w:rPr>
        <w:t>proportionate voting shares of the Issuer (the “</w:t>
      </w:r>
      <w:r w:rsidR="000A6EF2" w:rsidRPr="000A6EF2">
        <w:rPr>
          <w:b/>
          <w:bCs/>
          <w:sz w:val="24"/>
        </w:rPr>
        <w:t>Acquisition</w:t>
      </w:r>
      <w:r w:rsidR="000A6EF2">
        <w:rPr>
          <w:sz w:val="24"/>
        </w:rPr>
        <w:t xml:space="preserve">”). </w:t>
      </w:r>
    </w:p>
    <w:p w14:paraId="46EE19D7" w14:textId="77777777" w:rsidR="00A65DF8" w:rsidRDefault="00A65DF8" w:rsidP="00CB62F6">
      <w:pPr>
        <w:jc w:val="both"/>
        <w:rPr>
          <w:sz w:val="24"/>
        </w:rPr>
      </w:pPr>
    </w:p>
    <w:p w14:paraId="1EA44653" w14:textId="43A25D9D" w:rsidR="00CB62F6" w:rsidRPr="00CB62F6" w:rsidRDefault="000A6EF2" w:rsidP="00CB62F6">
      <w:pPr>
        <w:jc w:val="both"/>
        <w:rPr>
          <w:sz w:val="24"/>
        </w:rPr>
      </w:pPr>
      <w:r>
        <w:rPr>
          <w:sz w:val="24"/>
        </w:rPr>
        <w:t xml:space="preserve">A press release disclosing the Acquisition was disseminated by the Issuer on the date hereof. </w:t>
      </w:r>
    </w:p>
    <w:p w14:paraId="1F2A9E85" w14:textId="77777777" w:rsidR="00CB62F6" w:rsidRDefault="00CB62F6">
      <w:pPr>
        <w:jc w:val="both"/>
        <w:rPr>
          <w:sz w:val="24"/>
        </w:rPr>
      </w:pPr>
    </w:p>
    <w:p w14:paraId="7EC0BE9E" w14:textId="4CB9155C" w:rsidR="004D2E63" w:rsidRDefault="00FC08C4">
      <w:pPr>
        <w:jc w:val="both"/>
        <w:rPr>
          <w:sz w:val="24"/>
        </w:rPr>
      </w:pPr>
      <w:r>
        <w:rPr>
          <w:sz w:val="24"/>
        </w:rPr>
        <w:br/>
      </w:r>
      <w:r w:rsidR="004D2E63">
        <w:rPr>
          <w:sz w:val="24"/>
        </w:rPr>
        <w:t>Yours very truly,</w:t>
      </w:r>
    </w:p>
    <w:p w14:paraId="435DAD9B" w14:textId="77777777" w:rsidR="004D2E63" w:rsidRDefault="004D2E63">
      <w:pPr>
        <w:jc w:val="both"/>
        <w:rPr>
          <w:sz w:val="24"/>
        </w:rPr>
      </w:pPr>
    </w:p>
    <w:tbl>
      <w:tblPr>
        <w:tblW w:w="524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139"/>
        <w:gridCol w:w="4108"/>
      </w:tblGrid>
      <w:tr w:rsidR="004D2E63" w:rsidRPr="007A2A04" w14:paraId="73E70B67" w14:textId="77777777" w:rsidTr="004D2E63">
        <w:trPr>
          <w:cantSplit/>
          <w:trHeight w:val="800"/>
        </w:trPr>
        <w:tc>
          <w:tcPr>
            <w:tcW w:w="5247" w:type="dxa"/>
            <w:gridSpan w:val="2"/>
            <w:vAlign w:val="bottom"/>
          </w:tcPr>
          <w:p w14:paraId="7BD9F709" w14:textId="77777777" w:rsidR="004D2E63" w:rsidRPr="007A2A04" w:rsidRDefault="00EE3E1A" w:rsidP="005E0C94">
            <w:pPr>
              <w:spacing w:after="2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XTRACTION SERVICES HOLDINGS CORP. </w:t>
            </w:r>
            <w:r w:rsidR="004D2E6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D2E63" w:rsidRPr="007A2A04" w14:paraId="7AE7F514" w14:textId="77777777" w:rsidTr="004D2E63">
        <w:trPr>
          <w:cantSplit/>
        </w:trPr>
        <w:tc>
          <w:tcPr>
            <w:tcW w:w="1139" w:type="dxa"/>
          </w:tcPr>
          <w:p w14:paraId="01AD676E" w14:textId="77777777" w:rsidR="004D2E63" w:rsidRPr="007A2A04" w:rsidRDefault="004D2E63" w:rsidP="005E0C94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7A2A04">
              <w:rPr>
                <w:sz w:val="24"/>
                <w:szCs w:val="24"/>
              </w:rPr>
              <w:t>By: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14:paraId="7465A7EC" w14:textId="69EA1564" w:rsidR="004D2E63" w:rsidRPr="00A65DF8" w:rsidRDefault="00A65DF8" w:rsidP="005E0C94">
            <w:pPr>
              <w:spacing w:before="40" w:after="40"/>
              <w:jc w:val="both"/>
              <w:rPr>
                <w:i/>
                <w:sz w:val="24"/>
                <w:szCs w:val="24"/>
              </w:rPr>
            </w:pPr>
            <w:r w:rsidRPr="00A65DF8">
              <w:rPr>
                <w:i/>
                <w:sz w:val="24"/>
                <w:szCs w:val="24"/>
              </w:rPr>
              <w:t>“David Kivitz”</w:t>
            </w:r>
          </w:p>
        </w:tc>
      </w:tr>
      <w:tr w:rsidR="004D2E63" w:rsidRPr="007A2A04" w14:paraId="643C28BF" w14:textId="77777777" w:rsidTr="004D2E63">
        <w:trPr>
          <w:cantSplit/>
        </w:trPr>
        <w:tc>
          <w:tcPr>
            <w:tcW w:w="1139" w:type="dxa"/>
          </w:tcPr>
          <w:p w14:paraId="2FB20A36" w14:textId="77777777" w:rsidR="004D2E63" w:rsidRPr="007A2A04" w:rsidRDefault="004D2E63" w:rsidP="005E0C94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14:paraId="5C3E7C87" w14:textId="3BCAA7E6" w:rsidR="004D2E63" w:rsidRPr="007A2A04" w:rsidRDefault="004D2E63" w:rsidP="004D2E63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7A2A04">
              <w:rPr>
                <w:sz w:val="24"/>
                <w:szCs w:val="24"/>
              </w:rPr>
              <w:t xml:space="preserve">Name: </w:t>
            </w:r>
            <w:r w:rsidR="000A6EF2">
              <w:rPr>
                <w:sz w:val="24"/>
                <w:szCs w:val="24"/>
              </w:rPr>
              <w:t>David Kivitz</w:t>
            </w:r>
          </w:p>
        </w:tc>
      </w:tr>
      <w:tr w:rsidR="004D2E63" w:rsidRPr="007A2A04" w14:paraId="519D5574" w14:textId="77777777" w:rsidTr="004D2E63">
        <w:trPr>
          <w:cantSplit/>
        </w:trPr>
        <w:tc>
          <w:tcPr>
            <w:tcW w:w="1139" w:type="dxa"/>
          </w:tcPr>
          <w:p w14:paraId="72F42231" w14:textId="77777777" w:rsidR="004D2E63" w:rsidRPr="007A2A04" w:rsidRDefault="004D2E63" w:rsidP="005E0C94">
            <w:pPr>
              <w:spacing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14:paraId="1AD0A6D7" w14:textId="0909619B" w:rsidR="004D2E63" w:rsidRPr="007A2A04" w:rsidRDefault="004D2E63" w:rsidP="004D2E63">
            <w:pPr>
              <w:spacing w:after="40"/>
              <w:jc w:val="both"/>
              <w:rPr>
                <w:sz w:val="24"/>
                <w:szCs w:val="24"/>
              </w:rPr>
            </w:pPr>
            <w:r w:rsidRPr="007A2A04">
              <w:rPr>
                <w:sz w:val="24"/>
                <w:szCs w:val="24"/>
              </w:rPr>
              <w:t>Title:</w:t>
            </w:r>
            <w:r w:rsidR="000A6EF2">
              <w:rPr>
                <w:sz w:val="24"/>
                <w:szCs w:val="24"/>
              </w:rPr>
              <w:t xml:space="preserve"> </w:t>
            </w:r>
            <w:r w:rsidR="00A85A7B">
              <w:rPr>
                <w:sz w:val="24"/>
                <w:szCs w:val="24"/>
              </w:rPr>
              <w:t xml:space="preserve">President and Chief Executive </w:t>
            </w:r>
            <w:r w:rsidR="000A6EF2">
              <w:rPr>
                <w:sz w:val="24"/>
                <w:szCs w:val="24"/>
              </w:rPr>
              <w:br/>
              <w:t xml:space="preserve">           Officer</w:t>
            </w:r>
          </w:p>
        </w:tc>
      </w:tr>
    </w:tbl>
    <w:p w14:paraId="1BE42AB2" w14:textId="77777777" w:rsidR="00FC08C4" w:rsidRDefault="00FC08C4" w:rsidP="004D2E63">
      <w:pPr>
        <w:jc w:val="both"/>
        <w:rPr>
          <w:sz w:val="24"/>
        </w:rPr>
      </w:pPr>
    </w:p>
    <w:sectPr w:rsidR="00FC08C4" w:rsidSect="00750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115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01E97" w14:textId="77777777" w:rsidR="00625671" w:rsidRDefault="00625671">
      <w:r>
        <w:separator/>
      </w:r>
    </w:p>
  </w:endnote>
  <w:endnote w:type="continuationSeparator" w:id="0">
    <w:p w14:paraId="1AA9E82B" w14:textId="77777777" w:rsidR="00625671" w:rsidRDefault="0062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4F7B5" w14:textId="77777777" w:rsidR="00044269" w:rsidRDefault="00044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4BA3" w14:textId="760F88F9" w:rsidR="00CF62BF" w:rsidRPr="00B574F9" w:rsidRDefault="00B574F9" w:rsidP="00B574F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DOCPROPERTY iManageFooter \* MERGEFORMAT </w:instrText>
    </w:r>
    <w:r>
      <w:rPr>
        <w:rStyle w:val="PageNumber"/>
      </w:rPr>
      <w:fldChar w:fldCharType="separate"/>
    </w:r>
    <w:r w:rsidR="008F3816">
      <w:rPr>
        <w:rStyle w:val="PageNumber"/>
      </w:rPr>
      <w:t>#3454994v1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F6D3" w14:textId="77777777" w:rsidR="00044269" w:rsidRDefault="00044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C201D" w14:textId="77777777" w:rsidR="00625671" w:rsidRDefault="0062567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A942010" w14:textId="77777777" w:rsidR="00625671" w:rsidRDefault="00625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3F125" w14:textId="77777777" w:rsidR="00044269" w:rsidRDefault="00044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829D" w14:textId="77777777" w:rsidR="00044269" w:rsidRDefault="00044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EE275" w14:textId="77777777" w:rsidR="00044269" w:rsidRDefault="00044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B1414"/>
    <w:multiLevelType w:val="singleLevel"/>
    <w:tmpl w:val="787A6F6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FE"/>
    <w:rsid w:val="000113CF"/>
    <w:rsid w:val="000243D9"/>
    <w:rsid w:val="00044269"/>
    <w:rsid w:val="00061B3D"/>
    <w:rsid w:val="0007445B"/>
    <w:rsid w:val="000A6EF2"/>
    <w:rsid w:val="0012679D"/>
    <w:rsid w:val="00142C8A"/>
    <w:rsid w:val="001538E1"/>
    <w:rsid w:val="00157C4A"/>
    <w:rsid w:val="001810D5"/>
    <w:rsid w:val="00184CB3"/>
    <w:rsid w:val="001A5F70"/>
    <w:rsid w:val="001D0CC4"/>
    <w:rsid w:val="00216D8F"/>
    <w:rsid w:val="0022404C"/>
    <w:rsid w:val="00292C60"/>
    <w:rsid w:val="002B1463"/>
    <w:rsid w:val="002B41AB"/>
    <w:rsid w:val="002D57B8"/>
    <w:rsid w:val="00332626"/>
    <w:rsid w:val="003531BF"/>
    <w:rsid w:val="0037136D"/>
    <w:rsid w:val="003F1EE0"/>
    <w:rsid w:val="00410B42"/>
    <w:rsid w:val="00443B9C"/>
    <w:rsid w:val="00446CFE"/>
    <w:rsid w:val="004D2E63"/>
    <w:rsid w:val="00581E30"/>
    <w:rsid w:val="005C7C34"/>
    <w:rsid w:val="00624F2F"/>
    <w:rsid w:val="00625671"/>
    <w:rsid w:val="00650C2D"/>
    <w:rsid w:val="00711FFE"/>
    <w:rsid w:val="00721B84"/>
    <w:rsid w:val="007504C3"/>
    <w:rsid w:val="00750777"/>
    <w:rsid w:val="00760539"/>
    <w:rsid w:val="00766F81"/>
    <w:rsid w:val="007D3E45"/>
    <w:rsid w:val="007E22AD"/>
    <w:rsid w:val="007E61FD"/>
    <w:rsid w:val="00801406"/>
    <w:rsid w:val="00830619"/>
    <w:rsid w:val="008409DF"/>
    <w:rsid w:val="008446A8"/>
    <w:rsid w:val="00874BE9"/>
    <w:rsid w:val="008E17BA"/>
    <w:rsid w:val="008F3816"/>
    <w:rsid w:val="0090288E"/>
    <w:rsid w:val="00923B5F"/>
    <w:rsid w:val="00930CCE"/>
    <w:rsid w:val="00930F89"/>
    <w:rsid w:val="00A10DF2"/>
    <w:rsid w:val="00A3557F"/>
    <w:rsid w:val="00A43A20"/>
    <w:rsid w:val="00A65DF8"/>
    <w:rsid w:val="00A85A7B"/>
    <w:rsid w:val="00A9660C"/>
    <w:rsid w:val="00A97071"/>
    <w:rsid w:val="00B574F9"/>
    <w:rsid w:val="00B94817"/>
    <w:rsid w:val="00BB1487"/>
    <w:rsid w:val="00BC2204"/>
    <w:rsid w:val="00BE6391"/>
    <w:rsid w:val="00C42DE3"/>
    <w:rsid w:val="00C64A36"/>
    <w:rsid w:val="00C67B66"/>
    <w:rsid w:val="00CA3F36"/>
    <w:rsid w:val="00CB62F6"/>
    <w:rsid w:val="00CF62BF"/>
    <w:rsid w:val="00D555A6"/>
    <w:rsid w:val="00D71C24"/>
    <w:rsid w:val="00D832AF"/>
    <w:rsid w:val="00D93FF5"/>
    <w:rsid w:val="00E141EB"/>
    <w:rsid w:val="00E42B59"/>
    <w:rsid w:val="00EA085B"/>
    <w:rsid w:val="00EA5C70"/>
    <w:rsid w:val="00EE3893"/>
    <w:rsid w:val="00EE3E1A"/>
    <w:rsid w:val="00EF3E42"/>
    <w:rsid w:val="00EF5A69"/>
    <w:rsid w:val="00F1101C"/>
    <w:rsid w:val="00FC08C4"/>
    <w:rsid w:val="00FC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AD241D"/>
  <w15:docId w15:val="{1D246699-0273-44C9-B12F-A9CCCD84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 W i l d D O C S ! 3 4 5 4 9 9 4 . 1 < / d o c u m e n t i d >  
     < s e n d e r i d > R A N A N T H A R A J A H < / s e n d e r i d >  
     < s e n d e r e m a i l > R A N A N T H A R A J A H @ W I L D L A W . C A < / s e n d e r e m a i l >  
     < l a s t m o d i f i e d > 2 0 2 0 - 0 1 - 3 1 T 1 3 : 0 7 : 0 0 . 0 0 0 0 0 0 0 - 0 5 : 0 0 < / l a s t m o d i f i e d >  
     < d a t a b a s e > W i l d D O C S 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3C71-E0EF-854A-AB1B-F50697134505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E61FC661-0CB7-A443-8AA7-42DDBA24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PresentationFormat/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1A</vt:lpstr>
    </vt:vector>
  </TitlesOfParts>
  <Company>CDNQ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1A</dc:title>
  <dc:subject>WD00224629.DOCX:</dc:subject>
  <dc:creator>User1</dc:creator>
  <cp:keywords/>
  <cp:lastModifiedBy>Natalie Shewchuk</cp:lastModifiedBy>
  <cp:revision>2</cp:revision>
  <cp:lastPrinted>2019-09-11T17:58:00Z</cp:lastPrinted>
  <dcterms:created xsi:type="dcterms:W3CDTF">2020-02-01T01:02:00Z</dcterms:created>
  <dcterms:modified xsi:type="dcterms:W3CDTF">2020-02-01T01:02:00Z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#3454994v1</vt:lpwstr>
  </property>
</Properties>
</file>