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bookmarkStart w:id="0" w:name="_GoBack"/>
      <w:bookmarkEnd w:id="0"/>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Pr="00967B21" w:rsidRDefault="00EA4133">
      <w:pPr>
        <w:pStyle w:val="Title"/>
        <w:spacing w:before="0" w:after="0"/>
        <w:rPr>
          <w:sz w:val="24"/>
          <w:szCs w:val="24"/>
          <w:u w:val="single"/>
          <w:lang w:val="en-CA"/>
        </w:rPr>
      </w:pPr>
      <w:r w:rsidRPr="00967B21">
        <w:rPr>
          <w:sz w:val="24"/>
          <w:szCs w:val="24"/>
          <w:u w:val="single"/>
          <w:lang w:val="en-CA"/>
        </w:rPr>
        <w:t xml:space="preserve">(or securities convertible or exchangeable into </w:t>
      </w:r>
      <w:r w:rsidR="000B64EF" w:rsidRPr="00967B21">
        <w:rPr>
          <w:sz w:val="24"/>
          <w:szCs w:val="24"/>
          <w:u w:val="single"/>
          <w:lang w:val="en-CA"/>
        </w:rPr>
        <w:t>listed</w:t>
      </w:r>
      <w:r w:rsidRPr="00967B21">
        <w:rPr>
          <w:sz w:val="24"/>
          <w:szCs w:val="24"/>
          <w:u w:val="single"/>
          <w:lang w:val="en-CA"/>
        </w:rPr>
        <w:t xml:space="preserve"> securities</w:t>
      </w:r>
      <w:r w:rsidR="009136E7" w:rsidRPr="00967B21">
        <w:rPr>
          <w:rStyle w:val="FootnoteReference"/>
          <w:sz w:val="24"/>
          <w:szCs w:val="24"/>
        </w:rPr>
        <w:footnoteRef/>
      </w:r>
      <w:r w:rsidRPr="00967B21">
        <w:rPr>
          <w:sz w:val="24"/>
          <w:szCs w:val="24"/>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4"/>
        <w:gridCol w:w="3016"/>
      </w:tblGrid>
      <w:tr w:rsidR="00840B45" w:rsidTr="00840B45">
        <w:tc>
          <w:tcPr>
            <w:tcW w:w="6487" w:type="dxa"/>
          </w:tcPr>
          <w:p w:rsidR="00840B45" w:rsidRDefault="00C10FC2" w:rsidP="00840B45">
            <w:pPr>
              <w:pStyle w:val="BodyText"/>
              <w:jc w:val="right"/>
              <w:rPr>
                <w:rFonts w:ascii="Arial" w:hAnsi="Arial"/>
                <w:lang w:val="en-CA"/>
              </w:rPr>
            </w:pPr>
            <w:proofErr w:type="spellStart"/>
            <w:r>
              <w:rPr>
                <w:rFonts w:ascii="Arial" w:hAnsi="Arial"/>
                <w:lang w:val="en-CA"/>
              </w:rPr>
              <w:t>Xtraction</w:t>
            </w:r>
            <w:proofErr w:type="spellEnd"/>
            <w:r>
              <w:rPr>
                <w:rFonts w:ascii="Arial" w:hAnsi="Arial"/>
                <w:lang w:val="en-CA"/>
              </w:rPr>
              <w:t xml:space="preserve"> Services Holdings Corp. </w:t>
            </w:r>
            <w:r w:rsidR="00840B45">
              <w:rPr>
                <w:rFonts w:ascii="Arial" w:hAnsi="Arial"/>
                <w:lang w:val="en-CA"/>
              </w:rPr>
              <w:t xml:space="preserve">(the “Issuer”)  </w:t>
            </w:r>
          </w:p>
        </w:tc>
        <w:tc>
          <w:tcPr>
            <w:tcW w:w="3089" w:type="dxa"/>
          </w:tcPr>
          <w:p w:rsidR="00840B45" w:rsidRDefault="00C10FC2">
            <w:pPr>
              <w:pStyle w:val="BodyText"/>
              <w:rPr>
                <w:rFonts w:ascii="Arial" w:hAnsi="Arial"/>
                <w:lang w:val="en-CA"/>
              </w:rPr>
            </w:pPr>
            <w:r>
              <w:rPr>
                <w:rFonts w:ascii="Arial" w:hAnsi="Arial"/>
                <w:lang w:val="en-CA"/>
              </w:rPr>
              <w:t>XS</w:t>
            </w:r>
          </w:p>
        </w:tc>
      </w:tr>
    </w:tbl>
    <w:p w:rsidR="00910085" w:rsidRDefault="00EA4133" w:rsidP="00840B45">
      <w:pPr>
        <w:pStyle w:val="BodyText"/>
        <w:spacing w:after="240"/>
        <w:rPr>
          <w:rFonts w:ascii="Arial" w:hAnsi="Arial"/>
          <w:u w:val="single"/>
          <w:lang w:val="en-CA"/>
        </w:rPr>
      </w:pPr>
      <w:r>
        <w:rPr>
          <w:rFonts w:ascii="Arial" w:hAnsi="Arial"/>
          <w:lang w:val="en-CA"/>
        </w:rPr>
        <w:t xml:space="preserve">Date: </w:t>
      </w:r>
      <w:r w:rsidR="00C10FC2">
        <w:rPr>
          <w:rFonts w:ascii="Arial" w:hAnsi="Arial"/>
          <w:lang w:val="en-CA"/>
        </w:rPr>
        <w:t xml:space="preserve">January </w:t>
      </w:r>
      <w:r w:rsidR="00205D09">
        <w:rPr>
          <w:rFonts w:ascii="Arial" w:hAnsi="Arial"/>
          <w:lang w:val="en-CA"/>
        </w:rPr>
        <w:t>3</w:t>
      </w:r>
      <w:r w:rsidR="008943C8">
        <w:rPr>
          <w:rFonts w:ascii="Arial" w:hAnsi="Arial"/>
          <w:lang w:val="en-CA"/>
        </w:rPr>
        <w:t>1</w:t>
      </w:r>
      <w:r w:rsidR="00C10FC2">
        <w:rPr>
          <w:rFonts w:ascii="Arial" w:hAnsi="Arial"/>
          <w:lang w:val="en-CA"/>
        </w:rPr>
        <w:t>, 2020</w:t>
      </w:r>
      <w:r w:rsidR="00910085">
        <w:rPr>
          <w:rFonts w:ascii="Arial" w:hAnsi="Arial"/>
          <w:u w:val="single"/>
          <w:lang w:val="en-CA"/>
        </w:rPr>
        <w:t xml:space="preserve"> </w:t>
      </w:r>
    </w:p>
    <w:p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910085">
        <w:rPr>
          <w:rFonts w:ascii="Arial" w:hAnsi="Arial"/>
          <w:lang w:val="en-CA"/>
        </w:rPr>
        <w:sym w:font="Wingdings" w:char="F0FE"/>
      </w:r>
      <w:proofErr w:type="gramStart"/>
      <w:r>
        <w:rPr>
          <w:rFonts w:ascii="Arial" w:hAnsi="Arial"/>
          <w:lang w:val="en-CA"/>
        </w:rPr>
        <w:t>No</w:t>
      </w:r>
      <w:proofErr w:type="gramEnd"/>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DD696E" w:rsidRPr="00DD696E">
        <w:rPr>
          <w:rFonts w:ascii="Arial" w:hAnsi="Arial"/>
          <w:u w:val="single"/>
          <w:lang w:val="en-CA"/>
        </w:rPr>
        <w:t>30,460,162</w:t>
      </w:r>
      <w:r w:rsidR="00DD696E">
        <w:rPr>
          <w:rFonts w:ascii="Arial" w:hAnsi="Arial"/>
          <w:u w:val="single"/>
          <w:lang w:val="en-CA"/>
        </w:rPr>
        <w:t xml:space="preserve"> </w:t>
      </w:r>
      <w:r w:rsidR="00C10FC2">
        <w:rPr>
          <w:rFonts w:ascii="Arial" w:hAnsi="Arial"/>
          <w:u w:val="single"/>
          <w:lang w:val="en-CA"/>
        </w:rPr>
        <w:t xml:space="preserve">subordinate voting </w:t>
      </w:r>
      <w:r w:rsidR="00910085" w:rsidRPr="00910085">
        <w:rPr>
          <w:rFonts w:ascii="Arial" w:hAnsi="Arial"/>
          <w:u w:val="single"/>
          <w:lang w:val="en-CA"/>
        </w:rPr>
        <w:t>shares in the capital of the Issuer</w:t>
      </w:r>
      <w:r w:rsidR="00031A5F">
        <w:rPr>
          <w:rFonts w:ascii="Arial" w:hAnsi="Arial"/>
          <w:u w:val="single"/>
          <w:lang w:val="en-CA"/>
        </w:rPr>
        <w:t xml:space="preserve"> (“</w:t>
      </w:r>
      <w:r w:rsidR="00C10FC2">
        <w:rPr>
          <w:rFonts w:ascii="Arial" w:hAnsi="Arial"/>
          <w:b/>
          <w:bCs/>
          <w:u w:val="single"/>
          <w:lang w:val="en-CA"/>
        </w:rPr>
        <w:t xml:space="preserve">Subordinate </w:t>
      </w:r>
      <w:r w:rsidR="00031A5F">
        <w:rPr>
          <w:rFonts w:ascii="Arial" w:hAnsi="Arial"/>
          <w:b/>
          <w:bCs/>
          <w:u w:val="single"/>
          <w:lang w:val="en-CA"/>
        </w:rPr>
        <w:t>Shares</w:t>
      </w:r>
      <w:r w:rsidR="00031A5F">
        <w:rPr>
          <w:rFonts w:ascii="Arial" w:hAnsi="Arial"/>
          <w:u w:val="single"/>
          <w:lang w:val="en-CA"/>
        </w:rPr>
        <w:t>”)</w:t>
      </w:r>
      <w:r w:rsidR="00C10FC2">
        <w:rPr>
          <w:rFonts w:ascii="Arial" w:hAnsi="Arial"/>
          <w:u w:val="single"/>
          <w:lang w:val="en-CA"/>
        </w:rPr>
        <w:t xml:space="preserve"> and 12,207.298 proportionate voting </w:t>
      </w:r>
      <w:r w:rsidR="00C10FC2" w:rsidRPr="00910085">
        <w:rPr>
          <w:rFonts w:ascii="Arial" w:hAnsi="Arial"/>
          <w:u w:val="single"/>
          <w:lang w:val="en-CA"/>
        </w:rPr>
        <w:t>shares in the capital of the Issuer</w:t>
      </w:r>
      <w:r w:rsidR="00C10FC2">
        <w:rPr>
          <w:rFonts w:ascii="Arial" w:hAnsi="Arial"/>
          <w:u w:val="single"/>
          <w:lang w:val="en-CA"/>
        </w:rPr>
        <w:t xml:space="preserve"> (“</w:t>
      </w:r>
      <w:r w:rsidR="00C10FC2">
        <w:rPr>
          <w:rFonts w:ascii="Arial" w:hAnsi="Arial"/>
          <w:b/>
          <w:bCs/>
          <w:u w:val="single"/>
          <w:lang w:val="en-CA"/>
        </w:rPr>
        <w:t>Proportionate Shares</w:t>
      </w:r>
      <w:r w:rsidR="00C10FC2">
        <w:rPr>
          <w:rFonts w:ascii="Arial" w:hAnsi="Arial"/>
          <w:u w:val="single"/>
          <w:lang w:val="en-CA"/>
        </w:rPr>
        <w:t>”)</w:t>
      </w:r>
      <w:r>
        <w:rPr>
          <w:rFonts w:ascii="Arial" w:hAnsi="Arial"/>
          <w:lang w:val="en-CA"/>
        </w:rPr>
        <w:t>.</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DD696E">
        <w:rPr>
          <w:rFonts w:ascii="Arial" w:hAnsi="Arial"/>
          <w:u w:val="single"/>
          <w:lang w:val="en-CA"/>
        </w:rPr>
        <w:t xml:space="preserve">January </w:t>
      </w:r>
      <w:r w:rsidR="008943C8">
        <w:rPr>
          <w:rFonts w:ascii="Arial" w:hAnsi="Arial"/>
          <w:u w:val="single"/>
          <w:lang w:val="en-CA"/>
        </w:rPr>
        <w:t>31</w:t>
      </w:r>
      <w:r w:rsidR="00DD696E">
        <w:rPr>
          <w:rFonts w:ascii="Arial" w:hAnsi="Arial"/>
          <w:u w:val="single"/>
          <w:lang w:val="en-CA"/>
        </w:rPr>
        <w:t xml:space="preserve">, 2020 </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DD696E" w:rsidRPr="00DD696E">
        <w:rPr>
          <w:rFonts w:ascii="Arial" w:hAnsi="Arial"/>
          <w:u w:val="single"/>
          <w:lang w:val="en-CA"/>
        </w:rPr>
        <w:t>$0.35</w:t>
      </w:r>
      <w:r w:rsidR="00C10FC2">
        <w:rPr>
          <w:rFonts w:ascii="Arial" w:hAnsi="Arial"/>
          <w:bCs/>
          <w:u w:val="single"/>
          <w:lang w:val="en-CA"/>
        </w:rPr>
        <w:t xml:space="preserve"> </w:t>
      </w:r>
      <w:r w:rsidR="00840B45">
        <w:rPr>
          <w:rFonts w:ascii="Arial" w:hAnsi="Arial"/>
          <w:lang w:val="en-CA"/>
        </w:rPr>
        <w:t>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DD696E" w:rsidRPr="00DD696E">
        <w:rPr>
          <w:rFonts w:ascii="Arial" w:hAnsi="Arial"/>
          <w:u w:val="single"/>
          <w:lang w:val="en-CA"/>
        </w:rPr>
        <w:t>10,600</w:t>
      </w:r>
      <w:r w:rsidR="00DD696E">
        <w:rPr>
          <w:rFonts w:ascii="Arial" w:hAnsi="Arial"/>
          <w:u w:val="single"/>
          <w:lang w:val="en-CA"/>
        </w:rPr>
        <w:t>.</w:t>
      </w:r>
      <w:r w:rsidR="00DD696E" w:rsidRPr="00DD696E">
        <w:rPr>
          <w:rFonts w:ascii="Arial" w:hAnsi="Arial"/>
          <w:u w:val="single"/>
          <w:lang w:val="en-CA"/>
        </w:rPr>
        <w:t xml:space="preserve">3 </w:t>
      </w:r>
      <w:r w:rsidR="00441D51">
        <w:rPr>
          <w:rFonts w:ascii="Arial" w:hAnsi="Arial"/>
          <w:u w:val="single"/>
          <w:lang w:val="en-CA"/>
        </w:rPr>
        <w:t>Proportionate Voting Shares</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Pr="0007229A">
        <w:rPr>
          <w:rFonts w:ascii="Arial" w:hAnsi="Arial"/>
          <w:u w:val="single"/>
          <w:lang w:val="en-CA"/>
        </w:rPr>
        <w:softHyphen/>
      </w:r>
      <w:r w:rsidR="00554082" w:rsidRPr="00554082">
        <w:rPr>
          <w:rFonts w:ascii="Arial" w:hAnsi="Arial"/>
          <w:u w:val="single"/>
          <w:lang w:val="en-CA"/>
        </w:rPr>
        <w:t xml:space="preserve"> </w:t>
      </w:r>
      <w:r w:rsidR="00DD696E" w:rsidRPr="00DD696E">
        <w:rPr>
          <w:rFonts w:ascii="Arial" w:hAnsi="Arial"/>
          <w:u w:val="single"/>
          <w:lang w:val="en-CA"/>
        </w:rPr>
        <w:t>30,460,162</w:t>
      </w:r>
      <w:r w:rsidR="00DD696E">
        <w:rPr>
          <w:rFonts w:ascii="Arial" w:hAnsi="Arial"/>
          <w:u w:val="single"/>
          <w:lang w:val="en-CA"/>
        </w:rPr>
        <w:t xml:space="preserve"> </w:t>
      </w:r>
      <w:r w:rsidR="00441D51">
        <w:rPr>
          <w:rFonts w:ascii="Arial" w:hAnsi="Arial"/>
          <w:u w:val="single"/>
          <w:lang w:val="en-CA"/>
        </w:rPr>
        <w:t xml:space="preserve">Subordinate Shares and </w:t>
      </w:r>
      <w:r w:rsidR="00DD696E" w:rsidRPr="00DD696E">
        <w:rPr>
          <w:rFonts w:ascii="Arial" w:hAnsi="Arial"/>
          <w:u w:val="single"/>
          <w:lang w:val="en-CA"/>
        </w:rPr>
        <w:t>22,807</w:t>
      </w:r>
      <w:r w:rsidR="00DD696E">
        <w:rPr>
          <w:rFonts w:ascii="Arial" w:hAnsi="Arial"/>
          <w:u w:val="single"/>
          <w:lang w:val="en-CA"/>
        </w:rPr>
        <w:t>.</w:t>
      </w:r>
      <w:r w:rsidR="00DD696E" w:rsidRPr="00DD696E">
        <w:rPr>
          <w:rFonts w:ascii="Arial" w:hAnsi="Arial"/>
          <w:u w:val="single"/>
          <w:lang w:val="en-CA"/>
        </w:rPr>
        <w:t>598</w:t>
      </w:r>
      <w:r w:rsidR="008943C8">
        <w:rPr>
          <w:rFonts w:ascii="Arial" w:hAnsi="Arial"/>
          <w:u w:val="single"/>
          <w:lang w:val="en-CA"/>
        </w:rPr>
        <w:t xml:space="preserve"> </w:t>
      </w:r>
      <w:r w:rsidR="00441D51">
        <w:rPr>
          <w:rFonts w:ascii="Arial" w:hAnsi="Arial"/>
          <w:u w:val="single"/>
          <w:lang w:val="en-CA"/>
        </w:rPr>
        <w:t>Proportionate Voting Shares</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w:t>
      </w:r>
      <w:proofErr w:type="gramStart"/>
      <w:r>
        <w:rPr>
          <w:rFonts w:ascii="Arial" w:hAnsi="Arial"/>
        </w:rPr>
        <w:t xml:space="preserve">material.  </w:t>
      </w:r>
      <w:r>
        <w:rPr>
          <w:rFonts w:ascii="Arial" w:hAnsi="Arial"/>
          <w:u w:val="single"/>
        </w:rPr>
        <w:tab/>
      </w:r>
      <w:proofErr w:type="gramEnd"/>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ab/>
      </w:r>
      <w:proofErr w:type="gramEnd"/>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AE5180" w:rsidRPr="00AE5180" w:rsidRDefault="00EA4133" w:rsidP="00441D5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910085" w:rsidRPr="00C5416A">
        <w:rPr>
          <w:rFonts w:ascii="Arial" w:hAnsi="Arial"/>
          <w:color w:val="000000"/>
          <w:u w:val="single"/>
        </w:rPr>
        <w:t xml:space="preserve">The Issuer </w:t>
      </w:r>
      <w:r w:rsidR="00DD696E">
        <w:rPr>
          <w:rFonts w:ascii="Arial" w:hAnsi="Arial"/>
          <w:color w:val="000000"/>
          <w:u w:val="single"/>
        </w:rPr>
        <w:t>acquired</w:t>
      </w:r>
      <w:r w:rsidR="00FE0C58">
        <w:rPr>
          <w:rFonts w:ascii="Arial" w:hAnsi="Arial"/>
          <w:color w:val="000000"/>
          <w:u w:val="single"/>
        </w:rPr>
        <w:t xml:space="preserve"> </w:t>
      </w:r>
      <w:r w:rsidR="00DD696E" w:rsidRPr="008943C8">
        <w:rPr>
          <w:rFonts w:ascii="Arial" w:hAnsi="Arial"/>
          <w:color w:val="000000"/>
          <w:u w:val="single"/>
        </w:rPr>
        <w:t>1,653,081</w:t>
      </w:r>
      <w:r w:rsidR="00DD696E" w:rsidRPr="00DD696E">
        <w:rPr>
          <w:rFonts w:ascii="Arial" w:hAnsi="Arial"/>
          <w:color w:val="000000"/>
          <w:u w:val="single"/>
        </w:rPr>
        <w:t xml:space="preserve"> </w:t>
      </w:r>
      <w:r w:rsidR="00FE0C58">
        <w:rPr>
          <w:rFonts w:ascii="Arial" w:hAnsi="Arial"/>
          <w:color w:val="000000"/>
          <w:u w:val="single"/>
        </w:rPr>
        <w:t>common stock</w:t>
      </w:r>
      <w:r w:rsidR="00441D51">
        <w:rPr>
          <w:rFonts w:ascii="Arial" w:hAnsi="Arial"/>
          <w:color w:val="000000"/>
          <w:u w:val="single"/>
        </w:rPr>
        <w:t xml:space="preserve"> (“</w:t>
      </w:r>
      <w:r w:rsidR="00441D51" w:rsidRPr="00441D51">
        <w:rPr>
          <w:rFonts w:ascii="Arial" w:hAnsi="Arial"/>
          <w:b/>
          <w:color w:val="000000"/>
          <w:u w:val="single"/>
        </w:rPr>
        <w:t>Kush Shares</w:t>
      </w:r>
      <w:r w:rsidR="00441D51">
        <w:rPr>
          <w:rFonts w:ascii="Arial" w:hAnsi="Arial"/>
          <w:color w:val="000000"/>
          <w:u w:val="single"/>
        </w:rPr>
        <w:t xml:space="preserve">”) </w:t>
      </w:r>
      <w:r w:rsidR="00FE0C58">
        <w:rPr>
          <w:rFonts w:ascii="Arial" w:hAnsi="Arial"/>
          <w:color w:val="000000"/>
          <w:u w:val="single"/>
        </w:rPr>
        <w:t xml:space="preserve">of </w:t>
      </w:r>
      <w:proofErr w:type="spellStart"/>
      <w:r w:rsidR="00DD696E" w:rsidRPr="00DD696E">
        <w:rPr>
          <w:rFonts w:ascii="Arial" w:hAnsi="Arial"/>
          <w:color w:val="000000"/>
          <w:u w:val="single"/>
        </w:rPr>
        <w:t>KushCo</w:t>
      </w:r>
      <w:proofErr w:type="spellEnd"/>
      <w:r w:rsidR="00DD696E" w:rsidRPr="00DD696E">
        <w:rPr>
          <w:rFonts w:ascii="Arial" w:hAnsi="Arial"/>
          <w:color w:val="000000"/>
          <w:u w:val="single"/>
        </w:rPr>
        <w:t xml:space="preserve"> Holdings, Inc. (“</w:t>
      </w:r>
      <w:proofErr w:type="spellStart"/>
      <w:r w:rsidR="00DD696E" w:rsidRPr="00DD696E">
        <w:rPr>
          <w:rFonts w:ascii="Arial" w:hAnsi="Arial"/>
          <w:b/>
          <w:bCs/>
          <w:color w:val="000000"/>
          <w:u w:val="single"/>
        </w:rPr>
        <w:t>KushCo</w:t>
      </w:r>
      <w:proofErr w:type="spellEnd"/>
      <w:r w:rsidR="00DD696E" w:rsidRPr="00DD696E">
        <w:rPr>
          <w:rFonts w:ascii="Arial" w:hAnsi="Arial"/>
          <w:color w:val="000000"/>
          <w:u w:val="single"/>
        </w:rPr>
        <w:t>”)</w:t>
      </w:r>
      <w:r w:rsidR="00DD696E">
        <w:rPr>
          <w:rFonts w:ascii="Arial" w:hAnsi="Arial"/>
          <w:color w:val="000000"/>
          <w:u w:val="single"/>
        </w:rPr>
        <w:t>.</w:t>
      </w:r>
      <w:r w:rsidR="00AE5180">
        <w:rPr>
          <w:rFonts w:ascii="Arial" w:hAnsi="Arial" w:cs="Arial"/>
          <w:u w:val="single"/>
          <w:lang w:val="en-CA"/>
        </w:rPr>
        <w:t xml:space="preserve"> </w:t>
      </w:r>
    </w:p>
    <w:p w:rsidR="00AE5180" w:rsidRPr="00AE5180" w:rsidRDefault="00AE5180" w:rsidP="00AE5180">
      <w:pPr>
        <w:pStyle w:val="List"/>
        <w:tabs>
          <w:tab w:val="left" w:pos="9180"/>
        </w:tabs>
        <w:spacing w:before="0"/>
        <w:ind w:firstLine="0"/>
        <w:jc w:val="both"/>
        <w:rPr>
          <w:rFonts w:ascii="Arial" w:hAnsi="Arial"/>
          <w:color w:val="000000"/>
        </w:rPr>
      </w:pPr>
    </w:p>
    <w:p w:rsidR="0023617D" w:rsidRPr="00F52F96" w:rsidRDefault="00EA4133" w:rsidP="00031A5F">
      <w:pPr>
        <w:pStyle w:val="List"/>
        <w:numPr>
          <w:ilvl w:val="0"/>
          <w:numId w:val="14"/>
        </w:numPr>
        <w:tabs>
          <w:tab w:val="clear" w:pos="360"/>
          <w:tab w:val="num" w:pos="1170"/>
          <w:tab w:val="left" w:pos="9180"/>
        </w:tabs>
        <w:ind w:left="1080" w:hanging="1080"/>
        <w:jc w:val="both"/>
        <w:rPr>
          <w:rFonts w:ascii="Arial" w:hAnsi="Arial" w:cs="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910085">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23617D">
        <w:rPr>
          <w:rFonts w:ascii="Arial" w:hAnsi="Arial"/>
          <w:color w:val="000000"/>
          <w:u w:val="single"/>
        </w:rPr>
        <w:t xml:space="preserve">The acquisition </w:t>
      </w:r>
      <w:r w:rsidR="00DD696E">
        <w:rPr>
          <w:rFonts w:ascii="Arial" w:hAnsi="Arial"/>
          <w:color w:val="000000"/>
          <w:u w:val="single"/>
        </w:rPr>
        <w:t>was</w:t>
      </w:r>
      <w:r w:rsidR="0023617D">
        <w:rPr>
          <w:rFonts w:ascii="Arial" w:hAnsi="Arial"/>
          <w:color w:val="000000"/>
          <w:u w:val="single"/>
        </w:rPr>
        <w:t xml:space="preserve"> completed </w:t>
      </w:r>
      <w:r w:rsidR="0023617D" w:rsidRPr="00393DD4">
        <w:rPr>
          <w:rFonts w:ascii="Arial" w:hAnsi="Arial" w:cs="Arial"/>
          <w:color w:val="000000"/>
          <w:u w:val="single"/>
        </w:rPr>
        <w:t xml:space="preserve">pursuant </w:t>
      </w:r>
      <w:r w:rsidR="00DD696E">
        <w:rPr>
          <w:rFonts w:ascii="Arial" w:hAnsi="Arial" w:cs="Arial"/>
          <w:color w:val="000000"/>
          <w:u w:val="single"/>
        </w:rPr>
        <w:t xml:space="preserve">a stock purchase agreement entered into between </w:t>
      </w:r>
      <w:proofErr w:type="spellStart"/>
      <w:r w:rsidR="00DD696E">
        <w:rPr>
          <w:rFonts w:ascii="Arial" w:hAnsi="Arial" w:cs="Arial"/>
          <w:color w:val="000000"/>
          <w:u w:val="single"/>
        </w:rPr>
        <w:t>KushCo</w:t>
      </w:r>
      <w:proofErr w:type="spellEnd"/>
      <w:r w:rsidR="00DD696E">
        <w:rPr>
          <w:rFonts w:ascii="Arial" w:hAnsi="Arial" w:cs="Arial"/>
          <w:color w:val="000000"/>
          <w:u w:val="single"/>
        </w:rPr>
        <w:t xml:space="preserve"> and the Issuer on January </w:t>
      </w:r>
      <w:r w:rsidR="008943C8">
        <w:rPr>
          <w:rFonts w:ascii="Arial" w:hAnsi="Arial" w:cs="Arial"/>
          <w:color w:val="000000"/>
          <w:u w:val="single"/>
        </w:rPr>
        <w:t>30</w:t>
      </w:r>
      <w:r w:rsidR="00DD696E">
        <w:rPr>
          <w:rFonts w:ascii="Arial" w:hAnsi="Arial" w:cs="Arial"/>
          <w:color w:val="000000"/>
          <w:u w:val="single"/>
        </w:rPr>
        <w:t>, 2020 (the “</w:t>
      </w:r>
      <w:r w:rsidR="00DD696E" w:rsidRPr="00DD696E">
        <w:rPr>
          <w:rFonts w:ascii="Arial" w:hAnsi="Arial" w:cs="Arial"/>
          <w:b/>
          <w:bCs/>
          <w:color w:val="000000"/>
          <w:u w:val="single"/>
        </w:rPr>
        <w:t>SPA</w:t>
      </w:r>
      <w:r w:rsidR="00DD696E">
        <w:rPr>
          <w:rFonts w:ascii="Arial" w:hAnsi="Arial" w:cs="Arial"/>
          <w:color w:val="000000"/>
          <w:u w:val="single"/>
        </w:rPr>
        <w:t>”)</w:t>
      </w:r>
      <w:r w:rsidR="0023617D">
        <w:rPr>
          <w:rFonts w:ascii="Arial" w:hAnsi="Arial" w:cs="Arial"/>
          <w:u w:val="single"/>
        </w:rPr>
        <w:t xml:space="preserve">.  </w:t>
      </w:r>
      <w:proofErr w:type="spellStart"/>
      <w:r w:rsidR="00441D51">
        <w:rPr>
          <w:rFonts w:ascii="Arial" w:hAnsi="Arial" w:cs="Arial"/>
          <w:u w:val="single"/>
        </w:rPr>
        <w:t>KushCo</w:t>
      </w:r>
      <w:proofErr w:type="spellEnd"/>
      <w:r w:rsidR="00441D51">
        <w:rPr>
          <w:rFonts w:ascii="Arial" w:hAnsi="Arial" w:cs="Arial"/>
          <w:u w:val="single"/>
        </w:rPr>
        <w:t xml:space="preserve"> is an </w:t>
      </w:r>
      <w:r w:rsidR="0023617D">
        <w:rPr>
          <w:rFonts w:ascii="Arial" w:hAnsi="Arial" w:cs="Arial"/>
          <w:u w:val="single"/>
        </w:rPr>
        <w:t>arm’s length parties to the Issuer.</w:t>
      </w:r>
      <w:r w:rsidR="003B74FB">
        <w:rPr>
          <w:rFonts w:ascii="Arial" w:hAnsi="Arial" w:cs="Arial"/>
          <w:u w:val="single"/>
        </w:rPr>
        <w:t xml:space="preserve"> Concurrent with the signing of the SPA, </w:t>
      </w:r>
      <w:proofErr w:type="spellStart"/>
      <w:r w:rsidR="003B74FB">
        <w:rPr>
          <w:rFonts w:ascii="Arial" w:hAnsi="Arial" w:cs="Arial"/>
          <w:u w:val="single"/>
        </w:rPr>
        <w:t>KushCo</w:t>
      </w:r>
      <w:proofErr w:type="spellEnd"/>
      <w:r w:rsidR="003B74FB">
        <w:rPr>
          <w:rFonts w:ascii="Arial" w:hAnsi="Arial" w:cs="Arial"/>
          <w:u w:val="single"/>
        </w:rPr>
        <w:t xml:space="preserve"> and the Issuer </w:t>
      </w:r>
      <w:r w:rsidR="00DD696E">
        <w:rPr>
          <w:rFonts w:ascii="Arial" w:hAnsi="Arial" w:cs="Arial"/>
          <w:u w:val="single"/>
        </w:rPr>
        <w:t>also entered</w:t>
      </w:r>
      <w:r w:rsidR="003B74FB">
        <w:rPr>
          <w:rFonts w:ascii="Arial" w:hAnsi="Arial" w:cs="Arial"/>
          <w:u w:val="single"/>
        </w:rPr>
        <w:t xml:space="preserve"> into a shareholders agreement pursuant to which </w:t>
      </w:r>
      <w:proofErr w:type="spellStart"/>
      <w:r w:rsidR="003B74FB">
        <w:rPr>
          <w:rFonts w:ascii="Arial" w:hAnsi="Arial" w:cs="Arial"/>
          <w:u w:val="single"/>
        </w:rPr>
        <w:t>KushCo</w:t>
      </w:r>
      <w:proofErr w:type="spellEnd"/>
      <w:r w:rsidR="00AE5180">
        <w:rPr>
          <w:rFonts w:ascii="Arial" w:hAnsi="Arial" w:cs="Arial"/>
          <w:u w:val="single"/>
        </w:rPr>
        <w:t xml:space="preserve">, for so long as </w:t>
      </w:r>
      <w:r w:rsidR="00A35EC7">
        <w:rPr>
          <w:rFonts w:ascii="Arial" w:hAnsi="Arial" w:cs="Arial"/>
          <w:u w:val="single"/>
        </w:rPr>
        <w:t xml:space="preserve">it </w:t>
      </w:r>
      <w:r w:rsidR="00AE5180">
        <w:rPr>
          <w:rFonts w:ascii="Arial" w:hAnsi="Arial" w:cs="Arial"/>
          <w:u w:val="single"/>
        </w:rPr>
        <w:t xml:space="preserve">holds a minimum 10% </w:t>
      </w:r>
      <w:r w:rsidR="008943C8">
        <w:rPr>
          <w:rFonts w:ascii="Arial" w:hAnsi="Arial" w:cs="Arial"/>
          <w:u w:val="single"/>
        </w:rPr>
        <w:t xml:space="preserve">equity </w:t>
      </w:r>
      <w:r w:rsidR="00AE5180">
        <w:rPr>
          <w:rFonts w:ascii="Arial" w:hAnsi="Arial" w:cs="Arial"/>
          <w:u w:val="single"/>
        </w:rPr>
        <w:t xml:space="preserve">interest in the Issuer, </w:t>
      </w:r>
      <w:r w:rsidR="003B74FB">
        <w:rPr>
          <w:rFonts w:ascii="Arial" w:hAnsi="Arial" w:cs="Arial"/>
          <w:u w:val="single"/>
        </w:rPr>
        <w:t>wil</w:t>
      </w:r>
      <w:r w:rsidR="00AE5180">
        <w:rPr>
          <w:rFonts w:ascii="Arial" w:hAnsi="Arial" w:cs="Arial"/>
          <w:u w:val="single"/>
        </w:rPr>
        <w:t xml:space="preserve">l be granted pre-emptive rights to participate in any </w:t>
      </w:r>
      <w:r w:rsidR="00A35EC7">
        <w:rPr>
          <w:rFonts w:ascii="Arial" w:hAnsi="Arial" w:cs="Arial"/>
          <w:u w:val="single"/>
        </w:rPr>
        <w:t xml:space="preserve">future </w:t>
      </w:r>
      <w:r w:rsidR="00AE5180">
        <w:rPr>
          <w:rFonts w:ascii="Arial" w:hAnsi="Arial" w:cs="Arial"/>
          <w:u w:val="single"/>
        </w:rPr>
        <w:t xml:space="preserve">equity offering of the Issuer so that </w:t>
      </w:r>
      <w:proofErr w:type="spellStart"/>
      <w:r w:rsidR="00AE5180">
        <w:rPr>
          <w:rFonts w:ascii="Arial" w:hAnsi="Arial" w:cs="Arial"/>
          <w:u w:val="single"/>
        </w:rPr>
        <w:t>KushCo</w:t>
      </w:r>
      <w:proofErr w:type="spellEnd"/>
      <w:r w:rsidR="00AE5180">
        <w:rPr>
          <w:rFonts w:ascii="Arial" w:hAnsi="Arial" w:cs="Arial"/>
          <w:u w:val="single"/>
        </w:rPr>
        <w:t xml:space="preserve"> may retain the same level of equity interest in the Issuer that it had immediately prior to any </w:t>
      </w:r>
      <w:r w:rsidR="00A35EC7">
        <w:rPr>
          <w:rFonts w:ascii="Arial" w:hAnsi="Arial" w:cs="Arial"/>
          <w:u w:val="single"/>
        </w:rPr>
        <w:t xml:space="preserve">such future </w:t>
      </w:r>
      <w:r w:rsidR="00AE5180">
        <w:rPr>
          <w:rFonts w:ascii="Arial" w:hAnsi="Arial" w:cs="Arial"/>
          <w:u w:val="single"/>
        </w:rPr>
        <w:t xml:space="preserve">offering.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DD696E" w:rsidRPr="008943C8">
        <w:rPr>
          <w:rFonts w:ascii="Arial" w:hAnsi="Arial"/>
          <w:color w:val="000000"/>
        </w:rPr>
        <w:t>$</w:t>
      </w:r>
      <w:r w:rsidR="00DD696E" w:rsidRPr="008943C8">
        <w:rPr>
          <w:rFonts w:ascii="Arial" w:hAnsi="Arial"/>
          <w:color w:val="000000"/>
          <w:u w:val="single"/>
        </w:rPr>
        <w:t>4,044,014.45</w:t>
      </w:r>
      <w:r w:rsidR="00DD696E" w:rsidRPr="008943C8">
        <w:rPr>
          <w:rFonts w:ascii="Arial" w:hAnsi="Arial"/>
          <w:color w:val="000000"/>
        </w:rPr>
        <w:t>.</w:t>
      </w:r>
      <w:r w:rsidR="00DD696E" w:rsidRPr="00DD696E">
        <w:rPr>
          <w:rFonts w:ascii="Arial" w:hAnsi="Arial"/>
          <w:color w:val="000000"/>
        </w:rPr>
        <w:t xml:space="preserve">  </w:t>
      </w:r>
      <w:r w:rsidR="00441D51">
        <w:rPr>
          <w:rFonts w:ascii="Arial" w:hAnsi="Arial"/>
          <w:color w:val="000000"/>
          <w:u w:val="single"/>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6469FE">
        <w:rPr>
          <w:rFonts w:ascii="Arial" w:hAnsi="Arial"/>
          <w:color w:val="000000"/>
          <w:u w:val="single"/>
        </w:rPr>
        <w:t>Nil</w:t>
      </w:r>
      <w:proofErr w:type="gramStart"/>
      <w:r>
        <w:rPr>
          <w:rFonts w:ascii="Arial" w:hAnsi="Arial"/>
          <w:color w:val="000000"/>
          <w:u w:val="single"/>
        </w:rPr>
        <w:tab/>
      </w:r>
      <w:r>
        <w:rPr>
          <w:rFonts w:ascii="Arial" w:hAnsi="Arial"/>
          <w:color w:val="000000"/>
        </w:rPr>
        <w:t xml:space="preserve"> .</w:t>
      </w:r>
      <w:proofErr w:type="gramEnd"/>
    </w:p>
    <w:p w:rsidR="00EA4133" w:rsidRPr="00DB6F10" w:rsidRDefault="00EA4133" w:rsidP="00DB6F10">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7A528E" w:rsidRPr="008943C8">
        <w:rPr>
          <w:rFonts w:ascii="Arial" w:hAnsi="Arial"/>
          <w:color w:val="000000"/>
          <w:u w:val="single"/>
        </w:rPr>
        <w:t xml:space="preserve">10,600.3 </w:t>
      </w:r>
      <w:r w:rsidR="006469FE" w:rsidRPr="008943C8">
        <w:rPr>
          <w:rFonts w:ascii="Arial" w:hAnsi="Arial"/>
          <w:color w:val="000000"/>
          <w:u w:val="single"/>
        </w:rPr>
        <w:t>Proportionate</w:t>
      </w:r>
      <w:r w:rsidR="006469FE" w:rsidRPr="006469FE">
        <w:rPr>
          <w:rFonts w:ascii="Arial" w:hAnsi="Arial"/>
          <w:color w:val="000000"/>
          <w:u w:val="single"/>
        </w:rPr>
        <w:t xml:space="preserve"> Voting Shares</w:t>
      </w:r>
      <w:r w:rsidR="008943C8">
        <w:rPr>
          <w:rFonts w:ascii="Arial" w:hAnsi="Arial"/>
          <w:color w:val="000000"/>
          <w:u w:val="single"/>
        </w:rPr>
        <w:t xml:space="preserve"> issued at a deemed price of $381.50 per Proportionate Share (or $0.3815 per Subordinate </w:t>
      </w:r>
      <w:r w:rsidR="000854E7">
        <w:rPr>
          <w:rFonts w:ascii="Arial" w:hAnsi="Arial"/>
          <w:color w:val="000000"/>
          <w:u w:val="single"/>
        </w:rPr>
        <w:t xml:space="preserve">Voting </w:t>
      </w:r>
      <w:r w:rsidR="008943C8">
        <w:rPr>
          <w:rFonts w:ascii="Arial" w:hAnsi="Arial"/>
          <w:color w:val="000000"/>
          <w:u w:val="single"/>
        </w:rPr>
        <w:t>Share that the Proportionate Voting Shares are convertible into)</w:t>
      </w:r>
      <w:r>
        <w:rPr>
          <w:rFonts w:ascii="Arial" w:hAnsi="Arial"/>
          <w:color w:val="000000"/>
          <w:u w:val="single"/>
        </w:rPr>
        <w:tab/>
      </w:r>
      <w:r w:rsidRPr="00DB6F10">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314342" w:rsidRDefault="00EA4133" w:rsidP="00314342">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314342">
        <w:rPr>
          <w:rFonts w:ascii="Arial" w:hAnsi="Arial"/>
          <w:color w:val="000000"/>
        </w:rPr>
        <w:t xml:space="preserve"> </w:t>
      </w:r>
      <w:r w:rsidR="00314342" w:rsidRPr="00393DD4">
        <w:rPr>
          <w:rFonts w:ascii="Arial" w:hAnsi="Arial"/>
          <w:color w:val="000000"/>
          <w:u w:val="single"/>
        </w:rPr>
        <w:t>The purchase price</w:t>
      </w:r>
      <w:r w:rsidR="007A528E">
        <w:rPr>
          <w:rFonts w:ascii="Arial" w:hAnsi="Arial"/>
          <w:color w:val="000000"/>
          <w:u w:val="single"/>
        </w:rPr>
        <w:t xml:space="preserve"> of the Kush Shares</w:t>
      </w:r>
      <w:r w:rsidR="00314342" w:rsidRPr="00393DD4">
        <w:rPr>
          <w:rFonts w:ascii="Arial" w:hAnsi="Arial"/>
          <w:color w:val="000000"/>
          <w:u w:val="single"/>
        </w:rPr>
        <w:t xml:space="preserve"> was determined by arm’s length negotiation between the Issuer and </w:t>
      </w:r>
      <w:proofErr w:type="spellStart"/>
      <w:r w:rsidR="006469FE">
        <w:rPr>
          <w:rFonts w:ascii="Arial" w:hAnsi="Arial"/>
          <w:color w:val="000000"/>
          <w:u w:val="single"/>
        </w:rPr>
        <w:t>KushCo</w:t>
      </w:r>
      <w:proofErr w:type="spellEnd"/>
      <w:r w:rsidR="006469FE">
        <w:rPr>
          <w:rFonts w:ascii="Arial" w:hAnsi="Arial"/>
          <w:color w:val="000000"/>
          <w:u w:val="single"/>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sidR="00314342">
        <w:rPr>
          <w:rFonts w:ascii="Arial" w:hAnsi="Arial"/>
          <w:color w:val="000000"/>
        </w:rPr>
        <w:t xml:space="preserve"> </w:t>
      </w:r>
      <w:r w:rsidR="00314342" w:rsidRPr="00314342">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17"/>
        <w:gridCol w:w="1530"/>
        <w:gridCol w:w="1530"/>
        <w:gridCol w:w="1023"/>
        <w:gridCol w:w="1440"/>
        <w:gridCol w:w="1620"/>
        <w:gridCol w:w="1530"/>
      </w:tblGrid>
      <w:tr w:rsidR="00314342" w:rsidTr="008943C8">
        <w:tc>
          <w:tcPr>
            <w:tcW w:w="1317" w:type="dxa"/>
          </w:tcPr>
          <w:p w:rsidR="00314342" w:rsidRDefault="00314342" w:rsidP="000A5C57">
            <w:pPr>
              <w:pStyle w:val="BodyText"/>
              <w:keepNext/>
              <w:keepLines/>
              <w:spacing w:before="0" w:line="280" w:lineRule="exact"/>
              <w:jc w:val="center"/>
              <w:rPr>
                <w:rFonts w:ascii="Arial" w:hAnsi="Arial"/>
                <w:b/>
                <w:sz w:val="20"/>
                <w:lang w:val="en-CA"/>
              </w:rPr>
            </w:pPr>
          </w:p>
          <w:p w:rsidR="00314342" w:rsidRDefault="00314342" w:rsidP="000A5C57">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530" w:type="dxa"/>
          </w:tcPr>
          <w:p w:rsidR="00314342" w:rsidRDefault="00314342" w:rsidP="000A5C57">
            <w:pPr>
              <w:pStyle w:val="BodyText"/>
              <w:keepNext/>
              <w:keepLines/>
              <w:spacing w:before="0" w:line="280" w:lineRule="exact"/>
              <w:jc w:val="center"/>
              <w:rPr>
                <w:rFonts w:ascii="Arial" w:hAnsi="Arial"/>
                <w:b/>
                <w:sz w:val="20"/>
                <w:lang w:val="en-CA"/>
              </w:rPr>
            </w:pPr>
          </w:p>
          <w:p w:rsidR="00314342" w:rsidRDefault="00314342" w:rsidP="000A5C57">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530" w:type="dxa"/>
          </w:tcPr>
          <w:p w:rsidR="00314342" w:rsidRDefault="00314342" w:rsidP="000A5C57">
            <w:pPr>
              <w:pStyle w:val="BodyText"/>
              <w:keepNext/>
              <w:keepLines/>
              <w:spacing w:before="0" w:line="280" w:lineRule="exact"/>
              <w:jc w:val="center"/>
              <w:rPr>
                <w:rFonts w:ascii="Arial" w:hAnsi="Arial"/>
                <w:b/>
                <w:sz w:val="20"/>
                <w:lang w:val="en-CA"/>
              </w:rPr>
            </w:pPr>
          </w:p>
          <w:p w:rsidR="00314342" w:rsidRDefault="00314342" w:rsidP="000A5C57">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023" w:type="dxa"/>
          </w:tcPr>
          <w:p w:rsidR="00314342" w:rsidRDefault="00314342" w:rsidP="000A5C57">
            <w:pPr>
              <w:pStyle w:val="BodyText"/>
              <w:keepNext/>
              <w:keepLines/>
              <w:spacing w:before="0" w:line="280" w:lineRule="exact"/>
              <w:jc w:val="center"/>
              <w:rPr>
                <w:rFonts w:ascii="Arial" w:hAnsi="Arial"/>
                <w:b/>
                <w:sz w:val="20"/>
                <w:lang w:val="en-CA"/>
              </w:rPr>
            </w:pPr>
          </w:p>
          <w:p w:rsidR="00314342" w:rsidRDefault="00314342" w:rsidP="000A5C57">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314342" w:rsidRDefault="00314342" w:rsidP="000A5C57">
            <w:pPr>
              <w:pStyle w:val="BodyText"/>
              <w:keepNext/>
              <w:keepLines/>
              <w:spacing w:before="0" w:line="280" w:lineRule="exact"/>
              <w:jc w:val="center"/>
              <w:rPr>
                <w:rFonts w:ascii="Arial" w:hAnsi="Arial"/>
                <w:b/>
                <w:sz w:val="20"/>
                <w:lang w:val="en-CA"/>
              </w:rPr>
            </w:pPr>
          </w:p>
          <w:p w:rsidR="00314342" w:rsidRDefault="00314342" w:rsidP="000A5C57">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314342" w:rsidRDefault="00314342" w:rsidP="000A5C57">
            <w:pPr>
              <w:pStyle w:val="BodyText"/>
              <w:keepNext/>
              <w:keepLines/>
              <w:spacing w:before="0" w:line="280" w:lineRule="exact"/>
              <w:jc w:val="center"/>
              <w:rPr>
                <w:rFonts w:ascii="Arial" w:hAnsi="Arial"/>
                <w:b/>
                <w:sz w:val="20"/>
              </w:rPr>
            </w:pPr>
          </w:p>
          <w:p w:rsidR="00314342" w:rsidRDefault="00314342" w:rsidP="000A5C57">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314342" w:rsidRDefault="00314342" w:rsidP="000A5C57">
            <w:pPr>
              <w:pStyle w:val="BodyText"/>
              <w:keepNext/>
              <w:keepLines/>
              <w:spacing w:before="0" w:line="280" w:lineRule="exact"/>
              <w:jc w:val="center"/>
              <w:rPr>
                <w:rFonts w:ascii="Arial" w:hAnsi="Arial"/>
                <w:b/>
                <w:color w:val="000000"/>
                <w:sz w:val="20"/>
                <w:lang w:val="en-CA"/>
              </w:rPr>
            </w:pPr>
          </w:p>
          <w:p w:rsidR="00314342" w:rsidRDefault="00314342" w:rsidP="000A5C57">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314342" w:rsidRDefault="00314342" w:rsidP="000A5C57">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314342" w:rsidRPr="00393DD4" w:rsidTr="008943C8">
        <w:tc>
          <w:tcPr>
            <w:tcW w:w="1317" w:type="dxa"/>
          </w:tcPr>
          <w:p w:rsidR="00314342" w:rsidRPr="00393DD4" w:rsidRDefault="006469FE" w:rsidP="000A5C57">
            <w:pPr>
              <w:pStyle w:val="BodyText"/>
              <w:keepNext/>
              <w:keepLines/>
              <w:spacing w:before="0" w:line="280" w:lineRule="exact"/>
              <w:jc w:val="center"/>
              <w:rPr>
                <w:rFonts w:ascii="Arial" w:hAnsi="Arial"/>
                <w:b/>
                <w:sz w:val="20"/>
                <w:lang w:val="en-CA"/>
              </w:rPr>
            </w:pPr>
            <w:proofErr w:type="spellStart"/>
            <w:r w:rsidRPr="006469FE">
              <w:rPr>
                <w:rFonts w:ascii="Arial" w:hAnsi="Arial" w:cs="Arial"/>
                <w:sz w:val="20"/>
              </w:rPr>
              <w:t>KushCo</w:t>
            </w:r>
            <w:proofErr w:type="spellEnd"/>
            <w:r w:rsidRPr="006469FE">
              <w:rPr>
                <w:rFonts w:ascii="Arial" w:hAnsi="Arial" w:cs="Arial"/>
                <w:sz w:val="20"/>
              </w:rPr>
              <w:t xml:space="preserve"> Holdings, Inc.</w:t>
            </w:r>
          </w:p>
        </w:tc>
        <w:tc>
          <w:tcPr>
            <w:tcW w:w="1530" w:type="dxa"/>
          </w:tcPr>
          <w:p w:rsidR="00314342" w:rsidRPr="00DB6F10" w:rsidRDefault="007A528E" w:rsidP="000A5C57">
            <w:pPr>
              <w:pStyle w:val="BodyText"/>
              <w:keepNext/>
              <w:keepLines/>
              <w:spacing w:before="0" w:line="280" w:lineRule="exact"/>
              <w:jc w:val="center"/>
              <w:rPr>
                <w:rFonts w:ascii="Arial" w:hAnsi="Arial"/>
                <w:bCs/>
                <w:sz w:val="20"/>
                <w:lang w:val="en-CA"/>
              </w:rPr>
            </w:pPr>
            <w:r w:rsidRPr="008943C8">
              <w:rPr>
                <w:rFonts w:ascii="Arial" w:hAnsi="Arial"/>
                <w:bCs/>
                <w:sz w:val="20"/>
                <w:lang w:val="en-CA"/>
              </w:rPr>
              <w:t>10,600.3</w:t>
            </w:r>
            <w:r w:rsidRPr="007A528E">
              <w:rPr>
                <w:rFonts w:ascii="Arial" w:hAnsi="Arial"/>
                <w:bCs/>
                <w:sz w:val="20"/>
                <w:lang w:val="en-CA"/>
              </w:rPr>
              <w:t xml:space="preserve"> </w:t>
            </w:r>
            <w:r w:rsidR="006469FE" w:rsidRPr="006469FE">
              <w:rPr>
                <w:rFonts w:ascii="Arial" w:hAnsi="Arial"/>
                <w:bCs/>
                <w:sz w:val="20"/>
                <w:lang w:val="en-CA"/>
              </w:rPr>
              <w:t>Proportionate Voting Shares</w:t>
            </w:r>
            <w:r w:rsidR="006469FE" w:rsidRPr="006469FE">
              <w:rPr>
                <w:rFonts w:ascii="Arial" w:hAnsi="Arial"/>
                <w:bCs/>
                <w:sz w:val="20"/>
                <w:lang w:val="en-CA"/>
              </w:rPr>
              <w:tab/>
            </w:r>
          </w:p>
        </w:tc>
        <w:tc>
          <w:tcPr>
            <w:tcW w:w="1530" w:type="dxa"/>
          </w:tcPr>
          <w:p w:rsidR="008943C8" w:rsidRDefault="008943C8" w:rsidP="008943C8">
            <w:pPr>
              <w:pStyle w:val="BodyText"/>
              <w:keepNext/>
              <w:keepLines/>
              <w:spacing w:before="0" w:line="280" w:lineRule="exact"/>
              <w:rPr>
                <w:rFonts w:ascii="Arial" w:hAnsi="Arial"/>
                <w:bCs/>
                <w:sz w:val="20"/>
                <w:lang w:val="en-CA"/>
              </w:rPr>
            </w:pPr>
            <w:r w:rsidRPr="008943C8">
              <w:rPr>
                <w:rFonts w:ascii="Arial" w:hAnsi="Arial"/>
                <w:bCs/>
                <w:sz w:val="20"/>
                <w:lang w:val="en-CA"/>
              </w:rPr>
              <w:t xml:space="preserve">$381.50 per Proportionate Share </w:t>
            </w:r>
          </w:p>
          <w:p w:rsidR="00314342" w:rsidRPr="00DB6F10" w:rsidRDefault="008943C8" w:rsidP="008943C8">
            <w:pPr>
              <w:pStyle w:val="BodyText"/>
              <w:keepNext/>
              <w:keepLines/>
              <w:spacing w:before="0" w:line="280" w:lineRule="exact"/>
              <w:rPr>
                <w:rFonts w:ascii="Arial" w:hAnsi="Arial"/>
                <w:bCs/>
                <w:sz w:val="20"/>
                <w:lang w:val="en-CA"/>
              </w:rPr>
            </w:pPr>
            <w:r w:rsidRPr="008943C8">
              <w:rPr>
                <w:rFonts w:ascii="Arial" w:hAnsi="Arial"/>
                <w:bCs/>
                <w:sz w:val="20"/>
                <w:lang w:val="en-CA"/>
              </w:rPr>
              <w:t>(or $0.3815 per</w:t>
            </w:r>
            <w:r>
              <w:rPr>
                <w:rFonts w:ascii="Arial" w:hAnsi="Arial"/>
                <w:bCs/>
                <w:sz w:val="20"/>
                <w:lang w:val="en-CA"/>
              </w:rPr>
              <w:t xml:space="preserve"> </w:t>
            </w:r>
            <w:r w:rsidRPr="008943C8">
              <w:rPr>
                <w:rFonts w:ascii="Arial" w:hAnsi="Arial"/>
                <w:bCs/>
                <w:sz w:val="20"/>
                <w:lang w:val="en-CA"/>
              </w:rPr>
              <w:t xml:space="preserve">Subordinate </w:t>
            </w:r>
            <w:r w:rsidR="002673FC">
              <w:rPr>
                <w:rFonts w:ascii="Arial" w:hAnsi="Arial"/>
                <w:bCs/>
                <w:sz w:val="20"/>
                <w:lang w:val="en-CA"/>
              </w:rPr>
              <w:t xml:space="preserve">Voting </w:t>
            </w:r>
            <w:r w:rsidRPr="008943C8">
              <w:rPr>
                <w:rFonts w:ascii="Arial" w:hAnsi="Arial"/>
                <w:bCs/>
                <w:sz w:val="20"/>
                <w:lang w:val="en-CA"/>
              </w:rPr>
              <w:t>Share)</w:t>
            </w:r>
          </w:p>
        </w:tc>
        <w:tc>
          <w:tcPr>
            <w:tcW w:w="1023" w:type="dxa"/>
          </w:tcPr>
          <w:p w:rsidR="00314342" w:rsidRPr="00DB6F10" w:rsidRDefault="008943C8" w:rsidP="000A5C57">
            <w:pPr>
              <w:pStyle w:val="BodyText"/>
              <w:keepNext/>
              <w:keepLines/>
              <w:spacing w:before="0" w:line="280" w:lineRule="exact"/>
              <w:jc w:val="center"/>
              <w:rPr>
                <w:rFonts w:ascii="Arial" w:hAnsi="Arial"/>
                <w:bCs/>
                <w:sz w:val="20"/>
                <w:lang w:val="en-CA"/>
              </w:rPr>
            </w:pPr>
            <w:r>
              <w:rPr>
                <w:rFonts w:ascii="Arial" w:hAnsi="Arial"/>
                <w:bCs/>
                <w:sz w:val="20"/>
                <w:lang w:val="en-CA"/>
              </w:rPr>
              <w:t>N/A</w:t>
            </w:r>
          </w:p>
        </w:tc>
        <w:tc>
          <w:tcPr>
            <w:tcW w:w="1440" w:type="dxa"/>
          </w:tcPr>
          <w:p w:rsidR="00314342" w:rsidRPr="00DB6F10" w:rsidRDefault="008C1F6A" w:rsidP="000A5C57">
            <w:pPr>
              <w:pStyle w:val="BodyText"/>
              <w:keepNext/>
              <w:keepLines/>
              <w:spacing w:before="0" w:line="280" w:lineRule="exact"/>
              <w:jc w:val="center"/>
              <w:rPr>
                <w:rFonts w:ascii="Arial" w:hAnsi="Arial"/>
                <w:bCs/>
                <w:sz w:val="20"/>
                <w:lang w:val="en-CA"/>
              </w:rPr>
            </w:pPr>
            <w:r>
              <w:rPr>
                <w:rFonts w:ascii="Arial" w:hAnsi="Arial"/>
                <w:bCs/>
                <w:sz w:val="20"/>
                <w:lang w:val="en-CA"/>
              </w:rPr>
              <w:t>Section 2.</w:t>
            </w:r>
            <w:r w:rsidR="006469FE">
              <w:rPr>
                <w:rFonts w:ascii="Arial" w:hAnsi="Arial"/>
                <w:bCs/>
                <w:sz w:val="20"/>
                <w:lang w:val="en-CA"/>
              </w:rPr>
              <w:t>12</w:t>
            </w:r>
            <w:r>
              <w:rPr>
                <w:rFonts w:ascii="Arial" w:hAnsi="Arial"/>
                <w:bCs/>
                <w:sz w:val="20"/>
                <w:lang w:val="en-CA"/>
              </w:rPr>
              <w:t xml:space="preserve"> of NI 45-106</w:t>
            </w:r>
          </w:p>
        </w:tc>
        <w:tc>
          <w:tcPr>
            <w:tcW w:w="1620" w:type="dxa"/>
          </w:tcPr>
          <w:p w:rsidR="00314342" w:rsidRPr="008943C8" w:rsidRDefault="006469FE" w:rsidP="000A5C57">
            <w:pPr>
              <w:pStyle w:val="BodyText"/>
              <w:keepNext/>
              <w:keepLines/>
              <w:spacing w:before="0" w:line="280" w:lineRule="exact"/>
              <w:jc w:val="center"/>
              <w:rPr>
                <w:rFonts w:ascii="Arial" w:hAnsi="Arial"/>
                <w:bCs/>
                <w:sz w:val="20"/>
              </w:rPr>
            </w:pPr>
            <w:r w:rsidRPr="008943C8">
              <w:rPr>
                <w:rFonts w:ascii="Arial" w:hAnsi="Arial"/>
                <w:sz w:val="20"/>
              </w:rPr>
              <w:t>Nil</w:t>
            </w:r>
            <w:r w:rsidR="008943C8">
              <w:rPr>
                <w:rFonts w:ascii="Arial" w:hAnsi="Arial"/>
                <w:sz w:val="20"/>
              </w:rPr>
              <w:t xml:space="preserve"> prior to the issuance of securities pursuant to the SPA</w:t>
            </w:r>
          </w:p>
        </w:tc>
        <w:tc>
          <w:tcPr>
            <w:tcW w:w="1530" w:type="dxa"/>
          </w:tcPr>
          <w:p w:rsidR="00314342" w:rsidRPr="00DB6F10" w:rsidRDefault="00653A89" w:rsidP="000A5C57">
            <w:pPr>
              <w:pStyle w:val="BodyText"/>
              <w:keepNext/>
              <w:keepLines/>
              <w:spacing w:before="0" w:line="280" w:lineRule="exact"/>
              <w:jc w:val="center"/>
              <w:rPr>
                <w:rFonts w:ascii="Arial" w:hAnsi="Arial"/>
                <w:bCs/>
                <w:color w:val="000000"/>
                <w:sz w:val="20"/>
                <w:lang w:val="en-CA"/>
              </w:rPr>
            </w:pPr>
            <w:r>
              <w:rPr>
                <w:rFonts w:ascii="Arial" w:hAnsi="Arial"/>
                <w:bCs/>
                <w:color w:val="000000"/>
                <w:sz w:val="20"/>
                <w:lang w:val="en-CA"/>
              </w:rPr>
              <w:t>N/A</w:t>
            </w:r>
            <w:r w:rsidR="00DB6F10">
              <w:rPr>
                <w:rFonts w:ascii="Arial" w:hAnsi="Arial"/>
                <w:bCs/>
                <w:color w:val="000000"/>
                <w:sz w:val="20"/>
                <w:lang w:val="en-CA"/>
              </w:rPr>
              <w:t xml:space="preserve"> </w:t>
            </w: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7E3483" w:rsidRPr="00B15B38" w:rsidRDefault="00EA4133" w:rsidP="007E348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7E3483">
        <w:rPr>
          <w:rFonts w:ascii="Arial" w:hAnsi="Arial"/>
          <w:color w:val="000000"/>
          <w:u w:val="single"/>
        </w:rPr>
        <w:t xml:space="preserve">The </w:t>
      </w:r>
      <w:r w:rsidR="006469FE">
        <w:rPr>
          <w:rFonts w:ascii="Arial" w:hAnsi="Arial"/>
          <w:color w:val="000000"/>
          <w:u w:val="single"/>
        </w:rPr>
        <w:t>SPA</w:t>
      </w:r>
      <w:r w:rsidR="007E3483">
        <w:rPr>
          <w:rFonts w:ascii="Arial" w:hAnsi="Arial"/>
          <w:color w:val="000000"/>
          <w:u w:val="single"/>
        </w:rPr>
        <w:t xml:space="preserve"> provides comprehensive representations and warranties concerning the transaction and the </w:t>
      </w:r>
      <w:r w:rsidR="007A528E">
        <w:rPr>
          <w:rFonts w:ascii="Arial" w:hAnsi="Arial"/>
          <w:color w:val="000000"/>
          <w:u w:val="single"/>
        </w:rPr>
        <w:t>Kush</w:t>
      </w:r>
      <w:r w:rsidR="006469FE">
        <w:rPr>
          <w:rFonts w:ascii="Arial" w:hAnsi="Arial"/>
          <w:color w:val="000000"/>
          <w:u w:val="single"/>
        </w:rPr>
        <w:t xml:space="preserve"> Shares</w:t>
      </w:r>
      <w:r w:rsidR="007E3483">
        <w:rPr>
          <w:rFonts w:ascii="Arial" w:hAnsi="Arial"/>
          <w:color w:val="000000"/>
          <w:u w:val="single"/>
        </w:rPr>
        <w:t xml:space="preserve">.  The Issuer has also completed a due diligence investigation on </w:t>
      </w:r>
      <w:proofErr w:type="spellStart"/>
      <w:r w:rsidR="006469FE">
        <w:rPr>
          <w:rFonts w:ascii="Arial" w:hAnsi="Arial"/>
          <w:color w:val="000000"/>
          <w:u w:val="single"/>
        </w:rPr>
        <w:t>KushCo</w:t>
      </w:r>
      <w:proofErr w:type="spellEnd"/>
      <w:r w:rsidR="007E3483">
        <w:rPr>
          <w:rFonts w:ascii="Arial" w:hAnsi="Arial"/>
          <w:color w:val="000000"/>
          <w:u w:val="single"/>
        </w:rPr>
        <w:t>.</w:t>
      </w:r>
      <w:r w:rsidR="00967B21">
        <w:rPr>
          <w:rFonts w:ascii="Arial" w:hAnsi="Arial"/>
          <w:color w:val="000000"/>
          <w:u w:val="single"/>
        </w:rPr>
        <w:t xml:space="preserve">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7E348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6469FE">
        <w:rPr>
          <w:rFonts w:ascii="Arial" w:hAnsi="Arial"/>
          <w:u w:val="single"/>
        </w:rPr>
        <w:t>N/A</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6469FE">
        <w:rPr>
          <w:rFonts w:ascii="Arial" w:hAnsi="Arial"/>
          <w:u w:val="single"/>
        </w:rPr>
        <w:t>N/A</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5"/>
        </w:numPr>
        <w:tabs>
          <w:tab w:val="left" w:pos="9180"/>
        </w:tabs>
        <w:rPr>
          <w:rFonts w:ascii="Arial" w:hAnsi="Arial"/>
        </w:rPr>
      </w:pPr>
      <w:r>
        <w:rPr>
          <w:rFonts w:ascii="Arial" w:hAnsi="Arial"/>
        </w:rPr>
        <w:lastRenderedPageBreak/>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6469FE">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6469FE">
        <w:rPr>
          <w:rFonts w:ascii="Arial" w:hAnsi="Arial"/>
          <w:u w:val="single"/>
        </w:rPr>
        <w:t>N/A</w:t>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8A1CB0" w:rsidRDefault="008A1CB0" w:rsidP="008A1CB0">
      <w:pPr>
        <w:pStyle w:val="List"/>
        <w:ind w:firstLine="0"/>
        <w:jc w:val="both"/>
        <w:rPr>
          <w:rFonts w:ascii="Arial" w:hAnsi="Arial"/>
        </w:rPr>
      </w:pPr>
    </w:p>
    <w:p w:rsidR="007A528E" w:rsidRDefault="007A528E" w:rsidP="008A1CB0">
      <w:pPr>
        <w:pStyle w:val="List"/>
        <w:ind w:firstLine="0"/>
        <w:jc w:val="both"/>
        <w:rPr>
          <w:rFonts w:ascii="Arial" w:hAnsi="Arial"/>
        </w:rPr>
      </w:pPr>
    </w:p>
    <w:p w:rsidR="007A528E" w:rsidRDefault="007A528E" w:rsidP="008A1CB0">
      <w:pPr>
        <w:pStyle w:val="List"/>
        <w:ind w:firstLine="0"/>
        <w:jc w:val="both"/>
        <w:rPr>
          <w:rFonts w:ascii="Arial" w:hAnsi="Arial"/>
        </w:rPr>
      </w:pPr>
    </w:p>
    <w:p w:rsidR="007A528E" w:rsidRDefault="007A528E" w:rsidP="008A1CB0">
      <w:pPr>
        <w:pStyle w:val="List"/>
        <w:ind w:firstLine="0"/>
        <w:jc w:val="both"/>
        <w:rPr>
          <w:rFonts w:ascii="Arial" w:hAnsi="Arial"/>
        </w:rPr>
      </w:pPr>
    </w:p>
    <w:p w:rsidR="00EA4133" w:rsidRDefault="00EA4133">
      <w:pPr>
        <w:pStyle w:val="BodyText"/>
        <w:tabs>
          <w:tab w:val="left" w:pos="4680"/>
          <w:tab w:val="left" w:pos="7200"/>
        </w:tabs>
        <w:spacing w:before="480"/>
        <w:jc w:val="both"/>
        <w:rPr>
          <w:rFonts w:ascii="Arial" w:hAnsi="Arial"/>
        </w:rPr>
      </w:pPr>
      <w:r>
        <w:rPr>
          <w:rFonts w:ascii="Arial" w:hAnsi="Arial"/>
        </w:rPr>
        <w:t>Dated</w:t>
      </w:r>
      <w:r w:rsidR="008A1CB0">
        <w:rPr>
          <w:rFonts w:ascii="Arial" w:hAnsi="Arial"/>
        </w:rPr>
        <w:t>:</w:t>
      </w:r>
      <w:r>
        <w:rPr>
          <w:rFonts w:ascii="Arial" w:hAnsi="Arial"/>
        </w:rPr>
        <w:t xml:space="preserve"> </w:t>
      </w:r>
      <w:r w:rsidR="006469FE">
        <w:rPr>
          <w:rFonts w:ascii="Arial" w:hAnsi="Arial"/>
          <w:u w:val="single"/>
        </w:rPr>
        <w:t xml:space="preserve">January </w:t>
      </w:r>
      <w:r w:rsidR="008943C8">
        <w:rPr>
          <w:rFonts w:ascii="Arial" w:hAnsi="Arial"/>
          <w:u w:val="single"/>
        </w:rPr>
        <w:t>31</w:t>
      </w:r>
      <w:r w:rsidR="006469FE">
        <w:rPr>
          <w:rFonts w:ascii="Arial" w:hAnsi="Arial"/>
          <w:u w:val="single"/>
        </w:rPr>
        <w:t>,</w:t>
      </w:r>
      <w:r w:rsidR="00DB6F10">
        <w:rPr>
          <w:rFonts w:ascii="Arial" w:hAnsi="Arial"/>
          <w:u w:val="single"/>
        </w:rPr>
        <w:t xml:space="preserve"> 20</w:t>
      </w:r>
      <w:r w:rsidR="006469FE">
        <w:rPr>
          <w:rFonts w:ascii="Arial" w:hAnsi="Arial"/>
          <w:u w:val="single"/>
        </w:rPr>
        <w:t>20</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8943C8" w:rsidRPr="008943C8">
        <w:rPr>
          <w:rFonts w:ascii="Arial" w:hAnsi="Arial"/>
          <w:u w:val="single"/>
        </w:rPr>
        <w:t>David Kivitz</w:t>
      </w:r>
      <w:r>
        <w:rPr>
          <w:rFonts w:ascii="Arial" w:hAnsi="Arial"/>
          <w:u w:val="single"/>
        </w:rPr>
        <w:tab/>
      </w:r>
      <w:r>
        <w:rPr>
          <w:rFonts w:ascii="Arial" w:hAnsi="Arial"/>
          <w:u w:val="single"/>
        </w:rPr>
        <w:br/>
      </w:r>
      <w:r w:rsidR="008943C8">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8943C8" w:rsidRPr="008943C8">
        <w:rPr>
          <w:rFonts w:ascii="Arial" w:hAnsi="Arial"/>
          <w:i/>
          <w:u w:val="single"/>
        </w:rPr>
        <w:t>“David Kivitz”</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8943C8" w:rsidRPr="008943C8">
        <w:rPr>
          <w:rFonts w:ascii="Arial" w:hAnsi="Arial"/>
          <w:u w:val="single"/>
        </w:rPr>
        <w:t>Chief Executive Officer</w:t>
      </w:r>
      <w:r>
        <w:rPr>
          <w:rFonts w:ascii="Arial" w:hAnsi="Arial"/>
          <w:u w:val="single"/>
        </w:rPr>
        <w:tab/>
      </w:r>
      <w:r>
        <w:rPr>
          <w:rFonts w:ascii="Arial" w:hAnsi="Arial"/>
        </w:rPr>
        <w:br/>
      </w:r>
      <w:r w:rsidR="008943C8">
        <w:rPr>
          <w:rFonts w:ascii="Arial" w:hAnsi="Arial"/>
        </w:rPr>
        <w:t>Official Capacity</w:t>
      </w:r>
    </w:p>
    <w:p w:rsidR="00C500F0" w:rsidRDefault="00C500F0">
      <w:pPr>
        <w:pStyle w:val="List"/>
        <w:tabs>
          <w:tab w:val="left" w:pos="9180"/>
          <w:tab w:val="left" w:pos="9360"/>
        </w:tabs>
        <w:ind w:left="5760" w:hanging="5760"/>
        <w:rPr>
          <w:rFonts w:ascii="Arial" w:hAnsi="Arial"/>
        </w:rPr>
      </w:pPr>
    </w:p>
    <w:p w:rsidR="008A1CB0" w:rsidRDefault="008A1CB0">
      <w:pPr>
        <w:pStyle w:val="List"/>
        <w:tabs>
          <w:tab w:val="left" w:pos="9180"/>
          <w:tab w:val="left" w:pos="9360"/>
        </w:tabs>
        <w:ind w:left="5760" w:hanging="5760"/>
        <w:rPr>
          <w:rFonts w:ascii="Arial" w:hAnsi="Arial"/>
        </w:rPr>
        <w:sectPr w:rsidR="008A1CB0" w:rsidSect="008003B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936" w:gutter="0"/>
          <w:pgNumType w:start="1"/>
          <w:cols w:space="720"/>
        </w:sect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8A1CB0" w:rsidRDefault="00C500F0" w:rsidP="008A1CB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C500F0" w:rsidRPr="008A1CB0" w:rsidSect="008003B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4D" w:rsidRDefault="00D31E4D">
      <w:r>
        <w:separator/>
      </w:r>
    </w:p>
  </w:endnote>
  <w:endnote w:type="continuationSeparator" w:id="0">
    <w:p w:rsidR="00D31E4D" w:rsidRDefault="00D3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D" w:rsidRDefault="00243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9B370F" w:rsidP="008003B9">
    <w:pPr>
      <w:tabs>
        <w:tab w:val="center" w:pos="4674"/>
        <w:tab w:val="left" w:pos="8460"/>
      </w:tabs>
      <w:jc w:val="center"/>
      <w:rPr>
        <w:rStyle w:val="PageNumber"/>
        <w:rFonts w:ascii="Arial" w:hAnsi="Arial" w:cs="Arial"/>
        <w:b/>
      </w:rPr>
    </w:pPr>
    <w:r>
      <w:rPr>
        <w:rFonts w:ascii="Arial" w:hAnsi="Arial" w:cs="Arial"/>
        <w:b/>
      </w:rPr>
      <w:fldChar w:fldCharType="begin"/>
    </w:r>
    <w:r>
      <w:rPr>
        <w:rFonts w:ascii="Arial" w:hAnsi="Arial" w:cs="Arial"/>
        <w:b/>
      </w:rPr>
      <w:instrText xml:space="preserve"> DOCPROPERTY iManageFooter \* MERGEFORMAT </w:instrText>
    </w:r>
    <w:r>
      <w:rPr>
        <w:rFonts w:ascii="Arial" w:hAnsi="Arial" w:cs="Arial"/>
        <w:b/>
      </w:rPr>
      <w:fldChar w:fldCharType="separate"/>
    </w:r>
    <w:r w:rsidR="00EC25DB">
      <w:rPr>
        <w:rFonts w:ascii="Arial" w:hAnsi="Arial" w:cs="Arial"/>
        <w:b/>
      </w:rPr>
      <w:t>#3454991v1</w:t>
    </w:r>
    <w:r>
      <w:rPr>
        <w:rFonts w:ascii="Arial" w:hAnsi="Arial" w:cs="Arial"/>
        <w:b/>
      </w:rPr>
      <w:fldChar w:fldCharType="end"/>
    </w:r>
    <w:r w:rsidR="00554082">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F97B"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D31E4D">
    <w:pPr>
      <w:pStyle w:val="Footer"/>
    </w:pPr>
    <w:r>
      <w:fldChar w:fldCharType="begin"/>
    </w:r>
    <w:r>
      <w:instrText xml:space="preserve"> DOCPROPERTY FOOTERPATH \* MERGEFORMAT </w:instrText>
    </w:r>
    <w:r>
      <w:fldChar w:fldCharType="separate"/>
    </w:r>
    <w:r w:rsidR="0095091F">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4D" w:rsidRDefault="00D31E4D">
      <w:r>
        <w:separator/>
      </w:r>
    </w:p>
  </w:footnote>
  <w:footnote w:type="continuationSeparator" w:id="0">
    <w:p w:rsidR="00D31E4D" w:rsidRDefault="00D3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D" w:rsidRDefault="00243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D" w:rsidRDefault="00243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D" w:rsidRDefault="00243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31A5F"/>
    <w:rsid w:val="00054943"/>
    <w:rsid w:val="0007229A"/>
    <w:rsid w:val="000854E7"/>
    <w:rsid w:val="000B64EF"/>
    <w:rsid w:val="000B68EE"/>
    <w:rsid w:val="000C7CEC"/>
    <w:rsid w:val="00116314"/>
    <w:rsid w:val="00122D6D"/>
    <w:rsid w:val="00173F0B"/>
    <w:rsid w:val="00186DA5"/>
    <w:rsid w:val="001D52BC"/>
    <w:rsid w:val="001E25F3"/>
    <w:rsid w:val="00205D09"/>
    <w:rsid w:val="0023617D"/>
    <w:rsid w:val="002436CD"/>
    <w:rsid w:val="002557FD"/>
    <w:rsid w:val="002560F1"/>
    <w:rsid w:val="002673FC"/>
    <w:rsid w:val="002F0416"/>
    <w:rsid w:val="00305EB6"/>
    <w:rsid w:val="00314342"/>
    <w:rsid w:val="00326D55"/>
    <w:rsid w:val="003431FD"/>
    <w:rsid w:val="0035331C"/>
    <w:rsid w:val="00367952"/>
    <w:rsid w:val="003B0B48"/>
    <w:rsid w:val="003B74FB"/>
    <w:rsid w:val="003C6D7E"/>
    <w:rsid w:val="003D3F7B"/>
    <w:rsid w:val="00441D51"/>
    <w:rsid w:val="00456624"/>
    <w:rsid w:val="004A1403"/>
    <w:rsid w:val="004B0E2C"/>
    <w:rsid w:val="004B214D"/>
    <w:rsid w:val="004E5410"/>
    <w:rsid w:val="00544BCF"/>
    <w:rsid w:val="00554082"/>
    <w:rsid w:val="005B73B5"/>
    <w:rsid w:val="00617A0E"/>
    <w:rsid w:val="0062717F"/>
    <w:rsid w:val="006469FE"/>
    <w:rsid w:val="00653A89"/>
    <w:rsid w:val="00731C7E"/>
    <w:rsid w:val="007568B3"/>
    <w:rsid w:val="00777E14"/>
    <w:rsid w:val="007A528E"/>
    <w:rsid w:val="007B0425"/>
    <w:rsid w:val="007C4F86"/>
    <w:rsid w:val="007E3483"/>
    <w:rsid w:val="008003B9"/>
    <w:rsid w:val="00837F9B"/>
    <w:rsid w:val="00840B45"/>
    <w:rsid w:val="008943C8"/>
    <w:rsid w:val="008A1CB0"/>
    <w:rsid w:val="008C1F6A"/>
    <w:rsid w:val="008F27FF"/>
    <w:rsid w:val="00900856"/>
    <w:rsid w:val="00910085"/>
    <w:rsid w:val="009136E7"/>
    <w:rsid w:val="009466F0"/>
    <w:rsid w:val="0095091F"/>
    <w:rsid w:val="00967B21"/>
    <w:rsid w:val="0097763E"/>
    <w:rsid w:val="009B370F"/>
    <w:rsid w:val="009C1EC2"/>
    <w:rsid w:val="00A00C54"/>
    <w:rsid w:val="00A10285"/>
    <w:rsid w:val="00A35EC7"/>
    <w:rsid w:val="00A90670"/>
    <w:rsid w:val="00A93530"/>
    <w:rsid w:val="00A9392C"/>
    <w:rsid w:val="00AE5180"/>
    <w:rsid w:val="00B923F6"/>
    <w:rsid w:val="00BE2894"/>
    <w:rsid w:val="00C10A32"/>
    <w:rsid w:val="00C10FC2"/>
    <w:rsid w:val="00C23FB4"/>
    <w:rsid w:val="00C500F0"/>
    <w:rsid w:val="00C536D3"/>
    <w:rsid w:val="00CC2519"/>
    <w:rsid w:val="00CF076A"/>
    <w:rsid w:val="00CF2A90"/>
    <w:rsid w:val="00CF5580"/>
    <w:rsid w:val="00CF72A4"/>
    <w:rsid w:val="00D31E4D"/>
    <w:rsid w:val="00D956B4"/>
    <w:rsid w:val="00DA6830"/>
    <w:rsid w:val="00DB640C"/>
    <w:rsid w:val="00DB6F10"/>
    <w:rsid w:val="00DD696E"/>
    <w:rsid w:val="00DF796C"/>
    <w:rsid w:val="00E55E58"/>
    <w:rsid w:val="00E6799E"/>
    <w:rsid w:val="00E83A64"/>
    <w:rsid w:val="00E97C13"/>
    <w:rsid w:val="00EA4133"/>
    <w:rsid w:val="00EC25DB"/>
    <w:rsid w:val="00F33BBE"/>
    <w:rsid w:val="00FE0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724C56-BF35-4AF6-AD88-0FEC9A6D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4479">
      <w:bodyDiv w:val="1"/>
      <w:marLeft w:val="0"/>
      <w:marRight w:val="0"/>
      <w:marTop w:val="0"/>
      <w:marBottom w:val="0"/>
      <w:divBdr>
        <w:top w:val="none" w:sz="0" w:space="0" w:color="auto"/>
        <w:left w:val="none" w:sz="0" w:space="0" w:color="auto"/>
        <w:bottom w:val="none" w:sz="0" w:space="0" w:color="auto"/>
        <w:right w:val="none" w:sz="0" w:space="0" w:color="auto"/>
      </w:divBdr>
    </w:div>
    <w:div w:id="1320424692">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 W i l d D O C S ! 3 4 5 4 9 9 1 . 1 < / d o c u m e n t i d >  
     < s e n d e r i d > R A N A N T H A R A J A H < / s e n d e r i d >  
     < s e n d e r e m a i l > R A N A N T H A R A J A H @ W I L D L A W . C A < / s e n d e r e m a i l >  
     < l a s t m o d i f i e d > 2 0 2 0 - 0 1 - 3 1 T 1 3 : 4 8 : 0 0 . 0 0 0 0 0 0 0 - 0 5 : 0 0 < / l a s t m o d i f i e d >  
     < d a t a b a s e > W i l d D O C S < / d a t a b a s e >  
 < / p r o p e r t i e s > 
</file>

<file path=customXml/itemProps1.xml><?xml version="1.0" encoding="utf-8"?>
<ds:datastoreItem xmlns:ds="http://schemas.openxmlformats.org/officeDocument/2006/customXml" ds:itemID="{EECBF06F-6BEC-C64C-B39B-5DC24ADAC67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Natalie Shewchuk</cp:lastModifiedBy>
  <cp:revision>2</cp:revision>
  <cp:lastPrinted>2020-01-14T22:08:00Z</cp:lastPrinted>
  <dcterms:created xsi:type="dcterms:W3CDTF">2020-02-01T00:57:00Z</dcterms:created>
  <dcterms:modified xsi:type="dcterms:W3CDTF">2020-02-01T00:57:00Z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iManageFooter">
    <vt:lpwstr>#3454991v1</vt:lpwstr>
  </property>
</Properties>
</file>