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6C6DB71A"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FD2A92">
        <w:rPr>
          <w:rFonts w:ascii="Arial" w:hAnsi="Arial"/>
          <w:i/>
          <w:color w:val="000000"/>
        </w:rPr>
        <w:t>50,349,359</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14:paraId="5DC34BD2" w14:textId="77EC720E"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FD2A92">
        <w:rPr>
          <w:rFonts w:ascii="Arial" w:hAnsi="Arial"/>
          <w:color w:val="000000"/>
        </w:rPr>
        <w:t xml:space="preserve">January </w:t>
      </w:r>
      <w:r w:rsidR="00196ACD">
        <w:rPr>
          <w:rFonts w:ascii="Arial" w:hAnsi="Arial"/>
          <w:color w:val="000000"/>
        </w:rPr>
        <w:t>6</w:t>
      </w:r>
      <w:r w:rsidR="00FD2A92">
        <w:rPr>
          <w:rFonts w:ascii="Arial" w:hAnsi="Arial"/>
          <w:color w:val="000000"/>
        </w:rPr>
        <w:t>, 2021</w:t>
      </w: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7B95B3A" w14:textId="5180E4EC" w:rsidR="00A94A83" w:rsidRDefault="00196ACD" w:rsidP="00A94A83">
      <w:pPr>
        <w:pStyle w:val="List"/>
        <w:spacing w:before="120"/>
        <w:ind w:left="720" w:firstLine="0"/>
        <w:jc w:val="both"/>
        <w:rPr>
          <w:rFonts w:ascii="Arial" w:hAnsi="Arial"/>
          <w:i/>
        </w:rPr>
      </w:pPr>
      <w:r>
        <w:rPr>
          <w:rFonts w:ascii="Arial" w:hAnsi="Arial"/>
          <w:i/>
        </w:rPr>
        <w:t>In December</w:t>
      </w:r>
      <w:r w:rsidRPr="00196ACD">
        <w:rPr>
          <w:rFonts w:ascii="Arial" w:hAnsi="Arial"/>
          <w:i/>
        </w:rPr>
        <w:t xml:space="preserve"> 2020, the Company </w:t>
      </w:r>
      <w:r>
        <w:rPr>
          <w:rFonts w:ascii="Arial" w:hAnsi="Arial"/>
          <w:i/>
        </w:rPr>
        <w:t>acquired</w:t>
      </w:r>
      <w:r w:rsidRPr="00196ACD">
        <w:rPr>
          <w:rFonts w:ascii="Arial" w:hAnsi="Arial"/>
          <w:i/>
        </w:rPr>
        <w:t xml:space="preserve"> 100% of the assets in Transcend Biodynamics LLC (“Transcend”) in an all-stock transaction (the “Transaction”), for a total of 13,333,333 common shares.  Transcend is a research driven biotechnology company committed to addressing unmet mental health needs through the development of patented next generation psychedelic therapeutics including the Lysergic Acid Diethylamide (“LSD”) derivative </w:t>
      </w:r>
      <w:r>
        <w:rPr>
          <w:rFonts w:ascii="Arial" w:hAnsi="Arial"/>
          <w:i/>
        </w:rPr>
        <w:t>TD-0</w:t>
      </w:r>
      <w:r w:rsidRPr="00196ACD">
        <w:rPr>
          <w:rFonts w:ascii="Arial" w:hAnsi="Arial"/>
          <w:i/>
        </w:rPr>
        <w:t>148</w:t>
      </w:r>
      <w:r>
        <w:rPr>
          <w:rFonts w:ascii="Arial" w:hAnsi="Arial"/>
          <w:i/>
        </w:rPr>
        <w:t>A (previously BOL-148)</w:t>
      </w:r>
      <w:r w:rsidRPr="00196ACD">
        <w:rPr>
          <w:rFonts w:ascii="Arial" w:hAnsi="Arial"/>
          <w:i/>
        </w:rPr>
        <w:t xml:space="preserve">. </w:t>
      </w:r>
      <w:r>
        <w:rPr>
          <w:rFonts w:ascii="Arial" w:hAnsi="Arial"/>
          <w:i/>
        </w:rPr>
        <w:t>TD</w:t>
      </w:r>
      <w:r w:rsidRPr="00196ACD">
        <w:rPr>
          <w:rFonts w:ascii="Arial" w:hAnsi="Arial"/>
          <w:i/>
        </w:rPr>
        <w:t>-</w:t>
      </w:r>
      <w:r>
        <w:rPr>
          <w:rFonts w:ascii="Arial" w:hAnsi="Arial"/>
          <w:i/>
        </w:rPr>
        <w:t>0</w:t>
      </w:r>
      <w:r w:rsidRPr="00196ACD">
        <w:rPr>
          <w:rFonts w:ascii="Arial" w:hAnsi="Arial"/>
          <w:i/>
        </w:rPr>
        <w:t>148</w:t>
      </w:r>
      <w:r>
        <w:rPr>
          <w:rFonts w:ascii="Arial" w:hAnsi="Arial"/>
          <w:i/>
        </w:rPr>
        <w:t>A</w:t>
      </w:r>
      <w:r w:rsidRPr="00196ACD">
        <w:rPr>
          <w:rFonts w:ascii="Arial" w:hAnsi="Arial"/>
          <w:i/>
        </w:rPr>
        <w:t xml:space="preserve"> is a nontoxic second-generation LSD-derived molecule that mimics the therapeutic potential of LSD, without the psychedelic effects or hallucinations. </w:t>
      </w:r>
      <w:r>
        <w:rPr>
          <w:rFonts w:ascii="Arial" w:hAnsi="Arial"/>
          <w:i/>
        </w:rPr>
        <w:t xml:space="preserve">The </w:t>
      </w:r>
      <w:r w:rsidRPr="00196ACD">
        <w:rPr>
          <w:rFonts w:ascii="Arial" w:hAnsi="Arial"/>
          <w:i/>
        </w:rPr>
        <w:t xml:space="preserve">patented process allows for cost effective manufacturing of </w:t>
      </w:r>
      <w:r>
        <w:rPr>
          <w:rFonts w:ascii="Arial" w:hAnsi="Arial"/>
          <w:i/>
        </w:rPr>
        <w:t>TD-0148A</w:t>
      </w:r>
      <w:r w:rsidRPr="00196ACD">
        <w:rPr>
          <w:rFonts w:ascii="Arial" w:hAnsi="Arial"/>
          <w:i/>
        </w:rPr>
        <w:t xml:space="preserve"> without the need to make LSD.</w:t>
      </w:r>
    </w:p>
    <w:p w14:paraId="58DB2353" w14:textId="5C03903F" w:rsidR="00196ACD" w:rsidRDefault="00196ACD" w:rsidP="00A94A83">
      <w:pPr>
        <w:pStyle w:val="List"/>
        <w:spacing w:before="120"/>
        <w:ind w:left="720" w:firstLine="0"/>
        <w:jc w:val="both"/>
        <w:rPr>
          <w:rFonts w:ascii="Arial" w:hAnsi="Arial"/>
          <w:i/>
        </w:rPr>
      </w:pPr>
      <w:r>
        <w:rPr>
          <w:rFonts w:ascii="Arial" w:hAnsi="Arial"/>
          <w:i/>
        </w:rPr>
        <w:t xml:space="preserve">In connection with the acquisition of TD-0148A, </w:t>
      </w:r>
      <w:r w:rsidRPr="00196ACD">
        <w:rPr>
          <w:rFonts w:ascii="Arial" w:hAnsi="Arial"/>
          <w:i/>
        </w:rPr>
        <w:t>two industry leaders in psychedelic therapeutics,</w:t>
      </w:r>
      <w:r>
        <w:rPr>
          <w:rFonts w:ascii="Arial" w:hAnsi="Arial"/>
          <w:i/>
        </w:rPr>
        <w:t xml:space="preserve"> Patrick Kroupa and Justin Kirkland, joined the Company as </w:t>
      </w:r>
      <w:r w:rsidRPr="00196ACD">
        <w:rPr>
          <w:rFonts w:ascii="Arial" w:hAnsi="Arial"/>
          <w:i/>
        </w:rPr>
        <w:t>Chief Psychedelic Officer</w:t>
      </w:r>
      <w:r>
        <w:rPr>
          <w:rFonts w:ascii="Arial" w:hAnsi="Arial"/>
          <w:i/>
        </w:rPr>
        <w:t xml:space="preserve"> and </w:t>
      </w:r>
      <w:r w:rsidRPr="00196ACD">
        <w:rPr>
          <w:rFonts w:ascii="Arial" w:hAnsi="Arial"/>
          <w:i/>
        </w:rPr>
        <w:t xml:space="preserve">Chief Psychedelic </w:t>
      </w:r>
      <w:r>
        <w:rPr>
          <w:rFonts w:ascii="Arial" w:hAnsi="Arial"/>
          <w:i/>
        </w:rPr>
        <w:t xml:space="preserve">Scientist, respectively.  </w:t>
      </w:r>
      <w:r w:rsidRPr="00196ACD">
        <w:rPr>
          <w:rFonts w:ascii="Arial" w:hAnsi="Arial"/>
          <w:i/>
        </w:rPr>
        <w:t xml:space="preserve">Mr. Kroupa has over 20 years </w:t>
      </w:r>
      <w:r>
        <w:rPr>
          <w:rFonts w:ascii="Arial" w:hAnsi="Arial"/>
          <w:i/>
        </w:rPr>
        <w:t xml:space="preserve">of </w:t>
      </w:r>
      <w:r w:rsidRPr="00196ACD">
        <w:rPr>
          <w:rFonts w:ascii="Arial" w:hAnsi="Arial"/>
          <w:i/>
        </w:rPr>
        <w:t>experience working with a wide spectrum of psychedelic compounds to address mental health and drug dependence disorders. He brings a tremendous breadth of experience utilizing cutting-edge molecular advancements to enhance the positive outcomes of unaddressed patient populations.</w:t>
      </w:r>
    </w:p>
    <w:p w14:paraId="61F8CCC1" w14:textId="77B9D284" w:rsidR="00196ACD" w:rsidRDefault="00196ACD" w:rsidP="00A94A83">
      <w:pPr>
        <w:pStyle w:val="List"/>
        <w:spacing w:before="120"/>
        <w:ind w:left="720" w:firstLine="0"/>
        <w:jc w:val="both"/>
        <w:rPr>
          <w:rFonts w:ascii="Arial" w:hAnsi="Arial"/>
          <w:i/>
        </w:rPr>
      </w:pPr>
      <w:r w:rsidRPr="00196ACD">
        <w:rPr>
          <w:rFonts w:ascii="Arial" w:hAnsi="Arial"/>
          <w:i/>
        </w:rPr>
        <w:t xml:space="preserve">Mr. Kirkland is a chemist with experience in natural products, small molecules, peptide synthesis, analytical chemistry, and drug formulations for improved bioavailability. Mr. Kirkland has earned a BS in Agronomy and an MS in </w:t>
      </w:r>
      <w:proofErr w:type="gramStart"/>
      <w:r w:rsidRPr="00196ACD">
        <w:rPr>
          <w:rFonts w:ascii="Arial" w:hAnsi="Arial"/>
          <w:i/>
        </w:rPr>
        <w:t>Biology, and</w:t>
      </w:r>
      <w:proofErr w:type="gramEnd"/>
      <w:r w:rsidRPr="00196ACD">
        <w:rPr>
          <w:rFonts w:ascii="Arial" w:hAnsi="Arial"/>
          <w:i/>
        </w:rPr>
        <w:t xml:space="preserve"> attended medical school in Belize at the Central American Health Sciences University. He was recently awarded a U.S. patent for the improved synthesis of the ergoline, 2-bromo-LSD.</w:t>
      </w:r>
    </w:p>
    <w:p w14:paraId="7025A365" w14:textId="34F2B02D" w:rsidR="00196ACD" w:rsidRDefault="00196ACD" w:rsidP="00A94A83">
      <w:pPr>
        <w:pStyle w:val="List"/>
        <w:spacing w:before="120"/>
        <w:ind w:left="720" w:firstLine="0"/>
        <w:jc w:val="both"/>
        <w:rPr>
          <w:rFonts w:ascii="Arial" w:hAnsi="Arial"/>
          <w:i/>
        </w:rPr>
      </w:pPr>
      <w:r w:rsidRPr="00196ACD">
        <w:rPr>
          <w:rFonts w:ascii="Arial" w:hAnsi="Arial"/>
          <w:i/>
        </w:rPr>
        <w:t xml:space="preserve">On December 29, 2020, the Company added Sergei Stetsenko to its Board of Directors to prepare for its growth phase in psychedelic medicines.  Mr. Stetsenko is a financier and venture capitalist who is acting Chief Executive Officer of CRG Finance AG (“CRG Finance”), a private venture capital firm in </w:t>
      </w:r>
      <w:r w:rsidRPr="00196ACD">
        <w:rPr>
          <w:rFonts w:ascii="Arial" w:hAnsi="Arial"/>
          <w:i/>
        </w:rPr>
        <w:lastRenderedPageBreak/>
        <w:t xml:space="preserve">Zurich, Switzerland.  As lead investor of CRG Finance, Mr. Stetsenko has helped acquire, </w:t>
      </w:r>
      <w:proofErr w:type="gramStart"/>
      <w:r w:rsidRPr="00196ACD">
        <w:rPr>
          <w:rFonts w:ascii="Arial" w:hAnsi="Arial"/>
          <w:i/>
        </w:rPr>
        <w:t>build</w:t>
      </w:r>
      <w:proofErr w:type="gramEnd"/>
      <w:r w:rsidRPr="00196ACD">
        <w:rPr>
          <w:rFonts w:ascii="Arial" w:hAnsi="Arial"/>
          <w:i/>
        </w:rPr>
        <w:t xml:space="preserve"> and exit businesses via public markets and raising capital for companies in the technology, healthcare, communications and natural resources sectors.  He is currently the Chief Executive Officer of BlockchainK2 Corp., a </w:t>
      </w:r>
      <w:proofErr w:type="gramStart"/>
      <w:r w:rsidRPr="00196ACD">
        <w:rPr>
          <w:rFonts w:ascii="Arial" w:hAnsi="Arial"/>
          <w:i/>
        </w:rPr>
        <w:t>publicly-listed</w:t>
      </w:r>
      <w:proofErr w:type="gramEnd"/>
      <w:r w:rsidRPr="00196ACD">
        <w:rPr>
          <w:rFonts w:ascii="Arial" w:hAnsi="Arial"/>
          <w:i/>
        </w:rPr>
        <w:t xml:space="preserve"> company investing in blockchain technology solutions for capital markets and other sectors that can benefit from tokenization.</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2EFD8C95" w:rsidR="00A23C08" w:rsidRPr="00D861FE" w:rsidRDefault="00196ACD" w:rsidP="00A23C08">
      <w:pPr>
        <w:pStyle w:val="List"/>
        <w:spacing w:before="120"/>
        <w:ind w:left="720" w:firstLine="0"/>
        <w:jc w:val="both"/>
        <w:rPr>
          <w:rFonts w:ascii="Arial" w:hAnsi="Arial"/>
          <w:i/>
        </w:rPr>
      </w:pPr>
      <w:r>
        <w:rPr>
          <w:rFonts w:ascii="Arial" w:hAnsi="Arial"/>
          <w:i/>
        </w:rPr>
        <w:t>N/A.</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316438EF" w:rsidR="0014406D" w:rsidRPr="0014406D" w:rsidRDefault="00842030" w:rsidP="0014406D">
      <w:pPr>
        <w:pStyle w:val="List"/>
        <w:spacing w:before="120"/>
        <w:ind w:left="720" w:firstLine="0"/>
        <w:jc w:val="both"/>
        <w:rPr>
          <w:rFonts w:ascii="Arial" w:hAnsi="Arial"/>
          <w:i/>
        </w:rPr>
      </w:pPr>
      <w:r>
        <w:rPr>
          <w:rFonts w:ascii="Arial" w:hAnsi="Arial"/>
          <w:i/>
        </w:rPr>
        <w:t>N/A</w:t>
      </w:r>
      <w:r w:rsidR="00D03F31">
        <w:rPr>
          <w:rFonts w:ascii="Arial" w:hAnsi="Arial"/>
          <w:i/>
        </w:rPr>
        <w:t>.</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2A5F994C" w14:textId="30FDD65E" w:rsidR="0014406D" w:rsidRDefault="00196ACD" w:rsidP="001D0265">
      <w:pPr>
        <w:pStyle w:val="List"/>
        <w:spacing w:before="120"/>
        <w:ind w:left="720" w:firstLine="0"/>
        <w:jc w:val="both"/>
        <w:rPr>
          <w:rFonts w:ascii="Arial" w:hAnsi="Arial"/>
          <w:i/>
        </w:rPr>
      </w:pPr>
      <w:r>
        <w:rPr>
          <w:rFonts w:ascii="Arial" w:hAnsi="Arial"/>
          <w:i/>
        </w:rPr>
        <w:t>See Item 1</w:t>
      </w:r>
      <w:r w:rsidR="00C358BE">
        <w:rPr>
          <w:rFonts w:ascii="Arial" w:hAnsi="Arial"/>
          <w:i/>
        </w:rPr>
        <w:t xml:space="preserve"> for acquisition of assets from Transcend.</w:t>
      </w:r>
    </w:p>
    <w:p w14:paraId="1515AC6B" w14:textId="19AAFFE1" w:rsidR="00C358BE" w:rsidRPr="0014406D" w:rsidRDefault="00C358BE" w:rsidP="001D0265">
      <w:pPr>
        <w:pStyle w:val="List"/>
        <w:spacing w:before="120"/>
        <w:ind w:left="720" w:firstLine="0"/>
        <w:jc w:val="both"/>
        <w:rPr>
          <w:rFonts w:ascii="Arial" w:hAnsi="Arial"/>
          <w:i/>
        </w:rPr>
      </w:pPr>
      <w:r>
        <w:rPr>
          <w:rFonts w:ascii="Arial" w:hAnsi="Arial"/>
          <w:i/>
        </w:rPr>
        <w:t>In December 2020</w:t>
      </w:r>
      <w:r w:rsidRPr="001D0265">
        <w:rPr>
          <w:rFonts w:ascii="Arial" w:hAnsi="Arial"/>
          <w:i/>
        </w:rPr>
        <w:t xml:space="preserve">, the Company </w:t>
      </w:r>
      <w:r>
        <w:rPr>
          <w:rFonts w:ascii="Arial" w:hAnsi="Arial"/>
          <w:i/>
        </w:rPr>
        <w:t>closed on a previously disclosed</w:t>
      </w:r>
      <w:r w:rsidRPr="001D0265">
        <w:rPr>
          <w:rFonts w:ascii="Arial" w:hAnsi="Arial"/>
          <w:i/>
        </w:rPr>
        <w:t xml:space="preserve"> share purchase agreement with an unrelated third party for the sale of 100% of the issued and outstanding common shares of Pivot Pharmaceuticals Manufacturing Corp.</w:t>
      </w:r>
      <w:r>
        <w:rPr>
          <w:rFonts w:ascii="Arial" w:hAnsi="Arial"/>
          <w:i/>
        </w:rPr>
        <w:t xml:space="preserve">, </w:t>
      </w:r>
      <w:r w:rsidRPr="001D0265">
        <w:rPr>
          <w:rFonts w:ascii="Arial" w:hAnsi="Arial"/>
          <w:i/>
        </w:rPr>
        <w:t xml:space="preserve">a </w:t>
      </w:r>
      <w:proofErr w:type="gramStart"/>
      <w:r w:rsidRPr="001D0265">
        <w:rPr>
          <w:rFonts w:ascii="Arial" w:hAnsi="Arial"/>
          <w:i/>
        </w:rPr>
        <w:t>fully-owned</w:t>
      </w:r>
      <w:proofErr w:type="gramEnd"/>
      <w:r w:rsidRPr="001D0265">
        <w:rPr>
          <w:rFonts w:ascii="Arial" w:hAnsi="Arial"/>
          <w:i/>
        </w:rPr>
        <w:t xml:space="preserve"> subsidiary.</w:t>
      </w:r>
      <w:r>
        <w:rPr>
          <w:rFonts w:ascii="Arial" w:hAnsi="Arial"/>
          <w:i/>
        </w:rPr>
        <w:t xml:space="preserve">  </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lastRenderedPageBreak/>
        <w:t>Describe any new developments or effects on intangible products such as brand names, circulation lists, copyrights, franchises, licenses, patents, software, subscription lists and trade-marks.</w:t>
      </w:r>
    </w:p>
    <w:p w14:paraId="7F5AA6BC" w14:textId="72700732" w:rsidR="003138E2" w:rsidRPr="0014406D" w:rsidRDefault="00A66377" w:rsidP="003138E2">
      <w:pPr>
        <w:pStyle w:val="List"/>
        <w:spacing w:before="120"/>
        <w:ind w:left="720" w:firstLine="0"/>
        <w:jc w:val="both"/>
        <w:rPr>
          <w:rFonts w:ascii="Arial" w:hAnsi="Arial"/>
          <w:i/>
        </w:rPr>
      </w:pPr>
      <w:r>
        <w:rPr>
          <w:rFonts w:ascii="Arial" w:hAnsi="Arial"/>
          <w:i/>
        </w:rPr>
        <w:t>N/A.</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8A9B24E" w14:textId="48D5075C" w:rsidR="0014406D" w:rsidRP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bookmarkEnd w:id="10"/>
    <w:bookmarkEnd w:id="11"/>
    <w:bookmarkEnd w:id="12"/>
    <w:p w14:paraId="6AA8A22A" w14:textId="775F2054" w:rsidR="000C1488" w:rsidRDefault="001D0265" w:rsidP="000C1488">
      <w:pPr>
        <w:pStyle w:val="List"/>
        <w:spacing w:before="120"/>
        <w:ind w:left="720" w:firstLine="0"/>
        <w:jc w:val="both"/>
        <w:rPr>
          <w:rFonts w:ascii="Arial" w:hAnsi="Arial"/>
          <w:i/>
        </w:rPr>
      </w:pPr>
      <w:r>
        <w:rPr>
          <w:rFonts w:ascii="Arial" w:hAnsi="Arial"/>
          <w:i/>
        </w:rPr>
        <w:t>N/A</w:t>
      </w:r>
      <w:r w:rsidR="00C8589C" w:rsidRPr="00C8589C">
        <w:rPr>
          <w:rFonts w:ascii="Arial" w:hAnsi="Arial"/>
          <w:i/>
        </w:rPr>
        <w:t>.</w:t>
      </w:r>
    </w:p>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427D2273" w:rsidR="0084310F" w:rsidRPr="0014406D" w:rsidRDefault="00C934D3" w:rsidP="0014406D">
      <w:pPr>
        <w:pStyle w:val="List"/>
        <w:spacing w:before="120"/>
        <w:ind w:left="720" w:firstLine="0"/>
        <w:jc w:val="both"/>
        <w:rPr>
          <w:rFonts w:ascii="Arial" w:hAnsi="Arial"/>
          <w:i/>
        </w:rPr>
      </w:pPr>
      <w:r>
        <w:rPr>
          <w:rFonts w:ascii="Arial" w:hAnsi="Arial"/>
          <w:i/>
        </w:rPr>
        <w:t>N/A</w:t>
      </w:r>
      <w:r w:rsidR="001D0265" w:rsidRPr="001D0265">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59F75FC" w14:textId="50270FF0" w:rsidR="00C934D3" w:rsidRDefault="00C934D3" w:rsidP="00C934D3">
      <w:pPr>
        <w:pStyle w:val="List"/>
        <w:spacing w:before="120"/>
        <w:ind w:left="720" w:firstLine="0"/>
        <w:jc w:val="both"/>
        <w:rPr>
          <w:rFonts w:ascii="Arial" w:hAnsi="Arial"/>
          <w:i/>
        </w:rPr>
      </w:pPr>
      <w:r>
        <w:rPr>
          <w:rFonts w:ascii="Arial" w:hAnsi="Arial"/>
          <w:i/>
        </w:rPr>
        <w:t>During December 2020, the Company closed its private placement offering pur</w:t>
      </w:r>
      <w:r w:rsidRPr="00B3075C">
        <w:rPr>
          <w:rFonts w:ascii="Arial" w:hAnsi="Arial"/>
          <w:i/>
        </w:rPr>
        <w:t>suant to which the Company issued 5,889,735 Special Warrants at a price of $0.50 per Special Warrant, for aggregate gross proceeds of $2,944,867.50 (the “Offering”). The Offering was led by Mackie Research Capital Corporation as lead agent and sole bookrunner (the “Lead Agent”), on behalf of a syndicate, including Haywood Securities Inc. (collectively, the “Agents”).</w:t>
      </w:r>
    </w:p>
    <w:p w14:paraId="617E2713" w14:textId="77777777" w:rsidR="00C934D3" w:rsidRPr="00B3075C" w:rsidRDefault="00C934D3" w:rsidP="00C934D3">
      <w:pPr>
        <w:pStyle w:val="List"/>
        <w:spacing w:before="120"/>
        <w:ind w:left="720" w:firstLine="0"/>
        <w:jc w:val="both"/>
        <w:rPr>
          <w:rFonts w:ascii="Arial" w:hAnsi="Arial"/>
          <w:i/>
        </w:rPr>
      </w:pPr>
      <w:r w:rsidRPr="00B3075C">
        <w:rPr>
          <w:rFonts w:ascii="Arial" w:hAnsi="Arial"/>
          <w:i/>
        </w:rPr>
        <w:t>Each Special Warrant is exercisable, for no additional consideration, into one unit of the Company (each, a “Unit”), with each Unit consisting of one common share of the Company (a “Common Share”) and one Common Share purchase warrant (a “Warrant”). Each Warrant will entitle the holder thereof to acquire one Common Share (each, a “Warrant Share”) at an exercise price of $0.60 per Warrant Share, for a period of 36 months after the closing of the Offering (the “Closing”).</w:t>
      </w:r>
    </w:p>
    <w:p w14:paraId="3FADFEA3" w14:textId="77777777" w:rsidR="00C934D3" w:rsidRDefault="00C934D3" w:rsidP="00C934D3">
      <w:pPr>
        <w:pStyle w:val="List"/>
        <w:spacing w:before="120"/>
        <w:ind w:left="720" w:firstLine="0"/>
        <w:jc w:val="both"/>
        <w:rPr>
          <w:rFonts w:ascii="Arial" w:hAnsi="Arial"/>
          <w:i/>
        </w:rPr>
      </w:pPr>
      <w:r w:rsidRPr="00B3075C">
        <w:rPr>
          <w:rFonts w:ascii="Arial" w:hAnsi="Arial"/>
          <w:i/>
        </w:rPr>
        <w:t>All unexercised Special Warrants will automatically be exercised on the day (the “Qualification Date”) that is the earlier of (</w:t>
      </w:r>
      <w:proofErr w:type="spellStart"/>
      <w:r w:rsidRPr="00B3075C">
        <w:rPr>
          <w:rFonts w:ascii="Arial" w:hAnsi="Arial"/>
          <w:i/>
        </w:rPr>
        <w:t>i</w:t>
      </w:r>
      <w:proofErr w:type="spellEnd"/>
      <w:r w:rsidRPr="00B3075C">
        <w:rPr>
          <w:rFonts w:ascii="Arial" w:hAnsi="Arial"/>
          <w:i/>
        </w:rPr>
        <w:t>) four (4) months and a day following the Closing, and (ii) as soon as reasonably practicable, and in any event no later than the third (3rd) Business Day, after a receipt is issued for the Final Prospectus qualifying the distribution of the Units underlying the Special Warrants and the Units underlying the Compensation Options (as defined below) granted to the Agents (the “Compensation Option Units”).</w:t>
      </w:r>
    </w:p>
    <w:p w14:paraId="110E7AED" w14:textId="42CED970" w:rsidR="00C934D3" w:rsidRDefault="00C934D3" w:rsidP="00C934D3">
      <w:pPr>
        <w:pStyle w:val="List"/>
        <w:spacing w:before="120"/>
        <w:ind w:left="720" w:firstLine="0"/>
        <w:jc w:val="both"/>
        <w:rPr>
          <w:rFonts w:ascii="Arial" w:hAnsi="Arial"/>
          <w:i/>
        </w:rPr>
      </w:pPr>
      <w:r w:rsidRPr="00B3075C">
        <w:rPr>
          <w:rFonts w:ascii="Arial" w:hAnsi="Arial"/>
          <w:i/>
        </w:rPr>
        <w:t xml:space="preserve">In connection with the Offering, the Agents received an aggregate cash fee equal to 8.0% of the gross proceeds from the Offering. In addition, the Company granted to the Agents on Closing non-transferable compensation options (the </w:t>
      </w:r>
      <w:r w:rsidRPr="00B3075C">
        <w:rPr>
          <w:rFonts w:ascii="Arial" w:hAnsi="Arial"/>
          <w:i/>
        </w:rPr>
        <w:lastRenderedPageBreak/>
        <w:t>“Compensation Options”) equal to 8.0% of the total number of Special Warrants sold under the Offering. Each Compensation Option entitles the holder thereof to purchase one Compensation Option Unit at an exercise price of $0.50 for a period of 36 months following Closing.</w:t>
      </w:r>
    </w:p>
    <w:p w14:paraId="14787189" w14:textId="10C827D8" w:rsidR="00C934D3" w:rsidRDefault="00C934D3" w:rsidP="00C934D3">
      <w:pPr>
        <w:pStyle w:val="List"/>
        <w:spacing w:before="120"/>
        <w:ind w:left="720" w:firstLine="0"/>
        <w:jc w:val="both"/>
        <w:rPr>
          <w:rFonts w:ascii="Arial" w:hAnsi="Arial"/>
          <w:i/>
        </w:rPr>
      </w:pPr>
      <w:r w:rsidRPr="00C934D3">
        <w:rPr>
          <w:rFonts w:ascii="Arial" w:hAnsi="Arial"/>
          <w:i/>
        </w:rPr>
        <w:t>The Company will prepare and file with each of the securities regulatory authorities in each of the provinces of Canada, except Quebec, in which the of Special Warrants are sold (the “Jurisdictions”) and obtain a receipt for, a preliminary short form prospectus and a final short form prospectus (the “Final Prospectus”), qualifying the distribution of the Units underlying the Special Warrants and the Compensation Option Units, in compliance with applicable securities law, within forty (40) days from the Closing. In the event that the Company has not received a receipt for the Final Prospectus within forty (40) days following the Closing, each unexercised Special Warrant will thereafter entitle the holder thereof to receive upon the exercise thereof, at no additional consideration, one-and-one-tenth (1.10) Unit (instead of one Unit) and thereafter at the end of each additional thirty (30) day period prior to the Qualification Date, each Special Warrant will be exercisable for an additional 0.02 of a Unit.</w:t>
      </w:r>
    </w:p>
    <w:p w14:paraId="69AD5046" w14:textId="1BE96B11" w:rsidR="00C934D3" w:rsidRDefault="00C934D3" w:rsidP="00C934D3">
      <w:pPr>
        <w:pStyle w:val="List"/>
        <w:spacing w:before="120"/>
        <w:ind w:left="720" w:firstLine="0"/>
        <w:jc w:val="both"/>
        <w:rPr>
          <w:rFonts w:ascii="Arial" w:hAnsi="Arial"/>
          <w:i/>
        </w:rPr>
      </w:pPr>
      <w:proofErr w:type="gramStart"/>
      <w:r>
        <w:rPr>
          <w:rFonts w:ascii="Arial" w:hAnsi="Arial"/>
          <w:i/>
        </w:rPr>
        <w:t>Also</w:t>
      </w:r>
      <w:proofErr w:type="gramEnd"/>
      <w:r>
        <w:rPr>
          <w:rFonts w:ascii="Arial" w:hAnsi="Arial"/>
          <w:i/>
        </w:rPr>
        <w:t xml:space="preserve"> in the month of December 2020, </w:t>
      </w:r>
      <w:r w:rsidRPr="00C934D3">
        <w:rPr>
          <w:rFonts w:ascii="Arial" w:hAnsi="Arial"/>
          <w:i/>
        </w:rPr>
        <w:t>granted 1,100,000 stock options to officers, directors and consultants, with an exercise price of $0.77 and expiry of three years</w:t>
      </w:r>
      <w:r>
        <w:rPr>
          <w:rFonts w:ascii="Arial" w:hAnsi="Arial"/>
          <w:i/>
        </w:rPr>
        <w:t>.  The Company also issued 60,000 common shares pursuant to the vesting of restricted and performance stock units.</w:t>
      </w:r>
    </w:p>
    <w:p w14:paraId="64BD3D12" w14:textId="04AADF9D" w:rsidR="00C934D3" w:rsidRPr="001D0265" w:rsidRDefault="00C934D3" w:rsidP="00C934D3">
      <w:pPr>
        <w:pStyle w:val="List"/>
        <w:spacing w:before="120"/>
        <w:ind w:left="720" w:firstLine="0"/>
        <w:jc w:val="both"/>
        <w:rPr>
          <w:rFonts w:ascii="Arial" w:hAnsi="Arial"/>
          <w:i/>
        </w:rPr>
      </w:pPr>
      <w:r>
        <w:rPr>
          <w:rFonts w:ascii="Arial" w:hAnsi="Arial"/>
          <w:i/>
        </w:rPr>
        <w:t xml:space="preserve">Pursuant to the acquisition of assets from </w:t>
      </w:r>
      <w:r w:rsidR="00196ACD">
        <w:rPr>
          <w:rFonts w:ascii="Arial" w:hAnsi="Arial"/>
          <w:i/>
        </w:rPr>
        <w:t>Transcend, the Company issued 13,333,333 common shares (see Item 1).</w:t>
      </w:r>
    </w:p>
    <w:p w14:paraId="2CC66B7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77777777"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0C66FF48" w:rsidR="00A23C08" w:rsidRPr="00D861FE" w:rsidRDefault="00196ACD" w:rsidP="00A23C08">
      <w:pPr>
        <w:pStyle w:val="List"/>
        <w:spacing w:before="120"/>
        <w:ind w:left="720" w:firstLine="0"/>
        <w:jc w:val="both"/>
        <w:rPr>
          <w:rFonts w:ascii="Arial" w:hAnsi="Arial"/>
          <w:i/>
        </w:rPr>
      </w:pPr>
      <w:r>
        <w:rPr>
          <w:rFonts w:ascii="Arial" w:hAnsi="Arial"/>
          <w:i/>
        </w:rPr>
        <w:t>See Item 1.</w:t>
      </w:r>
    </w:p>
    <w:p w14:paraId="3FE17C8C" w14:textId="37BCFBE5" w:rsidR="00640E94" w:rsidRDefault="00640E94">
      <w:pPr>
        <w:pStyle w:val="List"/>
        <w:numPr>
          <w:ilvl w:val="0"/>
          <w:numId w:val="28"/>
        </w:numPr>
        <w:spacing w:before="120"/>
        <w:jc w:val="both"/>
        <w:rPr>
          <w:rFonts w:ascii="Arial" w:hAnsi="Arial"/>
        </w:rPr>
      </w:pPr>
      <w:bookmarkStart w:id="13" w:name="_Hlk36806284"/>
      <w:r>
        <w:rPr>
          <w:rFonts w:ascii="Arial" w:hAnsi="Arial"/>
        </w:rPr>
        <w:t>Discuss any trends which are likely to impact the Issuer including trends in the Issuer’s market(s) or political/regulatory trends.</w:t>
      </w:r>
    </w:p>
    <w:bookmarkEnd w:id="13"/>
    <w:p w14:paraId="69C26416" w14:textId="618684C5" w:rsidR="00C358BE" w:rsidRDefault="003058BE" w:rsidP="00C358BE">
      <w:pPr>
        <w:pStyle w:val="List"/>
        <w:keepNext/>
        <w:spacing w:before="120"/>
        <w:ind w:left="720" w:firstLine="0"/>
        <w:jc w:val="both"/>
        <w:rPr>
          <w:rFonts w:ascii="Arial" w:hAnsi="Arial"/>
          <w:bCs/>
          <w:i/>
          <w:iCs/>
        </w:rPr>
      </w:pPr>
      <w:r w:rsidRPr="003058BE">
        <w:rPr>
          <w:rFonts w:ascii="Arial" w:hAnsi="Arial"/>
          <w:bCs/>
          <w:i/>
          <w:iCs/>
        </w:rPr>
        <w:t xml:space="preserve">With the acquisition of the assets from Transcend, the Company has </w:t>
      </w:r>
      <w:proofErr w:type="gramStart"/>
      <w:r w:rsidRPr="003058BE">
        <w:rPr>
          <w:rFonts w:ascii="Arial" w:hAnsi="Arial"/>
          <w:bCs/>
          <w:i/>
          <w:iCs/>
        </w:rPr>
        <w:t>entered into</w:t>
      </w:r>
      <w:proofErr w:type="gramEnd"/>
      <w:r w:rsidRPr="003058BE">
        <w:rPr>
          <w:rFonts w:ascii="Arial" w:hAnsi="Arial"/>
          <w:bCs/>
          <w:i/>
          <w:iCs/>
        </w:rPr>
        <w:t xml:space="preserve"> the psychedelics space, in addition to its AP001 and AP003 programs aimed at targeting viral infections.  While the medicalization of psychedelics is evolving and gaining momentum at an extraordinary pace, such therapeutics still face regulatory hurdles in the areas of manufacturing, formulating, and ultimately dispensing or the rescheduling of Schedule I drugs to patients. Attaining the goals of any given psychedelic-based endeavour will require the removal of federally scheduled enforcement status and global United Nations drug conventions of which the United States and Canada are both participants. Authors of "An ethical exploration of barriers to research on controlled drugs" in the American Journal of Bioethics have been quoted stating, "the classification of drugs as Schedule I amounts to an unsurmountable barrier to research."  LSD has been federally scheduled since 1970, and the rescheduling progress is subject to the FDA's abuse potential assessment that will include an analysis of </w:t>
      </w:r>
      <w:r w:rsidRPr="003058BE">
        <w:rPr>
          <w:rFonts w:ascii="Arial" w:hAnsi="Arial"/>
          <w:bCs/>
          <w:i/>
          <w:iCs/>
        </w:rPr>
        <w:lastRenderedPageBreak/>
        <w:t>the 8 factors of the Controlled Substance Act.  It is important to note that rescheduling, while removing a substance from Schedule 1, still implies a reduction to a lesser schedule, not a removal from the Controlled Substance Act (CSA)</w:t>
      </w:r>
      <w:r>
        <w:rPr>
          <w:rFonts w:ascii="Arial" w:hAnsi="Arial"/>
          <w:b/>
        </w:rPr>
        <w:t xml:space="preserve">.     </w:t>
      </w:r>
      <w:r w:rsidRPr="003058BE">
        <w:rPr>
          <w:rFonts w:ascii="Arial" w:hAnsi="Arial"/>
          <w:bCs/>
          <w:i/>
          <w:iCs/>
        </w:rPr>
        <w:t xml:space="preserve">The Company’s acquisition of </w:t>
      </w:r>
      <w:proofErr w:type="spellStart"/>
      <w:r w:rsidRPr="003058BE">
        <w:rPr>
          <w:rFonts w:ascii="Arial" w:hAnsi="Arial"/>
          <w:bCs/>
          <w:i/>
          <w:iCs/>
        </w:rPr>
        <w:t>Transcend’s</w:t>
      </w:r>
      <w:proofErr w:type="spellEnd"/>
      <w:r w:rsidRPr="003058BE">
        <w:rPr>
          <w:rFonts w:ascii="Arial" w:hAnsi="Arial"/>
          <w:bCs/>
          <w:i/>
          <w:iCs/>
        </w:rPr>
        <w:t xml:space="preserve"> intellectual property allows </w:t>
      </w:r>
      <w:r>
        <w:rPr>
          <w:rFonts w:ascii="Arial" w:hAnsi="Arial"/>
          <w:bCs/>
          <w:i/>
          <w:iCs/>
        </w:rPr>
        <w:t>a</w:t>
      </w:r>
      <w:r w:rsidRPr="003058BE">
        <w:rPr>
          <w:rFonts w:ascii="Arial" w:hAnsi="Arial"/>
          <w:bCs/>
          <w:i/>
          <w:iCs/>
        </w:rPr>
        <w:t xml:space="preserve"> pathway forward to drug manufacturing and human clinical studies without the regulatory hurdles seen in this industry</w:t>
      </w:r>
      <w:r>
        <w:rPr>
          <w:rFonts w:ascii="Arial" w:hAnsi="Arial"/>
          <w:bCs/>
          <w:i/>
          <w:iCs/>
        </w:rPr>
        <w:t>.</w:t>
      </w:r>
    </w:p>
    <w:p w14:paraId="00A06AA3" w14:textId="642EF9F2" w:rsidR="00C358BE" w:rsidRDefault="00C358BE" w:rsidP="00C358BE">
      <w:pPr>
        <w:pStyle w:val="List"/>
        <w:keepNext/>
        <w:spacing w:before="120"/>
        <w:ind w:left="720" w:firstLine="0"/>
        <w:jc w:val="both"/>
        <w:rPr>
          <w:rFonts w:ascii="Arial" w:hAnsi="Arial"/>
          <w:bCs/>
          <w:i/>
          <w:iCs/>
        </w:rPr>
      </w:pPr>
      <w:r>
        <w:rPr>
          <w:rFonts w:ascii="Arial" w:hAnsi="Arial"/>
          <w:bCs/>
          <w:i/>
          <w:iCs/>
        </w:rPr>
        <w:t xml:space="preserve">Vaccines for COVID-19 were developed at a rapid pace and immunizations have begun.  </w:t>
      </w:r>
      <w:r w:rsidRPr="00C358BE">
        <w:rPr>
          <w:rFonts w:ascii="Arial" w:hAnsi="Arial"/>
          <w:bCs/>
          <w:i/>
          <w:iCs/>
        </w:rPr>
        <w:t>Currently, two vaccines are authorized</w:t>
      </w:r>
      <w:r w:rsidR="000C008E">
        <w:rPr>
          <w:rFonts w:ascii="Arial" w:hAnsi="Arial"/>
          <w:bCs/>
          <w:i/>
          <w:iCs/>
        </w:rPr>
        <w:t xml:space="preserve"> for use in the US</w:t>
      </w:r>
      <w:r w:rsidRPr="00C358BE">
        <w:rPr>
          <w:rFonts w:ascii="Arial" w:hAnsi="Arial"/>
          <w:bCs/>
          <w:i/>
          <w:iCs/>
        </w:rPr>
        <w:t xml:space="preserve"> and recommended to prevent COVID-19: ​​​​Pfizer-</w:t>
      </w:r>
      <w:proofErr w:type="spellStart"/>
      <w:r w:rsidRPr="00C358BE">
        <w:rPr>
          <w:rFonts w:ascii="Arial" w:hAnsi="Arial"/>
          <w:bCs/>
          <w:i/>
          <w:iCs/>
        </w:rPr>
        <w:t>BioNTech</w:t>
      </w:r>
      <w:proofErr w:type="spellEnd"/>
      <w:r w:rsidRPr="00C358BE">
        <w:rPr>
          <w:rFonts w:ascii="Arial" w:hAnsi="Arial"/>
          <w:bCs/>
          <w:i/>
          <w:iCs/>
        </w:rPr>
        <w:t xml:space="preserve"> COVID-19 vaccine.</w:t>
      </w:r>
      <w:r w:rsidR="000C008E">
        <w:rPr>
          <w:rFonts w:ascii="Arial" w:hAnsi="Arial"/>
          <w:bCs/>
          <w:i/>
          <w:iCs/>
        </w:rPr>
        <w:t xml:space="preserve">  Despite the availability of vaccines, effective treatments for COVID-19 will still be needed.  The US has had over 21.7 million cases of COVID-19 and over 360,000 deaths.</w:t>
      </w:r>
    </w:p>
    <w:p w14:paraId="2168DA3A" w14:textId="013BAF58" w:rsidR="00640E94" w:rsidRDefault="00640E94" w:rsidP="00C358BE">
      <w:pPr>
        <w:pStyle w:val="List"/>
        <w:keepNext/>
        <w:spacing w:before="120"/>
        <w:ind w:left="720" w:firstLine="0"/>
        <w:jc w:val="both"/>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6AF12242"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F21064">
        <w:rPr>
          <w:rFonts w:ascii="Arial" w:hAnsi="Arial"/>
        </w:rPr>
        <w:t>January 6, 2021</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6023DCE7" w:rsidR="007736E2" w:rsidRDefault="00F21064">
            <w:pPr>
              <w:pStyle w:val="BodyText"/>
              <w:spacing w:before="0"/>
              <w:rPr>
                <w:rFonts w:ascii="Arial" w:hAnsi="Arial"/>
              </w:rPr>
            </w:pPr>
            <w:r>
              <w:rPr>
                <w:rFonts w:ascii="Arial" w:hAnsi="Arial"/>
              </w:rPr>
              <w:t>December</w:t>
            </w:r>
            <w:r w:rsidR="00DD1AB4">
              <w:rPr>
                <w:rFonts w:ascii="Arial" w:hAnsi="Arial"/>
              </w:rPr>
              <w:t xml:space="preserve"> 2020</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5DEF2710" w:rsidR="007736E2" w:rsidRDefault="0047210C" w:rsidP="00D708C2">
            <w:pPr>
              <w:pStyle w:val="BodyText"/>
              <w:spacing w:before="0"/>
              <w:rPr>
                <w:rFonts w:ascii="Arial" w:hAnsi="Arial"/>
              </w:rPr>
            </w:pPr>
            <w:r>
              <w:rPr>
                <w:rFonts w:ascii="Arial" w:hAnsi="Arial"/>
              </w:rPr>
              <w:t>20</w:t>
            </w:r>
            <w:r w:rsidR="001E25F7">
              <w:rPr>
                <w:rFonts w:ascii="Arial" w:hAnsi="Arial"/>
              </w:rPr>
              <w:t>2</w:t>
            </w:r>
            <w:r w:rsidR="00F21064">
              <w:rPr>
                <w:rFonts w:ascii="Arial" w:hAnsi="Arial"/>
              </w:rPr>
              <w:t>1</w:t>
            </w:r>
            <w:r w:rsidR="001E25F7">
              <w:rPr>
                <w:rFonts w:ascii="Arial" w:hAnsi="Arial"/>
              </w:rPr>
              <w:t>/</w:t>
            </w:r>
            <w:r w:rsidR="00F21064">
              <w:rPr>
                <w:rFonts w:ascii="Arial" w:hAnsi="Arial"/>
              </w:rPr>
              <w:t>01</w:t>
            </w:r>
            <w:r w:rsidR="00842030">
              <w:rPr>
                <w:rFonts w:ascii="Arial" w:hAnsi="Arial"/>
              </w:rPr>
              <w:t>/</w:t>
            </w:r>
            <w:r w:rsidR="004177D4">
              <w:rPr>
                <w:rFonts w:ascii="Arial" w:hAnsi="Arial"/>
              </w:rPr>
              <w:t>0</w:t>
            </w:r>
            <w:r w:rsidR="00F21064">
              <w:rPr>
                <w:rFonts w:ascii="Arial" w:hAnsi="Arial"/>
              </w:rPr>
              <w:t>6</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7C9C6" w14:textId="77777777" w:rsidR="009D6A8C" w:rsidRDefault="009D6A8C">
      <w:r>
        <w:separator/>
      </w:r>
    </w:p>
  </w:endnote>
  <w:endnote w:type="continuationSeparator" w:id="0">
    <w:p w14:paraId="5FE7A399" w14:textId="77777777" w:rsidR="009D6A8C" w:rsidRDefault="009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39CA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A9A8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0ACA" w14:textId="77777777" w:rsidR="009D6A8C" w:rsidRDefault="009D6A8C">
      <w:r>
        <w:separator/>
      </w:r>
    </w:p>
  </w:footnote>
  <w:footnote w:type="continuationSeparator" w:id="0">
    <w:p w14:paraId="1CE3BABB" w14:textId="77777777" w:rsidR="009D6A8C" w:rsidRDefault="009D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4"/>
  </w:num>
  <w:num w:numId="3">
    <w:abstractNumId w:val="18"/>
  </w:num>
  <w:num w:numId="4">
    <w:abstractNumId w:val="14"/>
  </w:num>
  <w:num w:numId="5">
    <w:abstractNumId w:val="3"/>
  </w:num>
  <w:num w:numId="6">
    <w:abstractNumId w:val="26"/>
  </w:num>
  <w:num w:numId="7">
    <w:abstractNumId w:val="9"/>
  </w:num>
  <w:num w:numId="8">
    <w:abstractNumId w:val="28"/>
  </w:num>
  <w:num w:numId="9">
    <w:abstractNumId w:val="22"/>
  </w:num>
  <w:num w:numId="10">
    <w:abstractNumId w:val="11"/>
  </w:num>
  <w:num w:numId="11">
    <w:abstractNumId w:val="15"/>
  </w:num>
  <w:num w:numId="12">
    <w:abstractNumId w:val="17"/>
  </w:num>
  <w:num w:numId="13">
    <w:abstractNumId w:val="30"/>
  </w:num>
  <w:num w:numId="14">
    <w:abstractNumId w:val="7"/>
  </w:num>
  <w:num w:numId="15">
    <w:abstractNumId w:val="10"/>
  </w:num>
  <w:num w:numId="16">
    <w:abstractNumId w:val="13"/>
  </w:num>
  <w:num w:numId="17">
    <w:abstractNumId w:val="20"/>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1"/>
  </w:num>
  <w:num w:numId="25">
    <w:abstractNumId w:val="5"/>
  </w:num>
  <w:num w:numId="26">
    <w:abstractNumId w:val="29"/>
  </w:num>
  <w:num w:numId="27">
    <w:abstractNumId w:val="31"/>
  </w:num>
  <w:num w:numId="28">
    <w:abstractNumId w:val="6"/>
  </w:num>
  <w:num w:numId="29">
    <w:abstractNumId w:val="12"/>
  </w:num>
  <w:num w:numId="30">
    <w:abstractNumId w:val="16"/>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30265"/>
    <w:rsid w:val="00033ABE"/>
    <w:rsid w:val="000462DC"/>
    <w:rsid w:val="000620B8"/>
    <w:rsid w:val="00094394"/>
    <w:rsid w:val="00094955"/>
    <w:rsid w:val="000A1679"/>
    <w:rsid w:val="000A1AB1"/>
    <w:rsid w:val="000B1BCE"/>
    <w:rsid w:val="000B2461"/>
    <w:rsid w:val="000B5711"/>
    <w:rsid w:val="000C008E"/>
    <w:rsid w:val="000C1488"/>
    <w:rsid w:val="000C228A"/>
    <w:rsid w:val="000C2C22"/>
    <w:rsid w:val="000C4603"/>
    <w:rsid w:val="000E548E"/>
    <w:rsid w:val="000F7CC4"/>
    <w:rsid w:val="00126180"/>
    <w:rsid w:val="0014081F"/>
    <w:rsid w:val="0014406D"/>
    <w:rsid w:val="00152273"/>
    <w:rsid w:val="00165CB6"/>
    <w:rsid w:val="001740BD"/>
    <w:rsid w:val="00185EC3"/>
    <w:rsid w:val="00196ACD"/>
    <w:rsid w:val="001A5AA6"/>
    <w:rsid w:val="001B28AF"/>
    <w:rsid w:val="001B67EA"/>
    <w:rsid w:val="001C2D52"/>
    <w:rsid w:val="001D0265"/>
    <w:rsid w:val="001D23CE"/>
    <w:rsid w:val="001E25F7"/>
    <w:rsid w:val="001F49A4"/>
    <w:rsid w:val="00220054"/>
    <w:rsid w:val="00223C6F"/>
    <w:rsid w:val="002377E3"/>
    <w:rsid w:val="00244B2C"/>
    <w:rsid w:val="00245BA2"/>
    <w:rsid w:val="00253AD3"/>
    <w:rsid w:val="0025435B"/>
    <w:rsid w:val="002601A7"/>
    <w:rsid w:val="00263DC1"/>
    <w:rsid w:val="00267035"/>
    <w:rsid w:val="00284B6B"/>
    <w:rsid w:val="00292B6D"/>
    <w:rsid w:val="002A1DC9"/>
    <w:rsid w:val="002B127E"/>
    <w:rsid w:val="002B63BD"/>
    <w:rsid w:val="002C281E"/>
    <w:rsid w:val="002D76E9"/>
    <w:rsid w:val="002E34E0"/>
    <w:rsid w:val="002F00EB"/>
    <w:rsid w:val="002F2114"/>
    <w:rsid w:val="002F72D5"/>
    <w:rsid w:val="003031CE"/>
    <w:rsid w:val="003058BE"/>
    <w:rsid w:val="00311869"/>
    <w:rsid w:val="003138E2"/>
    <w:rsid w:val="00315ED8"/>
    <w:rsid w:val="00347220"/>
    <w:rsid w:val="00347A87"/>
    <w:rsid w:val="003669A9"/>
    <w:rsid w:val="00371A64"/>
    <w:rsid w:val="00375D16"/>
    <w:rsid w:val="00387FA8"/>
    <w:rsid w:val="003B7A52"/>
    <w:rsid w:val="003C02A4"/>
    <w:rsid w:val="003C15A9"/>
    <w:rsid w:val="003D3F52"/>
    <w:rsid w:val="003E5061"/>
    <w:rsid w:val="003F1389"/>
    <w:rsid w:val="003F6706"/>
    <w:rsid w:val="00400696"/>
    <w:rsid w:val="004016FD"/>
    <w:rsid w:val="0040580F"/>
    <w:rsid w:val="004177D4"/>
    <w:rsid w:val="0042595D"/>
    <w:rsid w:val="00436BA3"/>
    <w:rsid w:val="00442270"/>
    <w:rsid w:val="00445648"/>
    <w:rsid w:val="00462376"/>
    <w:rsid w:val="0047210C"/>
    <w:rsid w:val="004822FC"/>
    <w:rsid w:val="004A0A0F"/>
    <w:rsid w:val="004A1C7B"/>
    <w:rsid w:val="004A2915"/>
    <w:rsid w:val="004A59B5"/>
    <w:rsid w:val="004B3D99"/>
    <w:rsid w:val="004C07A1"/>
    <w:rsid w:val="004E5AD5"/>
    <w:rsid w:val="004E5AFC"/>
    <w:rsid w:val="004F119A"/>
    <w:rsid w:val="004F66AB"/>
    <w:rsid w:val="00522B71"/>
    <w:rsid w:val="00542A53"/>
    <w:rsid w:val="00545268"/>
    <w:rsid w:val="005453C8"/>
    <w:rsid w:val="00554B84"/>
    <w:rsid w:val="005568F1"/>
    <w:rsid w:val="005625B1"/>
    <w:rsid w:val="005762A4"/>
    <w:rsid w:val="00576D3E"/>
    <w:rsid w:val="00584732"/>
    <w:rsid w:val="00590CBD"/>
    <w:rsid w:val="005A1DED"/>
    <w:rsid w:val="005B2B8E"/>
    <w:rsid w:val="005B3DB7"/>
    <w:rsid w:val="005C7EC2"/>
    <w:rsid w:val="005D11CD"/>
    <w:rsid w:val="005E15E0"/>
    <w:rsid w:val="005F6D8F"/>
    <w:rsid w:val="0061199A"/>
    <w:rsid w:val="006124C1"/>
    <w:rsid w:val="00620E7F"/>
    <w:rsid w:val="006222DD"/>
    <w:rsid w:val="00633ED3"/>
    <w:rsid w:val="00635E9A"/>
    <w:rsid w:val="00640E94"/>
    <w:rsid w:val="00645202"/>
    <w:rsid w:val="00650B94"/>
    <w:rsid w:val="006729E5"/>
    <w:rsid w:val="00692C83"/>
    <w:rsid w:val="0069326C"/>
    <w:rsid w:val="00694CC7"/>
    <w:rsid w:val="006A0B2A"/>
    <w:rsid w:val="006B36FB"/>
    <w:rsid w:val="006B458A"/>
    <w:rsid w:val="006C1E0C"/>
    <w:rsid w:val="006C7370"/>
    <w:rsid w:val="006C7657"/>
    <w:rsid w:val="006D1A06"/>
    <w:rsid w:val="006E08F1"/>
    <w:rsid w:val="006E3ACF"/>
    <w:rsid w:val="006F67D3"/>
    <w:rsid w:val="00724D53"/>
    <w:rsid w:val="0072797B"/>
    <w:rsid w:val="00732D30"/>
    <w:rsid w:val="00732E24"/>
    <w:rsid w:val="007345E3"/>
    <w:rsid w:val="0075799B"/>
    <w:rsid w:val="007613A6"/>
    <w:rsid w:val="007728D7"/>
    <w:rsid w:val="007736E2"/>
    <w:rsid w:val="007748C9"/>
    <w:rsid w:val="00774A0A"/>
    <w:rsid w:val="007836A2"/>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B2474"/>
    <w:rsid w:val="008B7E92"/>
    <w:rsid w:val="008C26E9"/>
    <w:rsid w:val="008C73C8"/>
    <w:rsid w:val="008D270C"/>
    <w:rsid w:val="008E3B35"/>
    <w:rsid w:val="008F19CC"/>
    <w:rsid w:val="008F30A1"/>
    <w:rsid w:val="00900A38"/>
    <w:rsid w:val="009055C8"/>
    <w:rsid w:val="00910E5D"/>
    <w:rsid w:val="00912C13"/>
    <w:rsid w:val="00922A46"/>
    <w:rsid w:val="00922FC1"/>
    <w:rsid w:val="00923162"/>
    <w:rsid w:val="00930B9E"/>
    <w:rsid w:val="00943782"/>
    <w:rsid w:val="009547B8"/>
    <w:rsid w:val="00972C40"/>
    <w:rsid w:val="00984D1E"/>
    <w:rsid w:val="0098583F"/>
    <w:rsid w:val="00993477"/>
    <w:rsid w:val="00994923"/>
    <w:rsid w:val="00997F6C"/>
    <w:rsid w:val="009A55A6"/>
    <w:rsid w:val="009D16F2"/>
    <w:rsid w:val="009D6A8C"/>
    <w:rsid w:val="009E14BB"/>
    <w:rsid w:val="009E6418"/>
    <w:rsid w:val="00A017A6"/>
    <w:rsid w:val="00A0532E"/>
    <w:rsid w:val="00A2251A"/>
    <w:rsid w:val="00A23C08"/>
    <w:rsid w:val="00A241EF"/>
    <w:rsid w:val="00A33D53"/>
    <w:rsid w:val="00A47914"/>
    <w:rsid w:val="00A66377"/>
    <w:rsid w:val="00A670A4"/>
    <w:rsid w:val="00A6779D"/>
    <w:rsid w:val="00A6786C"/>
    <w:rsid w:val="00A67EA2"/>
    <w:rsid w:val="00A73C0A"/>
    <w:rsid w:val="00A81B8A"/>
    <w:rsid w:val="00A843AF"/>
    <w:rsid w:val="00A85270"/>
    <w:rsid w:val="00A87D08"/>
    <w:rsid w:val="00A94A83"/>
    <w:rsid w:val="00A96F89"/>
    <w:rsid w:val="00AA175B"/>
    <w:rsid w:val="00AB142B"/>
    <w:rsid w:val="00AE2CC4"/>
    <w:rsid w:val="00AE46DB"/>
    <w:rsid w:val="00AE6EAA"/>
    <w:rsid w:val="00AF10EF"/>
    <w:rsid w:val="00B00844"/>
    <w:rsid w:val="00B17AEE"/>
    <w:rsid w:val="00B234CB"/>
    <w:rsid w:val="00B24671"/>
    <w:rsid w:val="00B249ED"/>
    <w:rsid w:val="00B3075C"/>
    <w:rsid w:val="00B45744"/>
    <w:rsid w:val="00B61330"/>
    <w:rsid w:val="00B6661A"/>
    <w:rsid w:val="00B77573"/>
    <w:rsid w:val="00B926A7"/>
    <w:rsid w:val="00B97A23"/>
    <w:rsid w:val="00BA6077"/>
    <w:rsid w:val="00BB29A2"/>
    <w:rsid w:val="00BB7B06"/>
    <w:rsid w:val="00BC51E5"/>
    <w:rsid w:val="00BD671E"/>
    <w:rsid w:val="00BE06CE"/>
    <w:rsid w:val="00BF1A4D"/>
    <w:rsid w:val="00C05A86"/>
    <w:rsid w:val="00C17B54"/>
    <w:rsid w:val="00C27A18"/>
    <w:rsid w:val="00C34CF9"/>
    <w:rsid w:val="00C358BE"/>
    <w:rsid w:val="00C429D7"/>
    <w:rsid w:val="00C463A8"/>
    <w:rsid w:val="00C518E4"/>
    <w:rsid w:val="00C6383E"/>
    <w:rsid w:val="00C701F8"/>
    <w:rsid w:val="00C8589C"/>
    <w:rsid w:val="00C934D3"/>
    <w:rsid w:val="00C93831"/>
    <w:rsid w:val="00CA5F81"/>
    <w:rsid w:val="00CB4136"/>
    <w:rsid w:val="00CB5D66"/>
    <w:rsid w:val="00CB791E"/>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14DD"/>
    <w:rsid w:val="00D859EC"/>
    <w:rsid w:val="00D861FE"/>
    <w:rsid w:val="00DA25CF"/>
    <w:rsid w:val="00DD1AB4"/>
    <w:rsid w:val="00DD50CB"/>
    <w:rsid w:val="00DF5F05"/>
    <w:rsid w:val="00E02B18"/>
    <w:rsid w:val="00E24ABB"/>
    <w:rsid w:val="00E27E4F"/>
    <w:rsid w:val="00E351EE"/>
    <w:rsid w:val="00E36141"/>
    <w:rsid w:val="00E3730E"/>
    <w:rsid w:val="00E43BC0"/>
    <w:rsid w:val="00E61B41"/>
    <w:rsid w:val="00E63ACF"/>
    <w:rsid w:val="00E63CFA"/>
    <w:rsid w:val="00E7727D"/>
    <w:rsid w:val="00E83E58"/>
    <w:rsid w:val="00E84EBC"/>
    <w:rsid w:val="00E965C9"/>
    <w:rsid w:val="00EE4168"/>
    <w:rsid w:val="00F0055B"/>
    <w:rsid w:val="00F1359E"/>
    <w:rsid w:val="00F1704B"/>
    <w:rsid w:val="00F21064"/>
    <w:rsid w:val="00F30EE0"/>
    <w:rsid w:val="00F411CB"/>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5785</TotalTime>
  <Pages>6</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136</cp:revision>
  <cp:lastPrinted>2004-05-10T18:28:00Z</cp:lastPrinted>
  <dcterms:created xsi:type="dcterms:W3CDTF">2018-02-01T18:59:00Z</dcterms:created>
  <dcterms:modified xsi:type="dcterms:W3CDTF">2021-01-06T20:54:00Z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