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BF855" w14:textId="20D2AB0C" w:rsidR="002E1F0C" w:rsidRDefault="002E1F0C">
      <w:pPr>
        <w:ind w:left="-540"/>
        <w:rPr>
          <w:sz w:val="36"/>
          <w:szCs w:val="36"/>
        </w:rPr>
      </w:pPr>
      <w:r>
        <w:rPr>
          <w:noProof/>
          <w:color w:val="000000"/>
          <w:sz w:val="36"/>
          <w:szCs w:val="36"/>
        </w:rPr>
        <w:drawing>
          <wp:inline distT="0" distB="0" distL="0" distR="0" wp14:anchorId="4CF8C0DA" wp14:editId="7E0B4EB2">
            <wp:extent cx="2936296" cy="1108349"/>
            <wp:effectExtent l="0" t="0" r="0" b="0"/>
            <wp:docPr id="2" name="image1.png" descr="A picture containing outdoor objec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outdoor object&#10;&#10;Description automatically generated"/>
                    <pic:cNvPicPr preferRelativeResize="0"/>
                  </pic:nvPicPr>
                  <pic:blipFill>
                    <a:blip r:embed="rId7"/>
                    <a:srcRect/>
                    <a:stretch>
                      <a:fillRect/>
                    </a:stretch>
                  </pic:blipFill>
                  <pic:spPr>
                    <a:xfrm>
                      <a:off x="0" y="0"/>
                      <a:ext cx="2936296" cy="1108349"/>
                    </a:xfrm>
                    <a:prstGeom prst="rect">
                      <a:avLst/>
                    </a:prstGeom>
                    <a:ln/>
                  </pic:spPr>
                </pic:pic>
              </a:graphicData>
            </a:graphic>
          </wp:inline>
        </w:drawing>
      </w:r>
    </w:p>
    <w:p w14:paraId="329CD540" w14:textId="381D6C99" w:rsidR="009A0867" w:rsidRDefault="004E4862">
      <w:pPr>
        <w:ind w:left="-540"/>
        <w:rPr>
          <w:sz w:val="36"/>
          <w:szCs w:val="36"/>
        </w:rPr>
      </w:pPr>
      <w:r>
        <w:rPr>
          <w:sz w:val="36"/>
          <w:szCs w:val="36"/>
        </w:rPr>
        <w:t>Press:</w:t>
      </w:r>
    </w:p>
    <w:p w14:paraId="3E9144BF" w14:textId="3C6A1ADC" w:rsidR="00A60520" w:rsidRDefault="00A60520" w:rsidP="00A60520">
      <w:pPr>
        <w:shd w:val="clear" w:color="auto" w:fill="FFFFFF"/>
        <w:spacing w:after="150" w:line="240" w:lineRule="auto"/>
        <w:outlineLvl w:val="0"/>
        <w:rPr>
          <w:rFonts w:ascii="Helvetica" w:eastAsia="Times New Roman" w:hAnsi="Helvetica" w:cs="Helvetica"/>
          <w:color w:val="373737"/>
          <w:kern w:val="36"/>
          <w:sz w:val="60"/>
          <w:szCs w:val="60"/>
          <w:lang w:eastAsia="en-GB"/>
        </w:rPr>
      </w:pPr>
      <w:proofErr w:type="spellStart"/>
      <w:r>
        <w:rPr>
          <w:rFonts w:ascii="Helvetica" w:eastAsia="Times New Roman" w:hAnsi="Helvetica" w:cs="Helvetica"/>
          <w:color w:val="373737"/>
          <w:kern w:val="36"/>
          <w:sz w:val="60"/>
          <w:szCs w:val="60"/>
          <w:lang w:eastAsia="en-GB"/>
        </w:rPr>
        <w:t>BetterLife’s</w:t>
      </w:r>
      <w:proofErr w:type="spellEnd"/>
      <w:r>
        <w:rPr>
          <w:rFonts w:ascii="Helvetica" w:eastAsia="Times New Roman" w:hAnsi="Helvetica" w:cs="Helvetica"/>
          <w:color w:val="373737"/>
          <w:kern w:val="36"/>
          <w:sz w:val="60"/>
          <w:szCs w:val="60"/>
          <w:lang w:eastAsia="en-GB"/>
        </w:rPr>
        <w:t xml:space="preserve"> Recent Acquisition: </w:t>
      </w:r>
      <w:r w:rsidR="002E1F0C">
        <w:rPr>
          <w:rFonts w:ascii="Helvetica" w:eastAsia="Times New Roman" w:hAnsi="Helvetica" w:cs="Helvetica"/>
          <w:color w:val="373737"/>
          <w:kern w:val="36"/>
          <w:sz w:val="60"/>
          <w:szCs w:val="60"/>
          <w:lang w:eastAsia="en-GB"/>
        </w:rPr>
        <w:t>T</w:t>
      </w:r>
      <w:r>
        <w:rPr>
          <w:rFonts w:ascii="Helvetica" w:eastAsia="Times New Roman" w:hAnsi="Helvetica" w:cs="Helvetica"/>
          <w:color w:val="373737"/>
          <w:kern w:val="36"/>
          <w:sz w:val="60"/>
          <w:szCs w:val="60"/>
          <w:lang w:eastAsia="en-GB"/>
        </w:rPr>
        <w:t>aking LSD from Experimental to a Major Therapeutic</w:t>
      </w:r>
      <w:r w:rsidR="007B3E00">
        <w:rPr>
          <w:rFonts w:ascii="Helvetica" w:eastAsia="Times New Roman" w:hAnsi="Helvetica" w:cs="Helvetica"/>
          <w:color w:val="373737"/>
          <w:kern w:val="36"/>
          <w:sz w:val="60"/>
          <w:szCs w:val="60"/>
          <w:lang w:eastAsia="en-GB"/>
        </w:rPr>
        <w:t xml:space="preserve"> Application</w:t>
      </w:r>
    </w:p>
    <w:p w14:paraId="45ADBEC2" w14:textId="7531A082" w:rsidR="009A0867" w:rsidRDefault="009A0867">
      <w:pPr>
        <w:ind w:left="-540"/>
        <w:rPr>
          <w:sz w:val="36"/>
          <w:szCs w:val="36"/>
        </w:rPr>
      </w:pPr>
    </w:p>
    <w:p w14:paraId="357BEF65" w14:textId="7C508920" w:rsidR="009A0867" w:rsidRDefault="004E4862">
      <w:pPr>
        <w:ind w:left="-540" w:right="-694"/>
        <w:jc w:val="both"/>
        <w:rPr>
          <w:sz w:val="24"/>
          <w:szCs w:val="24"/>
        </w:rPr>
      </w:pPr>
      <w:r>
        <w:rPr>
          <w:sz w:val="24"/>
          <w:szCs w:val="24"/>
        </w:rPr>
        <w:t xml:space="preserve">BetterLife Pharma Inc. (“BetterLife” or the “Company”) (CSE: BETR / OTCQB: BETRF / FRA: NPAU), an emerging biotech focused on the development and commercialization of </w:t>
      </w:r>
      <w:r w:rsidR="00A60520">
        <w:rPr>
          <w:sz w:val="24"/>
          <w:szCs w:val="24"/>
        </w:rPr>
        <w:t xml:space="preserve">cutting edge </w:t>
      </w:r>
      <w:r>
        <w:rPr>
          <w:sz w:val="24"/>
          <w:szCs w:val="24"/>
        </w:rPr>
        <w:t xml:space="preserve">treatments, today announced the value </w:t>
      </w:r>
      <w:r w:rsidR="005D6441">
        <w:rPr>
          <w:sz w:val="24"/>
          <w:szCs w:val="24"/>
        </w:rPr>
        <w:t xml:space="preserve">proposition </w:t>
      </w:r>
      <w:r>
        <w:rPr>
          <w:sz w:val="24"/>
          <w:szCs w:val="24"/>
        </w:rPr>
        <w:t>o</w:t>
      </w:r>
      <w:r w:rsidR="005D6441">
        <w:rPr>
          <w:sz w:val="24"/>
          <w:szCs w:val="24"/>
        </w:rPr>
        <w:t>f</w:t>
      </w:r>
      <w:r>
        <w:rPr>
          <w:sz w:val="24"/>
          <w:szCs w:val="24"/>
        </w:rPr>
        <w:t xml:space="preserve"> its acquisition of Transcend Biodynamics</w:t>
      </w:r>
      <w:r w:rsidR="00E806B2">
        <w:rPr>
          <w:sz w:val="24"/>
          <w:szCs w:val="24"/>
        </w:rPr>
        <w:t>, LLC</w:t>
      </w:r>
      <w:r w:rsidR="005D6441">
        <w:rPr>
          <w:sz w:val="24"/>
          <w:szCs w:val="24"/>
        </w:rPr>
        <w:t>’s</w:t>
      </w:r>
      <w:r w:rsidR="00E806B2">
        <w:rPr>
          <w:sz w:val="24"/>
          <w:szCs w:val="24"/>
        </w:rPr>
        <w:t xml:space="preserve"> (“Transcend”)</w:t>
      </w:r>
      <w:r>
        <w:rPr>
          <w:sz w:val="24"/>
          <w:szCs w:val="24"/>
        </w:rPr>
        <w:t xml:space="preserve"> manufacturing patent “Process of synthesizing 2-Bromo-LSD</w:t>
      </w:r>
      <w:r w:rsidR="00E806B2">
        <w:rPr>
          <w:sz w:val="24"/>
          <w:szCs w:val="24"/>
        </w:rPr>
        <w:t>.</w:t>
      </w:r>
      <w:r>
        <w:rPr>
          <w:sz w:val="24"/>
          <w:szCs w:val="24"/>
        </w:rPr>
        <w:t xml:space="preserve">”  </w:t>
      </w:r>
    </w:p>
    <w:p w14:paraId="3B0B076D" w14:textId="5ADE6D54" w:rsidR="009A0867" w:rsidRDefault="004E4862" w:rsidP="00A60520">
      <w:pPr>
        <w:ind w:left="-540" w:right="-694"/>
        <w:jc w:val="both"/>
        <w:rPr>
          <w:sz w:val="24"/>
          <w:szCs w:val="24"/>
        </w:rPr>
      </w:pPr>
      <w:r>
        <w:rPr>
          <w:sz w:val="24"/>
          <w:szCs w:val="24"/>
        </w:rPr>
        <w:t xml:space="preserve">While the medicalization of psychedelics is evolving and gaining momentum at an extraordinary pace, </w:t>
      </w:r>
      <w:r w:rsidR="00CA1155">
        <w:rPr>
          <w:sz w:val="24"/>
          <w:szCs w:val="24"/>
        </w:rPr>
        <w:t>such therapeutics still face</w:t>
      </w:r>
      <w:r>
        <w:rPr>
          <w:sz w:val="24"/>
          <w:szCs w:val="24"/>
        </w:rPr>
        <w:t xml:space="preserve"> regulatory hurdles in the areas of manufacturing, formulating, and ultimately dispensing or the rescheduling of Schedule I drugs to patients. Attaining the goals of any given psychedelic-based </w:t>
      </w:r>
      <w:r w:rsidR="001E5C55">
        <w:rPr>
          <w:sz w:val="24"/>
          <w:szCs w:val="24"/>
        </w:rPr>
        <w:t>endeavour</w:t>
      </w:r>
      <w:r>
        <w:rPr>
          <w:sz w:val="24"/>
          <w:szCs w:val="24"/>
        </w:rPr>
        <w:t xml:space="preserve"> will require the removal of federally scheduled enforcement status and global United Nations drug conventions of which the United States and Canada are both participants. Authors of "</w:t>
      </w:r>
      <w:hyperlink r:id="rId8">
        <w:r>
          <w:rPr>
            <w:color w:val="1155CC"/>
            <w:sz w:val="24"/>
            <w:szCs w:val="24"/>
            <w:u w:val="single"/>
          </w:rPr>
          <w:t>An ethical exploration of barriers to research on controlled drugs</w:t>
        </w:r>
      </w:hyperlink>
      <w:r>
        <w:rPr>
          <w:sz w:val="24"/>
          <w:szCs w:val="24"/>
        </w:rPr>
        <w:t>" in the American Journal of Bioethics ha</w:t>
      </w:r>
      <w:r w:rsidR="005D6441">
        <w:rPr>
          <w:sz w:val="24"/>
          <w:szCs w:val="24"/>
        </w:rPr>
        <w:t>ve</w:t>
      </w:r>
      <w:r>
        <w:rPr>
          <w:sz w:val="24"/>
          <w:szCs w:val="24"/>
        </w:rPr>
        <w:t xml:space="preserve"> been quoted stating, "the classification of drugs as Schedule I amounts to an unsurmountable barrier to research."  LSD has been federally scheduled since 1970</w:t>
      </w:r>
      <w:r w:rsidR="00D83925">
        <w:rPr>
          <w:sz w:val="24"/>
          <w:szCs w:val="24"/>
        </w:rPr>
        <w:t>, and t</w:t>
      </w:r>
      <w:r>
        <w:rPr>
          <w:sz w:val="24"/>
          <w:szCs w:val="24"/>
        </w:rPr>
        <w:t>he rescheduling progress is subject to the</w:t>
      </w:r>
      <w:r w:rsidR="00F26082">
        <w:rPr>
          <w:sz w:val="24"/>
          <w:szCs w:val="24"/>
        </w:rPr>
        <w:t xml:space="preserve"> </w:t>
      </w:r>
      <w:r>
        <w:rPr>
          <w:sz w:val="24"/>
          <w:szCs w:val="24"/>
        </w:rPr>
        <w:t xml:space="preserve"> FDA's abuse potential assessment that will include an analysis of the </w:t>
      </w:r>
      <w:hyperlink r:id="rId9">
        <w:r>
          <w:rPr>
            <w:color w:val="1155CC"/>
            <w:sz w:val="24"/>
            <w:szCs w:val="24"/>
            <w:u w:val="single"/>
          </w:rPr>
          <w:t>8 factors of the Controlled Substance Act</w:t>
        </w:r>
      </w:hyperlink>
      <w:r>
        <w:rPr>
          <w:sz w:val="24"/>
          <w:szCs w:val="24"/>
        </w:rPr>
        <w:t xml:space="preserve">.  It is important to note that rescheduling, while removing a substance from Schedule 1, still implies a reduction to a lesser schedule, not a removal from the </w:t>
      </w:r>
      <w:r w:rsidR="005D6441">
        <w:rPr>
          <w:sz w:val="24"/>
          <w:szCs w:val="24"/>
        </w:rPr>
        <w:t>C</w:t>
      </w:r>
      <w:r>
        <w:rPr>
          <w:sz w:val="24"/>
          <w:szCs w:val="24"/>
        </w:rPr>
        <w:t xml:space="preserve">ontrolled </w:t>
      </w:r>
      <w:r w:rsidR="005D6441">
        <w:rPr>
          <w:sz w:val="24"/>
          <w:szCs w:val="24"/>
        </w:rPr>
        <w:t>S</w:t>
      </w:r>
      <w:r>
        <w:rPr>
          <w:sz w:val="24"/>
          <w:szCs w:val="24"/>
        </w:rPr>
        <w:t xml:space="preserve">ubstance </w:t>
      </w:r>
      <w:r w:rsidR="005D6441">
        <w:rPr>
          <w:sz w:val="24"/>
          <w:szCs w:val="24"/>
        </w:rPr>
        <w:t>A</w:t>
      </w:r>
      <w:r>
        <w:rPr>
          <w:sz w:val="24"/>
          <w:szCs w:val="24"/>
        </w:rPr>
        <w:t xml:space="preserve">ct (CSA).  </w:t>
      </w:r>
      <w:r>
        <w:rPr>
          <w:sz w:val="24"/>
          <w:szCs w:val="24"/>
        </w:rPr>
        <w:br/>
      </w:r>
      <w:r>
        <w:rPr>
          <w:sz w:val="24"/>
          <w:szCs w:val="24"/>
        </w:rPr>
        <w:br/>
        <w:t>“</w:t>
      </w:r>
      <w:proofErr w:type="spellStart"/>
      <w:r>
        <w:rPr>
          <w:sz w:val="24"/>
          <w:szCs w:val="24"/>
        </w:rPr>
        <w:t>BetterLife’s</w:t>
      </w:r>
      <w:proofErr w:type="spellEnd"/>
      <w:r>
        <w:rPr>
          <w:sz w:val="24"/>
          <w:szCs w:val="24"/>
        </w:rPr>
        <w:t xml:space="preserve"> acquisition of </w:t>
      </w:r>
      <w:proofErr w:type="spellStart"/>
      <w:r>
        <w:rPr>
          <w:sz w:val="24"/>
          <w:szCs w:val="24"/>
        </w:rPr>
        <w:t>Transcend’s</w:t>
      </w:r>
      <w:proofErr w:type="spellEnd"/>
      <w:r>
        <w:rPr>
          <w:sz w:val="24"/>
          <w:szCs w:val="24"/>
        </w:rPr>
        <w:t xml:space="preserve"> intellectual property allows us a rapid </w:t>
      </w:r>
      <w:r w:rsidR="00CA1155">
        <w:rPr>
          <w:sz w:val="24"/>
          <w:szCs w:val="24"/>
        </w:rPr>
        <w:t xml:space="preserve">pathway forward </w:t>
      </w:r>
      <w:r>
        <w:rPr>
          <w:sz w:val="24"/>
          <w:szCs w:val="24"/>
        </w:rPr>
        <w:t xml:space="preserve">to drug manufacturing and human clinical studies without the regulatory hurdles seen elsewhere in this industry,” stated </w:t>
      </w:r>
      <w:proofErr w:type="spellStart"/>
      <w:r>
        <w:rPr>
          <w:sz w:val="24"/>
          <w:szCs w:val="24"/>
        </w:rPr>
        <w:t>Dr.</w:t>
      </w:r>
      <w:proofErr w:type="spellEnd"/>
      <w:r>
        <w:rPr>
          <w:sz w:val="24"/>
          <w:szCs w:val="24"/>
        </w:rPr>
        <w:t xml:space="preserve"> Ahmad Doroudian, Chief Executive Officer of BetterLife. “W</w:t>
      </w:r>
      <w:r w:rsidR="00CA1155">
        <w:rPr>
          <w:sz w:val="24"/>
          <w:szCs w:val="24"/>
        </w:rPr>
        <w:t>ith the acquisition of this intellectual property, w</w:t>
      </w:r>
      <w:r>
        <w:rPr>
          <w:sz w:val="24"/>
          <w:szCs w:val="24"/>
        </w:rPr>
        <w:t xml:space="preserve">e have solved the problem that has plagued </w:t>
      </w:r>
      <w:r w:rsidR="00CA1155">
        <w:rPr>
          <w:sz w:val="24"/>
          <w:szCs w:val="24"/>
        </w:rPr>
        <w:t>p</w:t>
      </w:r>
      <w:r>
        <w:rPr>
          <w:sz w:val="24"/>
          <w:szCs w:val="24"/>
        </w:rPr>
        <w:t>sychedelic therapies for so many decades.  Our highly experienced clinical team will be placing 2-Bromo-LSD into multi-</w:t>
      </w:r>
      <w:proofErr w:type="spellStart"/>
      <w:r>
        <w:rPr>
          <w:sz w:val="24"/>
          <w:szCs w:val="24"/>
        </w:rPr>
        <w:t>center</w:t>
      </w:r>
      <w:proofErr w:type="spellEnd"/>
      <w:r>
        <w:rPr>
          <w:sz w:val="24"/>
          <w:szCs w:val="24"/>
        </w:rPr>
        <w:t xml:space="preserve"> United States clinical research locations without restriction.”</w:t>
      </w:r>
      <w:r w:rsidR="00A60520">
        <w:rPr>
          <w:sz w:val="24"/>
          <w:szCs w:val="24"/>
        </w:rPr>
        <w:t xml:space="preserve"> </w:t>
      </w:r>
    </w:p>
    <w:p w14:paraId="3128AA2E" w14:textId="56F049B8" w:rsidR="009A0867" w:rsidRDefault="004E4862">
      <w:pPr>
        <w:ind w:left="-540" w:right="-694"/>
        <w:jc w:val="both"/>
        <w:rPr>
          <w:sz w:val="24"/>
          <w:szCs w:val="24"/>
        </w:rPr>
      </w:pPr>
      <w:r>
        <w:rPr>
          <w:sz w:val="24"/>
          <w:szCs w:val="24"/>
        </w:rPr>
        <w:t xml:space="preserve">Patrick </w:t>
      </w:r>
      <w:proofErr w:type="spellStart"/>
      <w:r>
        <w:rPr>
          <w:sz w:val="24"/>
          <w:szCs w:val="24"/>
        </w:rPr>
        <w:t>Kroupa</w:t>
      </w:r>
      <w:proofErr w:type="spellEnd"/>
      <w:r>
        <w:rPr>
          <w:sz w:val="24"/>
          <w:szCs w:val="24"/>
        </w:rPr>
        <w:t xml:space="preserve">, </w:t>
      </w:r>
      <w:proofErr w:type="spellStart"/>
      <w:r>
        <w:rPr>
          <w:sz w:val="24"/>
          <w:szCs w:val="24"/>
        </w:rPr>
        <w:t>Transcend’s</w:t>
      </w:r>
      <w:proofErr w:type="spellEnd"/>
      <w:r>
        <w:rPr>
          <w:sz w:val="24"/>
          <w:szCs w:val="24"/>
        </w:rPr>
        <w:t xml:space="preserve"> President shares, “Having spent decades working with psychedelic molecules which are remarkably effective at addressing addiction and mental health disorders, it can be heart-breaking to witness the disconnect between what is, and what should be. The regulatory hurdles and barriers associated with administering psychedelics to human subjects are staggering. I'm very excited by </w:t>
      </w:r>
      <w:r>
        <w:rPr>
          <w:sz w:val="24"/>
          <w:szCs w:val="24"/>
        </w:rPr>
        <w:lastRenderedPageBreak/>
        <w:t xml:space="preserve">the opportunities presented by </w:t>
      </w:r>
      <w:proofErr w:type="spellStart"/>
      <w:r>
        <w:rPr>
          <w:sz w:val="24"/>
          <w:szCs w:val="24"/>
        </w:rPr>
        <w:t>BetterLife's</w:t>
      </w:r>
      <w:proofErr w:type="spellEnd"/>
      <w:r>
        <w:rPr>
          <w:sz w:val="24"/>
          <w:szCs w:val="24"/>
        </w:rPr>
        <w:t xml:space="preserve"> experienced clinical research team enabling Transcend's novel therapeutics to reach human beings in need of help.”</w:t>
      </w:r>
    </w:p>
    <w:p w14:paraId="0015686D" w14:textId="2215217C" w:rsidR="009A0867" w:rsidRDefault="004E4862">
      <w:pPr>
        <w:ind w:left="-540" w:right="-694"/>
        <w:jc w:val="both"/>
        <w:rPr>
          <w:sz w:val="24"/>
          <w:szCs w:val="24"/>
        </w:rPr>
      </w:pPr>
      <w:r>
        <w:rPr>
          <w:sz w:val="24"/>
          <w:szCs w:val="24"/>
        </w:rPr>
        <w:t xml:space="preserve">2-Bromo-LSD is a nontoxic second-generation LSD-derived molecule that mimics the therapeutic potential of LSD, without the psychedelic effects or hallucinations. </w:t>
      </w:r>
      <w:proofErr w:type="spellStart"/>
      <w:r>
        <w:rPr>
          <w:sz w:val="24"/>
          <w:szCs w:val="24"/>
        </w:rPr>
        <w:t>Transcend’s</w:t>
      </w:r>
      <w:proofErr w:type="spellEnd"/>
      <w:r>
        <w:rPr>
          <w:sz w:val="24"/>
          <w:szCs w:val="24"/>
        </w:rPr>
        <w:t xml:space="preserve"> patented process</w:t>
      </w:r>
      <w:r w:rsidR="00CA1155">
        <w:rPr>
          <w:sz w:val="24"/>
          <w:szCs w:val="24"/>
        </w:rPr>
        <w:t xml:space="preserve"> which</w:t>
      </w:r>
      <w:r>
        <w:rPr>
          <w:sz w:val="24"/>
          <w:szCs w:val="24"/>
        </w:rPr>
        <w:t xml:space="preserve"> allows for cost effective manufacturing of 2-Bromo-LSD without the need to make LSD makes Transcend the only entity with the ability to synthesize 2-Bromo-LSD without the regulatory hurdles of handling a Schedule 1 controlled substance. </w:t>
      </w:r>
    </w:p>
    <w:p w14:paraId="3DF0A3C4" w14:textId="77777777" w:rsidR="009A0867" w:rsidRDefault="004E4862">
      <w:pPr>
        <w:spacing w:after="120" w:line="240" w:lineRule="auto"/>
        <w:ind w:left="-540" w:right="-694"/>
        <w:jc w:val="both"/>
        <w:rPr>
          <w:b/>
          <w:sz w:val="24"/>
          <w:szCs w:val="24"/>
        </w:rPr>
      </w:pPr>
      <w:r>
        <w:rPr>
          <w:b/>
          <w:sz w:val="24"/>
          <w:szCs w:val="24"/>
        </w:rPr>
        <w:t>About BetterLife Pharma Inc.</w:t>
      </w:r>
    </w:p>
    <w:p w14:paraId="53C7792F" w14:textId="77777777" w:rsidR="009A0867" w:rsidRDefault="004E4862">
      <w:pPr>
        <w:spacing w:after="120" w:line="240" w:lineRule="auto"/>
        <w:ind w:left="-540" w:right="-694"/>
        <w:jc w:val="both"/>
        <w:rPr>
          <w:sz w:val="24"/>
          <w:szCs w:val="24"/>
        </w:rPr>
      </w:pPr>
      <w:r>
        <w:rPr>
          <w:sz w:val="24"/>
          <w:szCs w:val="24"/>
        </w:rPr>
        <w:t xml:space="preserve">BetterLife Pharma Inc. is an emerging biotechnology company engaged in the development and commercialization of therapeutic pharmaceuticals as well as drug delivery platform technologies. BetterLife is refining and developing drug candidates from a broad set of complementary interferon-based technologies which have the potential to engage the immune system to fight virus infections, such as the coronavirus disease (COVID-19) and human papillomavirus (HPV), and/or to directly inhibit </w:t>
      </w:r>
      <w:proofErr w:type="spellStart"/>
      <w:r>
        <w:rPr>
          <w:sz w:val="24"/>
          <w:szCs w:val="24"/>
        </w:rPr>
        <w:t>tumors</w:t>
      </w:r>
      <w:proofErr w:type="spellEnd"/>
      <w:r>
        <w:rPr>
          <w:sz w:val="24"/>
          <w:szCs w:val="24"/>
        </w:rPr>
        <w:t xml:space="preserve"> to treat specific types of cancer. </w:t>
      </w:r>
    </w:p>
    <w:p w14:paraId="2680D7E4" w14:textId="38C37624" w:rsidR="009A0867" w:rsidRDefault="004E4862">
      <w:pPr>
        <w:spacing w:after="120" w:line="240" w:lineRule="auto"/>
        <w:ind w:left="-540" w:right="-694"/>
        <w:jc w:val="both"/>
        <w:rPr>
          <w:sz w:val="24"/>
          <w:szCs w:val="24"/>
        </w:rPr>
      </w:pPr>
      <w:r>
        <w:rPr>
          <w:sz w:val="24"/>
          <w:szCs w:val="24"/>
        </w:rPr>
        <w:t xml:space="preserve">For further information please visit </w:t>
      </w:r>
      <w:hyperlink r:id="rId10" w:history="1">
        <w:r w:rsidR="00A60520" w:rsidRPr="007E6031">
          <w:rPr>
            <w:rStyle w:val="Hyperlink"/>
            <w:sz w:val="24"/>
            <w:szCs w:val="24"/>
          </w:rPr>
          <w:t>www.abetterlifephama.com</w:t>
        </w:r>
      </w:hyperlink>
      <w:r>
        <w:rPr>
          <w:sz w:val="24"/>
          <w:szCs w:val="24"/>
        </w:rPr>
        <w:t xml:space="preserve">. </w:t>
      </w:r>
    </w:p>
    <w:p w14:paraId="37E71B2C" w14:textId="77777777" w:rsidR="009A0867" w:rsidRDefault="004E4862">
      <w:pPr>
        <w:ind w:left="-540" w:right="-694"/>
        <w:jc w:val="both"/>
        <w:rPr>
          <w:b/>
          <w:sz w:val="24"/>
          <w:szCs w:val="24"/>
          <w:highlight w:val="white"/>
        </w:rPr>
      </w:pPr>
      <w:r>
        <w:rPr>
          <w:b/>
          <w:sz w:val="24"/>
          <w:szCs w:val="24"/>
          <w:highlight w:val="white"/>
        </w:rPr>
        <w:t>About Transcend Biodynamics</w:t>
      </w:r>
    </w:p>
    <w:p w14:paraId="380A3C8E" w14:textId="77777777" w:rsidR="009A0867" w:rsidRDefault="004E4862">
      <w:pPr>
        <w:ind w:left="-540" w:right="-694"/>
        <w:jc w:val="both"/>
        <w:rPr>
          <w:sz w:val="24"/>
          <w:szCs w:val="24"/>
        </w:rPr>
      </w:pPr>
      <w:r>
        <w:rPr>
          <w:sz w:val="24"/>
          <w:szCs w:val="24"/>
        </w:rPr>
        <w:t xml:space="preserve">Transcend is a research focused biotechnology company creating and clinically validating an evolving IP portfolio of novel molecules and drug delivery mechanisms for clinical trials and commercialization. Transcend is focused on developing second generation psychedelic compounds, peptides, pro-drugs, and nutraceuticals to address unmet needs within mental health, wellness, and anti-aging industries. </w:t>
      </w:r>
    </w:p>
    <w:p w14:paraId="7BC1D7B1" w14:textId="77777777" w:rsidR="009A0867" w:rsidRPr="007D03C0" w:rsidRDefault="004E4862">
      <w:pPr>
        <w:spacing w:after="120" w:line="240" w:lineRule="auto"/>
        <w:ind w:left="-540" w:right="-694"/>
        <w:jc w:val="both"/>
        <w:rPr>
          <w:rFonts w:asciiTheme="minorHAnsi" w:eastAsia="Arial" w:hAnsiTheme="minorHAnsi" w:cstheme="minorHAnsi"/>
          <w:b/>
          <w:sz w:val="24"/>
          <w:szCs w:val="24"/>
        </w:rPr>
      </w:pPr>
      <w:r w:rsidRPr="007D03C0">
        <w:rPr>
          <w:rFonts w:asciiTheme="minorHAnsi" w:eastAsia="Arial" w:hAnsiTheme="minorHAnsi" w:cstheme="minorHAnsi"/>
          <w:b/>
          <w:sz w:val="24"/>
          <w:szCs w:val="24"/>
        </w:rPr>
        <w:t>Contact Information:</w:t>
      </w:r>
    </w:p>
    <w:p w14:paraId="567CA5C6" w14:textId="77777777" w:rsidR="009A0867" w:rsidRPr="007D03C0" w:rsidRDefault="004E4862">
      <w:pPr>
        <w:spacing w:after="120" w:line="240" w:lineRule="auto"/>
        <w:ind w:left="-540" w:right="-694"/>
        <w:rPr>
          <w:rFonts w:asciiTheme="minorHAnsi" w:eastAsia="Arial" w:hAnsiTheme="minorHAnsi" w:cstheme="minorHAnsi"/>
          <w:sz w:val="24"/>
          <w:szCs w:val="24"/>
        </w:rPr>
      </w:pPr>
      <w:r w:rsidRPr="007D03C0">
        <w:rPr>
          <w:rFonts w:asciiTheme="minorHAnsi" w:eastAsia="Arial" w:hAnsiTheme="minorHAnsi" w:cstheme="minorHAnsi"/>
          <w:b/>
          <w:sz w:val="24"/>
          <w:szCs w:val="24"/>
        </w:rPr>
        <w:t>Ahmad Doroudian</w:t>
      </w:r>
      <w:r w:rsidRPr="007D03C0">
        <w:rPr>
          <w:rFonts w:asciiTheme="minorHAnsi" w:eastAsia="Arial" w:hAnsiTheme="minorHAnsi" w:cstheme="minorHAnsi"/>
          <w:sz w:val="24"/>
          <w:szCs w:val="24"/>
        </w:rPr>
        <w:t>, Chief Executive Officer</w:t>
      </w:r>
      <w:r w:rsidRPr="007D03C0">
        <w:rPr>
          <w:rFonts w:asciiTheme="minorHAnsi" w:eastAsia="Arial" w:hAnsiTheme="minorHAnsi" w:cstheme="minorHAnsi"/>
          <w:sz w:val="24"/>
          <w:szCs w:val="24"/>
        </w:rPr>
        <w:br/>
        <w:t xml:space="preserve">Email: </w:t>
      </w:r>
      <w:hyperlink r:id="rId11">
        <w:r w:rsidRPr="007D03C0">
          <w:rPr>
            <w:rFonts w:asciiTheme="minorHAnsi" w:eastAsia="Arial" w:hAnsiTheme="minorHAnsi" w:cstheme="minorHAnsi"/>
            <w:color w:val="0563C1"/>
            <w:sz w:val="24"/>
            <w:szCs w:val="24"/>
            <w:u w:val="single"/>
          </w:rPr>
          <w:t>Ahmad.Doroudian@blifepharma.com</w:t>
        </w:r>
      </w:hyperlink>
      <w:r w:rsidRPr="007D03C0">
        <w:rPr>
          <w:rFonts w:asciiTheme="minorHAnsi" w:eastAsia="Arial" w:hAnsiTheme="minorHAnsi" w:cstheme="minorHAnsi"/>
          <w:sz w:val="24"/>
          <w:szCs w:val="24"/>
        </w:rPr>
        <w:br/>
        <w:t xml:space="preserve">Phone: 604-221-0595 </w:t>
      </w:r>
      <w:r w:rsidRPr="007D03C0">
        <w:rPr>
          <w:rFonts w:asciiTheme="minorHAnsi" w:eastAsia="Arial" w:hAnsiTheme="minorHAnsi" w:cstheme="minorHAnsi"/>
          <w:sz w:val="24"/>
          <w:szCs w:val="24"/>
        </w:rPr>
        <w:br/>
      </w:r>
      <w:r w:rsidRPr="007D03C0">
        <w:rPr>
          <w:rFonts w:asciiTheme="minorHAnsi" w:eastAsia="Arial" w:hAnsiTheme="minorHAnsi" w:cstheme="minorHAnsi"/>
          <w:sz w:val="24"/>
          <w:szCs w:val="24"/>
        </w:rPr>
        <w:br/>
      </w:r>
      <w:r w:rsidRPr="007D03C0">
        <w:rPr>
          <w:rFonts w:asciiTheme="minorHAnsi" w:eastAsia="Arial" w:hAnsiTheme="minorHAnsi" w:cstheme="minorHAnsi"/>
          <w:b/>
          <w:sz w:val="24"/>
          <w:szCs w:val="24"/>
        </w:rPr>
        <w:t>Dost Mustaq</w:t>
      </w:r>
      <w:r w:rsidRPr="007D03C0">
        <w:rPr>
          <w:rFonts w:asciiTheme="minorHAnsi" w:eastAsia="Arial" w:hAnsiTheme="minorHAnsi" w:cstheme="minorHAnsi"/>
          <w:sz w:val="24"/>
          <w:szCs w:val="24"/>
        </w:rPr>
        <w:t xml:space="preserve">, BDA International Investor Relations Contact </w:t>
      </w:r>
      <w:r w:rsidRPr="007D03C0">
        <w:rPr>
          <w:rFonts w:asciiTheme="minorHAnsi" w:eastAsia="Arial" w:hAnsiTheme="minorHAnsi" w:cstheme="minorHAnsi"/>
          <w:sz w:val="24"/>
          <w:szCs w:val="24"/>
        </w:rPr>
        <w:br/>
        <w:t xml:space="preserve">Email: ir@blifepharma.com </w:t>
      </w:r>
      <w:r w:rsidRPr="007D03C0">
        <w:rPr>
          <w:rFonts w:asciiTheme="minorHAnsi" w:eastAsia="Arial" w:hAnsiTheme="minorHAnsi" w:cstheme="minorHAnsi"/>
          <w:sz w:val="24"/>
          <w:szCs w:val="24"/>
        </w:rPr>
        <w:br/>
        <w:t>Phone: 646-679-4321</w:t>
      </w:r>
    </w:p>
    <w:p w14:paraId="06F07C2B" w14:textId="77777777" w:rsidR="009A0867" w:rsidRPr="007D03C0" w:rsidRDefault="009A0867">
      <w:pPr>
        <w:spacing w:after="120" w:line="240" w:lineRule="auto"/>
        <w:ind w:left="-540" w:right="-694"/>
        <w:jc w:val="both"/>
        <w:rPr>
          <w:rFonts w:asciiTheme="minorHAnsi" w:eastAsia="Arial" w:hAnsiTheme="minorHAnsi" w:cstheme="minorHAnsi"/>
          <w:b/>
          <w:sz w:val="24"/>
          <w:szCs w:val="24"/>
        </w:rPr>
      </w:pPr>
    </w:p>
    <w:p w14:paraId="52D82BED" w14:textId="77777777" w:rsidR="009A0867" w:rsidRPr="007D03C0" w:rsidRDefault="004E4862">
      <w:pPr>
        <w:spacing w:after="120" w:line="240" w:lineRule="auto"/>
        <w:ind w:left="-540" w:right="-694"/>
        <w:jc w:val="both"/>
        <w:rPr>
          <w:rFonts w:asciiTheme="minorHAnsi" w:eastAsia="Arial" w:hAnsiTheme="minorHAnsi" w:cstheme="minorHAnsi"/>
          <w:sz w:val="24"/>
          <w:szCs w:val="24"/>
        </w:rPr>
      </w:pPr>
      <w:r w:rsidRPr="007D03C0">
        <w:rPr>
          <w:rFonts w:asciiTheme="minorHAnsi" w:eastAsia="Arial" w:hAnsiTheme="minorHAnsi" w:cstheme="minorHAnsi"/>
          <w:b/>
          <w:sz w:val="24"/>
          <w:szCs w:val="24"/>
        </w:rPr>
        <w:t>The Canadian Securities Exchange does not accept responsibility for the adequacy or accuracy of this release.</w:t>
      </w:r>
    </w:p>
    <w:p w14:paraId="4A1A06AD" w14:textId="77777777" w:rsidR="009A0867" w:rsidRPr="007D03C0" w:rsidRDefault="004E4862">
      <w:pPr>
        <w:spacing w:after="120" w:line="240" w:lineRule="auto"/>
        <w:ind w:left="-540" w:right="-694"/>
        <w:jc w:val="both"/>
        <w:rPr>
          <w:rFonts w:asciiTheme="minorHAnsi" w:eastAsia="Arial" w:hAnsiTheme="minorHAnsi" w:cstheme="minorHAnsi"/>
          <w:b/>
          <w:sz w:val="24"/>
          <w:szCs w:val="24"/>
        </w:rPr>
      </w:pPr>
      <w:r w:rsidRPr="007D03C0">
        <w:rPr>
          <w:rFonts w:asciiTheme="minorHAnsi" w:eastAsia="Arial" w:hAnsiTheme="minorHAnsi" w:cstheme="minorHAnsi"/>
          <w:b/>
          <w:sz w:val="24"/>
          <w:szCs w:val="24"/>
        </w:rPr>
        <w:t>Neither the Canadian Securities Exchange nor its Market Regulator (as that term is defined in the policies of the Canadian Securities Exchange) accepts responsibility for the adequacy or accuracy of this release. The Canadian Securities Exchange has not in any way passed upon the merits of the proposed transaction and has neither approved nor disapproved the contents of this press release.</w:t>
      </w:r>
    </w:p>
    <w:p w14:paraId="637F040C" w14:textId="77777777" w:rsidR="009A0867" w:rsidRPr="007D03C0" w:rsidRDefault="009A0867">
      <w:pPr>
        <w:spacing w:after="120" w:line="240" w:lineRule="auto"/>
        <w:ind w:left="-540" w:right="-694"/>
        <w:jc w:val="both"/>
        <w:rPr>
          <w:rFonts w:asciiTheme="minorHAnsi" w:eastAsia="Arial" w:hAnsiTheme="minorHAnsi" w:cstheme="minorHAnsi"/>
          <w:b/>
          <w:sz w:val="24"/>
          <w:szCs w:val="24"/>
        </w:rPr>
      </w:pPr>
    </w:p>
    <w:p w14:paraId="1ACB1B1A" w14:textId="77777777" w:rsidR="009A0867" w:rsidRPr="007D03C0" w:rsidRDefault="004E4862">
      <w:pPr>
        <w:spacing w:after="120" w:line="240" w:lineRule="auto"/>
        <w:ind w:left="-540" w:right="-694"/>
        <w:jc w:val="both"/>
        <w:rPr>
          <w:rFonts w:asciiTheme="minorHAnsi" w:eastAsia="Arial" w:hAnsiTheme="minorHAnsi" w:cstheme="minorHAnsi"/>
          <w:sz w:val="24"/>
          <w:szCs w:val="24"/>
        </w:rPr>
      </w:pPr>
      <w:r w:rsidRPr="007D03C0">
        <w:rPr>
          <w:rFonts w:asciiTheme="minorHAnsi" w:eastAsia="Arial" w:hAnsiTheme="minorHAnsi" w:cstheme="minorHAnsi"/>
          <w:b/>
          <w:sz w:val="24"/>
          <w:szCs w:val="24"/>
        </w:rPr>
        <w:t>CAUTIONARY NOTE REGARDING FORWARD-LOOKING STATEMENTS</w:t>
      </w:r>
    </w:p>
    <w:p w14:paraId="7CDB66A5" w14:textId="77777777" w:rsidR="009A0867" w:rsidRPr="007D03C0" w:rsidRDefault="004E4862">
      <w:pPr>
        <w:spacing w:after="120" w:line="240" w:lineRule="auto"/>
        <w:ind w:left="-540" w:right="-694"/>
        <w:jc w:val="both"/>
        <w:rPr>
          <w:rFonts w:asciiTheme="minorHAnsi" w:eastAsia="Arial" w:hAnsiTheme="minorHAnsi" w:cstheme="minorHAnsi"/>
          <w:sz w:val="24"/>
          <w:szCs w:val="24"/>
        </w:rPr>
      </w:pPr>
      <w:r w:rsidRPr="007D03C0">
        <w:rPr>
          <w:rFonts w:asciiTheme="minorHAnsi" w:eastAsia="Arial" w:hAnsiTheme="minorHAnsi" w:cstheme="minorHAnsi"/>
          <w:sz w:val="24"/>
          <w:szCs w:val="24"/>
        </w:rPr>
        <w:t xml:space="preserve">No Securities Exchange has reviewed nor accepts responsibility for the adequacy or accuracy of the content of this news release. This news release contains forward-looking statements relating to product development, licensing, commercialization and regulatory compliance issues and other statements that </w:t>
      </w:r>
      <w:r w:rsidRPr="007D03C0">
        <w:rPr>
          <w:rFonts w:asciiTheme="minorHAnsi" w:eastAsia="Arial" w:hAnsiTheme="minorHAnsi" w:cstheme="minorHAnsi"/>
          <w:sz w:val="24"/>
          <w:szCs w:val="24"/>
        </w:rPr>
        <w:lastRenderedPageBreak/>
        <w:t xml:space="preserve">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relevant securities exchange(s) and other risks detailed from time to time in the filings made by the Company with securities regulations. The reader is cautioned that assumptions used in the preparation of any forward-looking information may prove to be incorrect. Events or circumstances may cause actual results to differ materially from those predicted, </w:t>
      </w:r>
      <w:proofErr w:type="gramStart"/>
      <w:r w:rsidRPr="007D03C0">
        <w:rPr>
          <w:rFonts w:asciiTheme="minorHAnsi" w:eastAsia="Arial" w:hAnsiTheme="minorHAnsi" w:cstheme="minorHAnsi"/>
          <w:sz w:val="24"/>
          <w:szCs w:val="24"/>
        </w:rPr>
        <w:t>as a result of</w:t>
      </w:r>
      <w:proofErr w:type="gramEnd"/>
      <w:r w:rsidRPr="007D03C0">
        <w:rPr>
          <w:rFonts w:asciiTheme="minorHAnsi" w:eastAsia="Arial" w:hAnsiTheme="minorHAnsi" w:cstheme="minorHAnsi"/>
          <w:sz w:val="24"/>
          <w:szCs w:val="24"/>
        </w:rPr>
        <w:t xml:space="preserve">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p w14:paraId="07FDBC9C" w14:textId="77777777" w:rsidR="009A0867" w:rsidRPr="007D03C0" w:rsidRDefault="009A0867">
      <w:pPr>
        <w:rPr>
          <w:rFonts w:asciiTheme="minorHAnsi" w:hAnsiTheme="minorHAnsi" w:cstheme="minorHAnsi"/>
          <w:color w:val="333333"/>
          <w:sz w:val="24"/>
          <w:szCs w:val="24"/>
          <w:highlight w:val="white"/>
        </w:rPr>
      </w:pPr>
    </w:p>
    <w:sectPr w:rsidR="009A0867" w:rsidRPr="007D03C0">
      <w:headerReference w:type="default" r:id="rId12"/>
      <w:pgSz w:w="11906" w:h="16838"/>
      <w:pgMar w:top="1440" w:right="1440" w:bottom="1440" w:left="1440"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3061F" w14:textId="77777777" w:rsidR="005120A5" w:rsidRDefault="005120A5">
      <w:pPr>
        <w:spacing w:after="0" w:line="240" w:lineRule="auto"/>
      </w:pPr>
      <w:r>
        <w:separator/>
      </w:r>
    </w:p>
  </w:endnote>
  <w:endnote w:type="continuationSeparator" w:id="0">
    <w:p w14:paraId="3634295A" w14:textId="77777777" w:rsidR="005120A5" w:rsidRDefault="0051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E8218" w14:textId="77777777" w:rsidR="005120A5" w:rsidRDefault="005120A5">
      <w:pPr>
        <w:spacing w:after="0" w:line="240" w:lineRule="auto"/>
      </w:pPr>
      <w:r>
        <w:separator/>
      </w:r>
    </w:p>
  </w:footnote>
  <w:footnote w:type="continuationSeparator" w:id="0">
    <w:p w14:paraId="5FF6C0AE" w14:textId="77777777" w:rsidR="005120A5" w:rsidRDefault="00512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9EB54" w14:textId="44586854" w:rsidR="009A0867" w:rsidRDefault="009A0867">
    <w:pPr>
      <w:pBdr>
        <w:top w:val="nil"/>
        <w:left w:val="nil"/>
        <w:bottom w:val="nil"/>
        <w:right w:val="nil"/>
        <w:between w:val="nil"/>
      </w:pBdr>
      <w:tabs>
        <w:tab w:val="center" w:pos="4680"/>
        <w:tab w:val="right" w:pos="9360"/>
      </w:tabs>
      <w:spacing w:after="0" w:line="240" w:lineRule="auto"/>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867"/>
    <w:rsid w:val="001005A3"/>
    <w:rsid w:val="001463B4"/>
    <w:rsid w:val="00182332"/>
    <w:rsid w:val="001E5C55"/>
    <w:rsid w:val="00276A2C"/>
    <w:rsid w:val="002E1F0C"/>
    <w:rsid w:val="004C2A35"/>
    <w:rsid w:val="004E4862"/>
    <w:rsid w:val="005120A5"/>
    <w:rsid w:val="00562417"/>
    <w:rsid w:val="005D6441"/>
    <w:rsid w:val="00621E2C"/>
    <w:rsid w:val="007B3E00"/>
    <w:rsid w:val="007D03C0"/>
    <w:rsid w:val="00815182"/>
    <w:rsid w:val="0086308B"/>
    <w:rsid w:val="008D2F8E"/>
    <w:rsid w:val="0090249C"/>
    <w:rsid w:val="009A0867"/>
    <w:rsid w:val="00A52EE1"/>
    <w:rsid w:val="00A60520"/>
    <w:rsid w:val="00CA1155"/>
    <w:rsid w:val="00CB351F"/>
    <w:rsid w:val="00D52AF3"/>
    <w:rsid w:val="00D83925"/>
    <w:rsid w:val="00E806B2"/>
    <w:rsid w:val="00F260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EF1F"/>
  <w15:docId w15:val="{EC267B6D-F912-BF42-9A7A-9BE9B5AA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1A79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E06DE"/>
    <w:rPr>
      <w:color w:val="0000FF"/>
      <w:u w:val="single"/>
    </w:rPr>
  </w:style>
  <w:style w:type="paragraph" w:styleId="NoSpacing">
    <w:name w:val="No Spacing"/>
    <w:uiPriority w:val="1"/>
    <w:qFormat/>
    <w:rsid w:val="00CC3235"/>
    <w:pPr>
      <w:spacing w:after="0" w:line="240" w:lineRule="auto"/>
    </w:pPr>
  </w:style>
  <w:style w:type="character" w:styleId="CommentReference">
    <w:name w:val="annotation reference"/>
    <w:basedOn w:val="DefaultParagraphFont"/>
    <w:uiPriority w:val="99"/>
    <w:semiHidden/>
    <w:unhideWhenUsed/>
    <w:rsid w:val="00844F9B"/>
    <w:rPr>
      <w:sz w:val="16"/>
      <w:szCs w:val="16"/>
    </w:rPr>
  </w:style>
  <w:style w:type="paragraph" w:styleId="CommentText">
    <w:name w:val="annotation text"/>
    <w:basedOn w:val="Normal"/>
    <w:link w:val="CommentTextChar"/>
    <w:uiPriority w:val="99"/>
    <w:semiHidden/>
    <w:unhideWhenUsed/>
    <w:rsid w:val="00844F9B"/>
    <w:pPr>
      <w:spacing w:line="240" w:lineRule="auto"/>
    </w:pPr>
    <w:rPr>
      <w:sz w:val="20"/>
      <w:szCs w:val="20"/>
    </w:rPr>
  </w:style>
  <w:style w:type="character" w:customStyle="1" w:styleId="CommentTextChar">
    <w:name w:val="Comment Text Char"/>
    <w:basedOn w:val="DefaultParagraphFont"/>
    <w:link w:val="CommentText"/>
    <w:uiPriority w:val="99"/>
    <w:semiHidden/>
    <w:rsid w:val="00844F9B"/>
    <w:rPr>
      <w:sz w:val="20"/>
      <w:szCs w:val="20"/>
    </w:rPr>
  </w:style>
  <w:style w:type="paragraph" w:styleId="CommentSubject">
    <w:name w:val="annotation subject"/>
    <w:basedOn w:val="CommentText"/>
    <w:next w:val="CommentText"/>
    <w:link w:val="CommentSubjectChar"/>
    <w:uiPriority w:val="99"/>
    <w:semiHidden/>
    <w:unhideWhenUsed/>
    <w:rsid w:val="00844F9B"/>
    <w:rPr>
      <w:b/>
      <w:bCs/>
    </w:rPr>
  </w:style>
  <w:style w:type="character" w:customStyle="1" w:styleId="CommentSubjectChar">
    <w:name w:val="Comment Subject Char"/>
    <w:basedOn w:val="CommentTextChar"/>
    <w:link w:val="CommentSubject"/>
    <w:uiPriority w:val="99"/>
    <w:semiHidden/>
    <w:rsid w:val="00844F9B"/>
    <w:rPr>
      <w:b/>
      <w:bCs/>
      <w:sz w:val="20"/>
      <w:szCs w:val="20"/>
    </w:rPr>
  </w:style>
  <w:style w:type="paragraph" w:styleId="BalloonText">
    <w:name w:val="Balloon Text"/>
    <w:basedOn w:val="Normal"/>
    <w:link w:val="BalloonTextChar"/>
    <w:uiPriority w:val="99"/>
    <w:semiHidden/>
    <w:unhideWhenUsed/>
    <w:rsid w:val="00844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9B"/>
    <w:rPr>
      <w:rFonts w:ascii="Segoe UI" w:hAnsi="Segoe UI" w:cs="Segoe UI"/>
      <w:sz w:val="18"/>
      <w:szCs w:val="18"/>
    </w:rPr>
  </w:style>
  <w:style w:type="paragraph" w:styleId="Header">
    <w:name w:val="header"/>
    <w:basedOn w:val="Normal"/>
    <w:link w:val="HeaderChar"/>
    <w:uiPriority w:val="99"/>
    <w:unhideWhenUsed/>
    <w:rsid w:val="00096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E3A"/>
  </w:style>
  <w:style w:type="paragraph" w:styleId="Footer">
    <w:name w:val="footer"/>
    <w:basedOn w:val="Normal"/>
    <w:link w:val="FooterChar"/>
    <w:uiPriority w:val="99"/>
    <w:unhideWhenUsed/>
    <w:rsid w:val="00096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E3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A60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134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84913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hmad.Doroudian@blifepharma.com" TargetMode="External"/><Relationship Id="rId5" Type="http://schemas.openxmlformats.org/officeDocument/2006/relationships/footnotes" Target="footnotes.xml"/><Relationship Id="rId10" Type="http://schemas.openxmlformats.org/officeDocument/2006/relationships/hyperlink" Target="http://www.abetterlifephama.com" TargetMode="External"/><Relationship Id="rId4" Type="http://schemas.openxmlformats.org/officeDocument/2006/relationships/webSettings" Target="webSettings.xml"/><Relationship Id="rId9" Type="http://schemas.openxmlformats.org/officeDocument/2006/relationships/hyperlink" Target="https://pubmed.ncbi.nlm.nih.gov/2975374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hIJYNysyM2ZpqxL7UTBz9997mA==">AMUW2mUXK0bSikK40DprcCbY34uA+ON/pI5n+VvxtLL1ziO8rDWiK/4M2H/Y5PtCfNOqfiBB660XdixV8Odyu3GbeGWFG20IsB5GNHJKXyFwHj5fubNGxNE=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Dost Mushtaq</dc:creator>
  <cp:lastModifiedBy>Moira Ong</cp:lastModifiedBy>
  <cp:revision>4</cp:revision>
  <dcterms:created xsi:type="dcterms:W3CDTF">2020-12-14T16:51:00Z</dcterms:created>
  <dcterms:modified xsi:type="dcterms:W3CDTF">2020-12-14T17:27:00Z</dcterms:modified>
</cp:coreProperties>
</file>