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43" w:rsidRDefault="00D73B43" w:rsidP="00A50419">
      <w:pPr>
        <w:pStyle w:val="Body"/>
        <w:spacing w:after="0"/>
        <w:jc w:val="left"/>
        <w:outlineLvl w:val="0"/>
        <w:rPr>
          <w:b/>
        </w:rPr>
      </w:pPr>
      <w:bookmarkStart w:id="0" w:name="_GoBack"/>
      <w:bookmarkEnd w:id="0"/>
      <w:r w:rsidRPr="00207E64">
        <w:rPr>
          <w:b/>
        </w:rPr>
        <w:t>EUROGAS INTERNATIONAL INC.</w:t>
      </w:r>
    </w:p>
    <w:p w:rsidR="0088115B" w:rsidRDefault="0088115B" w:rsidP="00A50419">
      <w:pPr>
        <w:tabs>
          <w:tab w:val="right" w:pos="9360"/>
        </w:tabs>
        <w:autoSpaceDE w:val="0"/>
        <w:autoSpaceDN w:val="0"/>
        <w:adjustRightInd w:val="0"/>
        <w:spacing w:after="0"/>
        <w:ind w:left="354"/>
        <w:jc w:val="right"/>
        <w:outlineLvl w:val="0"/>
        <w:rPr>
          <w:b/>
          <w:bCs/>
          <w:sz w:val="44"/>
          <w:szCs w:val="44"/>
          <w:lang w:eastAsia="en-CA"/>
        </w:rPr>
      </w:pPr>
      <w:r>
        <w:rPr>
          <w:b/>
          <w:bCs/>
          <w:sz w:val="44"/>
          <w:szCs w:val="44"/>
          <w:lang w:eastAsia="en-CA"/>
        </w:rPr>
        <w:t>NEWS RELEASE</w:t>
      </w:r>
    </w:p>
    <w:p w:rsidR="00A50419" w:rsidRDefault="00A50419" w:rsidP="00A50419">
      <w:pPr>
        <w:pStyle w:val="BodyText"/>
        <w:spacing w:after="0" w:line="264" w:lineRule="auto"/>
        <w:jc w:val="center"/>
        <w:outlineLvl w:val="0"/>
        <w:rPr>
          <w:b/>
          <w:szCs w:val="20"/>
        </w:rPr>
      </w:pPr>
    </w:p>
    <w:p w:rsidR="00466B1F" w:rsidRDefault="00D73B43" w:rsidP="00A50419">
      <w:pPr>
        <w:pStyle w:val="BodyText"/>
        <w:spacing w:after="0" w:line="264" w:lineRule="auto"/>
        <w:jc w:val="center"/>
        <w:outlineLvl w:val="0"/>
        <w:rPr>
          <w:b/>
          <w:szCs w:val="20"/>
        </w:rPr>
      </w:pPr>
      <w:r w:rsidRPr="006864BA">
        <w:rPr>
          <w:b/>
          <w:szCs w:val="20"/>
        </w:rPr>
        <w:t>EUROGAS INTERNATIONAL</w:t>
      </w:r>
      <w:r w:rsidR="0088115B" w:rsidRPr="006864BA">
        <w:rPr>
          <w:b/>
          <w:szCs w:val="20"/>
        </w:rPr>
        <w:t xml:space="preserve"> </w:t>
      </w:r>
      <w:r w:rsidR="00C17776">
        <w:rPr>
          <w:b/>
          <w:szCs w:val="20"/>
        </w:rPr>
        <w:t xml:space="preserve">INC. </w:t>
      </w:r>
      <w:r w:rsidR="0088115B" w:rsidRPr="006864BA">
        <w:rPr>
          <w:b/>
          <w:szCs w:val="20"/>
        </w:rPr>
        <w:t>ANNOUNCES</w:t>
      </w:r>
    </w:p>
    <w:p w:rsidR="008D1F6C" w:rsidRDefault="00510163" w:rsidP="00A50419">
      <w:pPr>
        <w:pStyle w:val="BodyText"/>
        <w:spacing w:after="0" w:line="264" w:lineRule="auto"/>
        <w:jc w:val="center"/>
        <w:rPr>
          <w:b/>
          <w:szCs w:val="20"/>
        </w:rPr>
      </w:pPr>
      <w:r>
        <w:rPr>
          <w:b/>
          <w:szCs w:val="20"/>
        </w:rPr>
        <w:t xml:space="preserve">2020 </w:t>
      </w:r>
      <w:r w:rsidR="007F7066">
        <w:rPr>
          <w:b/>
          <w:szCs w:val="20"/>
        </w:rPr>
        <w:t>THIRD</w:t>
      </w:r>
      <w:r>
        <w:rPr>
          <w:b/>
          <w:szCs w:val="20"/>
        </w:rPr>
        <w:t xml:space="preserve"> QUARTER</w:t>
      </w:r>
      <w:r w:rsidR="00BC32EB">
        <w:rPr>
          <w:b/>
          <w:szCs w:val="20"/>
        </w:rPr>
        <w:t xml:space="preserve"> </w:t>
      </w:r>
      <w:r w:rsidR="00B00185">
        <w:rPr>
          <w:b/>
          <w:szCs w:val="20"/>
        </w:rPr>
        <w:t>FINANCIAL RESULTS</w:t>
      </w:r>
    </w:p>
    <w:p w:rsidR="0079642F" w:rsidRPr="00E048C0" w:rsidRDefault="0079642F" w:rsidP="00EF0EAE">
      <w:pPr>
        <w:autoSpaceDE w:val="0"/>
        <w:autoSpaceDN w:val="0"/>
        <w:adjustRightInd w:val="0"/>
        <w:spacing w:after="0" w:line="264" w:lineRule="auto"/>
        <w:rPr>
          <w:sz w:val="20"/>
          <w:szCs w:val="20"/>
          <w:lang w:val="es-ES"/>
        </w:rPr>
      </w:pPr>
    </w:p>
    <w:p w:rsidR="00FC4FAA" w:rsidRPr="009456D9" w:rsidRDefault="0088115B" w:rsidP="00AE765E">
      <w:pPr>
        <w:autoSpaceDE w:val="0"/>
        <w:autoSpaceDN w:val="0"/>
        <w:adjustRightInd w:val="0"/>
        <w:spacing w:after="0" w:line="288" w:lineRule="auto"/>
        <w:rPr>
          <w:sz w:val="20"/>
          <w:szCs w:val="20"/>
        </w:rPr>
      </w:pPr>
      <w:r w:rsidRPr="00427209">
        <w:rPr>
          <w:sz w:val="20"/>
          <w:szCs w:val="20"/>
          <w:lang w:val="es-ES"/>
        </w:rPr>
        <w:t xml:space="preserve">TORONTO, ONTARIO </w:t>
      </w:r>
      <w:r w:rsidRPr="006334E8">
        <w:rPr>
          <w:sz w:val="20"/>
          <w:szCs w:val="20"/>
          <w:lang w:val="es-ES"/>
        </w:rPr>
        <w:t>– (</w:t>
      </w:r>
      <w:r w:rsidR="00AB2BF7" w:rsidRPr="000152CD">
        <w:rPr>
          <w:sz w:val="20"/>
          <w:szCs w:val="20"/>
          <w:lang w:val="es-ES"/>
        </w:rPr>
        <w:t>October</w:t>
      </w:r>
      <w:r w:rsidR="006334E8" w:rsidRPr="000152CD">
        <w:rPr>
          <w:sz w:val="20"/>
          <w:szCs w:val="20"/>
          <w:lang w:val="es-ES"/>
        </w:rPr>
        <w:t xml:space="preserve"> </w:t>
      </w:r>
      <w:r w:rsidR="000152CD" w:rsidRPr="000152CD">
        <w:rPr>
          <w:sz w:val="20"/>
          <w:szCs w:val="20"/>
          <w:lang w:val="es-ES"/>
        </w:rPr>
        <w:t>30</w:t>
      </w:r>
      <w:r w:rsidR="00081CE6" w:rsidRPr="000152CD">
        <w:rPr>
          <w:sz w:val="20"/>
          <w:szCs w:val="20"/>
          <w:lang w:val="es-ES"/>
        </w:rPr>
        <w:t>,</w:t>
      </w:r>
      <w:r w:rsidR="001523D7" w:rsidRPr="000152CD">
        <w:rPr>
          <w:sz w:val="20"/>
          <w:szCs w:val="20"/>
          <w:lang w:val="es-ES"/>
        </w:rPr>
        <w:t xml:space="preserve"> </w:t>
      </w:r>
      <w:r w:rsidR="0021308E" w:rsidRPr="000152CD">
        <w:rPr>
          <w:sz w:val="20"/>
          <w:szCs w:val="20"/>
          <w:lang w:val="es-ES"/>
        </w:rPr>
        <w:t>20</w:t>
      </w:r>
      <w:r w:rsidR="001523D7" w:rsidRPr="000152CD">
        <w:rPr>
          <w:sz w:val="20"/>
          <w:szCs w:val="20"/>
          <w:lang w:val="es-ES"/>
        </w:rPr>
        <w:t>20</w:t>
      </w:r>
      <w:r w:rsidRPr="007834AF">
        <w:rPr>
          <w:sz w:val="20"/>
          <w:szCs w:val="20"/>
          <w:lang w:val="es-ES"/>
        </w:rPr>
        <w:t xml:space="preserve">) – </w:t>
      </w:r>
      <w:proofErr w:type="spellStart"/>
      <w:r w:rsidRPr="007834AF">
        <w:rPr>
          <w:sz w:val="20"/>
          <w:szCs w:val="20"/>
          <w:lang w:val="es-ES"/>
        </w:rPr>
        <w:t>Eurogas</w:t>
      </w:r>
      <w:proofErr w:type="spellEnd"/>
      <w:r w:rsidRPr="006334E8">
        <w:rPr>
          <w:sz w:val="20"/>
          <w:szCs w:val="20"/>
          <w:lang w:val="es-ES"/>
        </w:rPr>
        <w:t xml:space="preserve"> </w:t>
      </w:r>
      <w:r w:rsidR="00D73B43" w:rsidRPr="006334E8">
        <w:rPr>
          <w:sz w:val="20"/>
          <w:szCs w:val="20"/>
          <w:lang w:val="es-ES"/>
        </w:rPr>
        <w:t>International Inc.</w:t>
      </w:r>
      <w:r w:rsidRPr="006334E8">
        <w:rPr>
          <w:sz w:val="20"/>
          <w:szCs w:val="20"/>
          <w:lang w:val="es-ES"/>
        </w:rPr>
        <w:t xml:space="preserve"> </w:t>
      </w:r>
      <w:r w:rsidR="001523D7" w:rsidRPr="006334E8">
        <w:rPr>
          <w:sz w:val="20"/>
          <w:szCs w:val="20"/>
          <w:lang w:val="es-ES"/>
        </w:rPr>
        <w:t xml:space="preserve">(CSE: EI) </w:t>
      </w:r>
      <w:r w:rsidRPr="006334E8">
        <w:rPr>
          <w:sz w:val="20"/>
          <w:szCs w:val="20"/>
        </w:rPr>
        <w:t>(“Eurogas</w:t>
      </w:r>
      <w:r w:rsidR="00D73B43" w:rsidRPr="006334E8">
        <w:rPr>
          <w:sz w:val="20"/>
          <w:szCs w:val="20"/>
        </w:rPr>
        <w:t xml:space="preserve"> International</w:t>
      </w:r>
      <w:r w:rsidRPr="006334E8">
        <w:rPr>
          <w:sz w:val="20"/>
          <w:szCs w:val="20"/>
        </w:rPr>
        <w:t>”</w:t>
      </w:r>
      <w:r w:rsidR="003E4656" w:rsidRPr="006334E8">
        <w:rPr>
          <w:sz w:val="20"/>
          <w:szCs w:val="20"/>
        </w:rPr>
        <w:t xml:space="preserve"> or the “Corporation</w:t>
      </w:r>
      <w:r w:rsidR="0035425C" w:rsidRPr="006334E8">
        <w:rPr>
          <w:sz w:val="20"/>
          <w:szCs w:val="20"/>
        </w:rPr>
        <w:t>”)</w:t>
      </w:r>
      <w:r w:rsidRPr="006334E8">
        <w:rPr>
          <w:sz w:val="20"/>
          <w:szCs w:val="20"/>
        </w:rPr>
        <w:t xml:space="preserve"> </w:t>
      </w:r>
      <w:r w:rsidR="0035425C" w:rsidRPr="006334E8">
        <w:rPr>
          <w:sz w:val="20"/>
          <w:szCs w:val="20"/>
        </w:rPr>
        <w:t>today anno</w:t>
      </w:r>
      <w:r w:rsidR="00E048C0" w:rsidRPr="006334E8">
        <w:rPr>
          <w:sz w:val="20"/>
          <w:szCs w:val="20"/>
        </w:rPr>
        <w:t xml:space="preserve">unced its </w:t>
      </w:r>
      <w:r w:rsidR="00510163" w:rsidRPr="006334E8">
        <w:rPr>
          <w:sz w:val="20"/>
          <w:szCs w:val="20"/>
        </w:rPr>
        <w:t xml:space="preserve">2020 </w:t>
      </w:r>
      <w:r w:rsidR="007F7066">
        <w:rPr>
          <w:sz w:val="20"/>
          <w:szCs w:val="20"/>
        </w:rPr>
        <w:t>third</w:t>
      </w:r>
      <w:r w:rsidR="00510163" w:rsidRPr="006334E8">
        <w:rPr>
          <w:sz w:val="20"/>
          <w:szCs w:val="20"/>
        </w:rPr>
        <w:t xml:space="preserve"> quarter</w:t>
      </w:r>
      <w:r w:rsidR="00BC32EB">
        <w:rPr>
          <w:sz w:val="20"/>
          <w:szCs w:val="20"/>
        </w:rPr>
        <w:t xml:space="preserve"> </w:t>
      </w:r>
      <w:r w:rsidR="00057D12" w:rsidRPr="00057D12">
        <w:rPr>
          <w:sz w:val="20"/>
          <w:szCs w:val="20"/>
        </w:rPr>
        <w:t>financial results</w:t>
      </w:r>
      <w:r w:rsidR="00D43F66" w:rsidRPr="009456D9">
        <w:rPr>
          <w:sz w:val="20"/>
          <w:szCs w:val="20"/>
        </w:rPr>
        <w:t xml:space="preserve">.  </w:t>
      </w:r>
      <w:r w:rsidR="001523D7" w:rsidRPr="001523D7">
        <w:rPr>
          <w:sz w:val="20"/>
          <w:szCs w:val="20"/>
        </w:rPr>
        <w:t xml:space="preserve">The Corporation’s </w:t>
      </w:r>
      <w:r w:rsidR="00510163">
        <w:rPr>
          <w:sz w:val="20"/>
          <w:szCs w:val="20"/>
        </w:rPr>
        <w:t>un</w:t>
      </w:r>
      <w:r w:rsidR="001523D7" w:rsidRPr="001523D7">
        <w:rPr>
          <w:sz w:val="20"/>
          <w:szCs w:val="20"/>
        </w:rPr>
        <w:t xml:space="preserve">audited </w:t>
      </w:r>
      <w:r w:rsidR="00510163">
        <w:rPr>
          <w:sz w:val="20"/>
          <w:szCs w:val="20"/>
        </w:rPr>
        <w:t xml:space="preserve">condensed interim </w:t>
      </w:r>
      <w:r w:rsidR="001523D7" w:rsidRPr="001523D7">
        <w:rPr>
          <w:sz w:val="20"/>
          <w:szCs w:val="20"/>
        </w:rPr>
        <w:t xml:space="preserve">financial statements, along with the accompanying management’s discussion and analysis </w:t>
      </w:r>
      <w:r w:rsidR="00BD0CB7" w:rsidRPr="009456D9">
        <w:rPr>
          <w:sz w:val="20"/>
          <w:szCs w:val="20"/>
        </w:rPr>
        <w:t xml:space="preserve">have been filed on the System for Electronic Document Analysis and Retrieval (“SEDAR”) and may be viewed </w:t>
      </w:r>
      <w:r w:rsidR="0021308E" w:rsidRPr="009456D9">
        <w:rPr>
          <w:sz w:val="20"/>
          <w:szCs w:val="20"/>
        </w:rPr>
        <w:t>by interest</w:t>
      </w:r>
      <w:r w:rsidR="008E1C43" w:rsidRPr="009456D9">
        <w:rPr>
          <w:sz w:val="20"/>
          <w:szCs w:val="20"/>
        </w:rPr>
        <w:t>ed</w:t>
      </w:r>
      <w:r w:rsidR="0021308E" w:rsidRPr="009456D9">
        <w:rPr>
          <w:sz w:val="20"/>
          <w:szCs w:val="20"/>
        </w:rPr>
        <w:t xml:space="preserve"> parties </w:t>
      </w:r>
      <w:r w:rsidR="00BD0CB7" w:rsidRPr="009456D9">
        <w:rPr>
          <w:sz w:val="20"/>
          <w:szCs w:val="20"/>
        </w:rPr>
        <w:t>under the C</w:t>
      </w:r>
      <w:r w:rsidR="00466B1F" w:rsidRPr="009456D9">
        <w:rPr>
          <w:sz w:val="20"/>
          <w:szCs w:val="20"/>
        </w:rPr>
        <w:t>orporation</w:t>
      </w:r>
      <w:r w:rsidR="00BD0CB7" w:rsidRPr="009456D9">
        <w:rPr>
          <w:sz w:val="20"/>
          <w:szCs w:val="20"/>
        </w:rPr>
        <w:t xml:space="preserve">’s profile at </w:t>
      </w:r>
      <w:hyperlink r:id="rId8" w:history="1">
        <w:r w:rsidR="00BD0CB7" w:rsidRPr="009456D9">
          <w:rPr>
            <w:rStyle w:val="Hyperlink"/>
            <w:i/>
            <w:sz w:val="20"/>
            <w:szCs w:val="20"/>
          </w:rPr>
          <w:t>www.sedar.com</w:t>
        </w:r>
      </w:hyperlink>
      <w:r w:rsidR="00BD0CB7" w:rsidRPr="009456D9">
        <w:rPr>
          <w:sz w:val="20"/>
          <w:szCs w:val="20"/>
        </w:rPr>
        <w:t xml:space="preserve"> or the Corporation’s website at </w:t>
      </w:r>
      <w:hyperlink r:id="rId9" w:history="1">
        <w:r w:rsidR="00BD0CB7" w:rsidRPr="009456D9">
          <w:rPr>
            <w:rStyle w:val="Hyperlink"/>
            <w:i/>
            <w:sz w:val="20"/>
            <w:szCs w:val="20"/>
          </w:rPr>
          <w:t>www.eurogasinternational.com</w:t>
        </w:r>
      </w:hyperlink>
      <w:r w:rsidR="00BD0CB7" w:rsidRPr="009456D9">
        <w:rPr>
          <w:sz w:val="20"/>
          <w:szCs w:val="20"/>
        </w:rPr>
        <w:t>.</w:t>
      </w:r>
    </w:p>
    <w:p w:rsidR="001523D7" w:rsidRDefault="001523D7" w:rsidP="00AE765E">
      <w:pPr>
        <w:autoSpaceDE w:val="0"/>
        <w:autoSpaceDN w:val="0"/>
        <w:adjustRightInd w:val="0"/>
        <w:spacing w:after="0" w:line="288" w:lineRule="auto"/>
        <w:outlineLvl w:val="0"/>
        <w:rPr>
          <w:b/>
          <w:sz w:val="20"/>
          <w:szCs w:val="20"/>
        </w:rPr>
      </w:pPr>
    </w:p>
    <w:p w:rsidR="00120A05" w:rsidRPr="009456D9" w:rsidRDefault="00C14C4E" w:rsidP="00AE765E">
      <w:pPr>
        <w:autoSpaceDE w:val="0"/>
        <w:autoSpaceDN w:val="0"/>
        <w:adjustRightInd w:val="0"/>
        <w:spacing w:after="0" w:line="288" w:lineRule="auto"/>
        <w:outlineLvl w:val="0"/>
        <w:rPr>
          <w:b/>
          <w:sz w:val="20"/>
          <w:szCs w:val="20"/>
        </w:rPr>
      </w:pPr>
      <w:r w:rsidRPr="009456D9">
        <w:rPr>
          <w:b/>
          <w:sz w:val="20"/>
          <w:szCs w:val="20"/>
        </w:rPr>
        <w:t>F</w:t>
      </w:r>
      <w:r w:rsidR="00120A05" w:rsidRPr="009456D9">
        <w:rPr>
          <w:b/>
          <w:sz w:val="20"/>
          <w:szCs w:val="20"/>
        </w:rPr>
        <w:t>ORWARD</w:t>
      </w:r>
      <w:r w:rsidR="00C17776" w:rsidRPr="009456D9">
        <w:rPr>
          <w:b/>
          <w:sz w:val="20"/>
          <w:szCs w:val="20"/>
        </w:rPr>
        <w:t>-</w:t>
      </w:r>
      <w:r w:rsidR="00120A05" w:rsidRPr="009456D9">
        <w:rPr>
          <w:b/>
          <w:sz w:val="20"/>
          <w:szCs w:val="20"/>
        </w:rPr>
        <w:t>LOOKING STATEMENTS</w:t>
      </w:r>
    </w:p>
    <w:p w:rsidR="00E93689" w:rsidRPr="009456D9" w:rsidRDefault="00E93689" w:rsidP="00AE765E">
      <w:pPr>
        <w:pStyle w:val="ORPara"/>
        <w:spacing w:after="0" w:line="288" w:lineRule="auto"/>
        <w:rPr>
          <w:sz w:val="20"/>
          <w:szCs w:val="20"/>
        </w:rPr>
      </w:pPr>
      <w:r w:rsidRPr="009456D9">
        <w:rPr>
          <w:sz w:val="20"/>
          <w:szCs w:val="20"/>
        </w:rPr>
        <w:t>Certain information set forth in this document, including management’s assessment of the Corporation’s future plans and operations, contains forward-looking statements.  Forward-looking statements are statements that are predictive in nature, depend upon or refer to future events or conditions</w:t>
      </w:r>
      <w:r w:rsidR="001415D9" w:rsidRPr="009456D9">
        <w:rPr>
          <w:sz w:val="20"/>
          <w:szCs w:val="20"/>
        </w:rPr>
        <w:t>,</w:t>
      </w:r>
      <w:r w:rsidRPr="009456D9">
        <w:rPr>
          <w:sz w:val="20"/>
          <w:szCs w:val="20"/>
        </w:rPr>
        <w:t xml:space="preserve"> or include words such as “expects”, “anticipates”, “intends”, “plans”, “believes”, “estimates” or similar expressions.  By their nature, forward-looking statements are subject to numerous risks and uncertainties, some of which are beyond the Corporation’s control, including the risks that the Corporation is unable to access sufficient capital from internal and external sources, </w:t>
      </w:r>
      <w:r w:rsidR="007F2B24" w:rsidRPr="009456D9">
        <w:rPr>
          <w:sz w:val="20"/>
          <w:szCs w:val="20"/>
        </w:rPr>
        <w:t>volatility</w:t>
      </w:r>
      <w:r w:rsidRPr="009456D9">
        <w:rPr>
          <w:sz w:val="20"/>
          <w:szCs w:val="20"/>
        </w:rPr>
        <w:t xml:space="preserve"> of commodity prices, currency fluctuations, risks associated with foreign operations, exploration, development and production risks, risks of not being able to obtain or renew permits and licenses, environmental risks, the impact of general economic conditions, reliance on key personnel and management, competition from other industry participants, and other risk factors discussed or referred to in other documents filed from time to time with the securities administrators, all of which may be accessed at </w:t>
      </w:r>
      <w:hyperlink r:id="rId10" w:history="1">
        <w:r w:rsidRPr="009456D9">
          <w:rPr>
            <w:rStyle w:val="Hyperlink"/>
            <w:i/>
            <w:sz w:val="20"/>
            <w:szCs w:val="20"/>
          </w:rPr>
          <w:t>www.sedar.com</w:t>
        </w:r>
      </w:hyperlink>
      <w:r w:rsidRPr="009456D9">
        <w:rPr>
          <w:sz w:val="20"/>
          <w:szCs w:val="20"/>
        </w:rPr>
        <w:t>.  Readers are cautioned that the assumptions used in the preparation of such information, although considered reasonable at the time of preparation, may prove to be imprecise and, as such, undue reliance should not be placed on forward-looking statements.  The Corporation’s actual results, performance or achievement could differ materially from those expressed in, or implied by, these forward-looking statements and accordingly, no assurance can be given that any of the events anticipated by the forward-looking statements will transpire or occur, or if any of them do so, what impact they might have on the Corporation.  The Corporation disclaims any intention or obligation to update or revise any forward-looking statements, whether as a result of new information, future events or otherwise, except as required by law.</w:t>
      </w:r>
    </w:p>
    <w:p w:rsidR="00703BCE" w:rsidRPr="009456D9" w:rsidRDefault="00703BCE" w:rsidP="00AE765E">
      <w:pPr>
        <w:autoSpaceDE w:val="0"/>
        <w:autoSpaceDN w:val="0"/>
        <w:adjustRightInd w:val="0"/>
        <w:spacing w:after="0" w:line="288" w:lineRule="auto"/>
        <w:outlineLvl w:val="0"/>
        <w:rPr>
          <w:b/>
          <w:sz w:val="20"/>
          <w:szCs w:val="20"/>
        </w:rPr>
      </w:pPr>
    </w:p>
    <w:p w:rsidR="00703BCE" w:rsidRPr="009456D9" w:rsidRDefault="00703BCE" w:rsidP="00AE765E">
      <w:pPr>
        <w:autoSpaceDE w:val="0"/>
        <w:autoSpaceDN w:val="0"/>
        <w:adjustRightInd w:val="0"/>
        <w:spacing w:after="0" w:line="288" w:lineRule="auto"/>
        <w:outlineLvl w:val="0"/>
        <w:rPr>
          <w:b/>
          <w:sz w:val="20"/>
          <w:szCs w:val="20"/>
        </w:rPr>
      </w:pPr>
      <w:r w:rsidRPr="009456D9">
        <w:rPr>
          <w:b/>
          <w:sz w:val="20"/>
          <w:szCs w:val="20"/>
        </w:rPr>
        <w:t>ABOUT EUROGAS INTERNATIONAL</w:t>
      </w:r>
    </w:p>
    <w:p w:rsidR="00703BCE" w:rsidRPr="009456D9" w:rsidRDefault="00703BCE" w:rsidP="00AE765E">
      <w:pPr>
        <w:autoSpaceDE w:val="0"/>
        <w:autoSpaceDN w:val="0"/>
        <w:adjustRightInd w:val="0"/>
        <w:spacing w:after="0" w:line="288" w:lineRule="auto"/>
        <w:rPr>
          <w:sz w:val="20"/>
          <w:szCs w:val="20"/>
        </w:rPr>
      </w:pPr>
      <w:r w:rsidRPr="009456D9">
        <w:rPr>
          <w:sz w:val="20"/>
          <w:szCs w:val="20"/>
        </w:rPr>
        <w:t>Eurogas International Inc. is an independent oil and gas exploration company listed on the Canadian Securities Exchange (</w:t>
      </w:r>
      <w:hyperlink r:id="rId11" w:history="1">
        <w:r w:rsidRPr="009456D9">
          <w:rPr>
            <w:i/>
            <w:color w:val="0000FF"/>
            <w:sz w:val="20"/>
            <w:szCs w:val="20"/>
            <w:u w:val="single"/>
          </w:rPr>
          <w:t>www.cnsx.ca</w:t>
        </w:r>
      </w:hyperlink>
      <w:r w:rsidRPr="009456D9">
        <w:rPr>
          <w:i/>
          <w:color w:val="0000FF"/>
          <w:sz w:val="20"/>
          <w:szCs w:val="20"/>
          <w:u w:val="single"/>
        </w:rPr>
        <w:t>)</w:t>
      </w:r>
      <w:r w:rsidRPr="009456D9">
        <w:rPr>
          <w:sz w:val="20"/>
          <w:szCs w:val="20"/>
        </w:rPr>
        <w:t xml:space="preserve"> under the symbol EI.  </w:t>
      </w:r>
    </w:p>
    <w:p w:rsidR="00703BCE" w:rsidRPr="009456D9" w:rsidRDefault="00703BCE" w:rsidP="00AE765E">
      <w:pPr>
        <w:autoSpaceDE w:val="0"/>
        <w:autoSpaceDN w:val="0"/>
        <w:adjustRightInd w:val="0"/>
        <w:spacing w:after="0" w:line="288" w:lineRule="auto"/>
        <w:rPr>
          <w:sz w:val="20"/>
          <w:szCs w:val="20"/>
        </w:rPr>
      </w:pPr>
    </w:p>
    <w:p w:rsidR="00703BCE" w:rsidRPr="009456D9" w:rsidRDefault="00703BCE" w:rsidP="00AE765E">
      <w:pPr>
        <w:autoSpaceDE w:val="0"/>
        <w:autoSpaceDN w:val="0"/>
        <w:adjustRightInd w:val="0"/>
        <w:spacing w:after="0" w:line="288" w:lineRule="auto"/>
        <w:rPr>
          <w:sz w:val="20"/>
          <w:szCs w:val="20"/>
        </w:rPr>
      </w:pPr>
      <w:r w:rsidRPr="009456D9">
        <w:rPr>
          <w:sz w:val="20"/>
          <w:szCs w:val="20"/>
        </w:rPr>
        <w:t>All documentation in respect of the Corporation may be viewed under the Corporation’s profile on SEDAR (</w:t>
      </w:r>
      <w:hyperlink r:id="rId12" w:history="1">
        <w:r w:rsidRPr="009456D9">
          <w:rPr>
            <w:i/>
            <w:color w:val="0000FF"/>
            <w:sz w:val="20"/>
            <w:szCs w:val="20"/>
            <w:u w:val="single"/>
          </w:rPr>
          <w:t>www.sedar.com</w:t>
        </w:r>
      </w:hyperlink>
      <w:r w:rsidRPr="009456D9">
        <w:rPr>
          <w:sz w:val="20"/>
          <w:szCs w:val="20"/>
        </w:rPr>
        <w:t xml:space="preserve">) or under the Corporation’s website at </w:t>
      </w:r>
      <w:hyperlink r:id="rId13" w:history="1">
        <w:r w:rsidRPr="009456D9">
          <w:rPr>
            <w:i/>
            <w:color w:val="0000FF"/>
            <w:sz w:val="20"/>
            <w:szCs w:val="20"/>
            <w:u w:val="single"/>
          </w:rPr>
          <w:t>www.eurogasinternational.com</w:t>
        </w:r>
      </w:hyperlink>
      <w:r w:rsidRPr="009456D9">
        <w:rPr>
          <w:sz w:val="20"/>
          <w:szCs w:val="20"/>
        </w:rPr>
        <w:t xml:space="preserve">.  </w:t>
      </w:r>
    </w:p>
    <w:p w:rsidR="00C92CF1" w:rsidRPr="009456D9" w:rsidRDefault="00C92CF1" w:rsidP="00EF0EAE">
      <w:pPr>
        <w:pStyle w:val="ORPara"/>
        <w:spacing w:after="0" w:line="264" w:lineRule="auto"/>
        <w:rPr>
          <w:sz w:val="20"/>
          <w:szCs w:val="20"/>
        </w:rPr>
      </w:pPr>
    </w:p>
    <w:p w:rsidR="00FC4FAA" w:rsidRDefault="00FC4FAA" w:rsidP="00EF0EAE">
      <w:pPr>
        <w:pStyle w:val="ORPara"/>
        <w:spacing w:after="0" w:line="264" w:lineRule="auto"/>
        <w:rPr>
          <w:sz w:val="20"/>
          <w:szCs w:val="20"/>
        </w:rPr>
      </w:pPr>
      <w:r w:rsidRPr="009456D9">
        <w:rPr>
          <w:sz w:val="20"/>
          <w:szCs w:val="20"/>
        </w:rPr>
        <w:t>For further information, please contact:</w:t>
      </w:r>
    </w:p>
    <w:p w:rsidR="00C4473D" w:rsidRPr="009456D9" w:rsidRDefault="00C4473D" w:rsidP="00EF0EAE">
      <w:pPr>
        <w:pStyle w:val="ORPara"/>
        <w:spacing w:after="0" w:line="264" w:lineRule="auto"/>
        <w:rPr>
          <w:sz w:val="20"/>
          <w:szCs w:val="20"/>
        </w:rPr>
      </w:pPr>
    </w:p>
    <w:tbl>
      <w:tblPr>
        <w:tblW w:w="4788" w:type="dxa"/>
        <w:tblLook w:val="01E0" w:firstRow="1" w:lastRow="1" w:firstColumn="1" w:lastColumn="1" w:noHBand="0" w:noVBand="0"/>
      </w:tblPr>
      <w:tblGrid>
        <w:gridCol w:w="4788"/>
      </w:tblGrid>
      <w:tr w:rsidR="00C4473D" w:rsidRPr="009456D9" w:rsidTr="00C4473D">
        <w:tc>
          <w:tcPr>
            <w:tcW w:w="4788" w:type="dxa"/>
          </w:tcPr>
          <w:p w:rsidR="00C4473D" w:rsidRPr="00C4473D" w:rsidRDefault="00C4473D" w:rsidP="008B2777">
            <w:pPr>
              <w:keepLines/>
              <w:autoSpaceDE w:val="0"/>
              <w:autoSpaceDN w:val="0"/>
              <w:adjustRightInd w:val="0"/>
              <w:spacing w:after="0" w:line="300" w:lineRule="auto"/>
              <w:jc w:val="left"/>
              <w:rPr>
                <w:color w:val="000000"/>
                <w:sz w:val="20"/>
                <w:szCs w:val="20"/>
                <w:lang w:eastAsia="en-CA"/>
              </w:rPr>
            </w:pPr>
            <w:r w:rsidRPr="00C4473D">
              <w:rPr>
                <w:color w:val="000000"/>
                <w:sz w:val="20"/>
                <w:szCs w:val="20"/>
                <w:lang w:eastAsia="en-CA"/>
              </w:rPr>
              <w:t>Bruce Sherley, Acting Chief Executive Officer</w:t>
            </w:r>
          </w:p>
          <w:p w:rsidR="00C4473D" w:rsidRPr="00C4473D" w:rsidRDefault="00C4473D" w:rsidP="008B2777">
            <w:pPr>
              <w:keepLines/>
              <w:autoSpaceDE w:val="0"/>
              <w:autoSpaceDN w:val="0"/>
              <w:adjustRightInd w:val="0"/>
              <w:spacing w:after="0" w:line="300" w:lineRule="auto"/>
              <w:jc w:val="left"/>
              <w:rPr>
                <w:color w:val="000000"/>
                <w:sz w:val="20"/>
                <w:szCs w:val="20"/>
                <w:lang w:eastAsia="en-CA"/>
              </w:rPr>
            </w:pPr>
            <w:r w:rsidRPr="00C4473D">
              <w:rPr>
                <w:color w:val="000000"/>
                <w:sz w:val="20"/>
                <w:szCs w:val="20"/>
                <w:lang w:eastAsia="en-CA"/>
              </w:rPr>
              <w:t>Eurogas International Inc.</w:t>
            </w:r>
          </w:p>
          <w:p w:rsidR="00C4473D" w:rsidRPr="00C4473D" w:rsidRDefault="00C4473D" w:rsidP="008B2777">
            <w:pPr>
              <w:keepLines/>
              <w:autoSpaceDE w:val="0"/>
              <w:autoSpaceDN w:val="0"/>
              <w:adjustRightInd w:val="0"/>
              <w:spacing w:after="0" w:line="300" w:lineRule="auto"/>
              <w:jc w:val="left"/>
              <w:rPr>
                <w:sz w:val="20"/>
                <w:szCs w:val="20"/>
                <w:lang w:eastAsia="en-CA"/>
              </w:rPr>
            </w:pPr>
            <w:r w:rsidRPr="00C4473D">
              <w:rPr>
                <w:sz w:val="20"/>
                <w:szCs w:val="20"/>
                <w:lang w:eastAsia="en-CA"/>
              </w:rPr>
              <w:t>Telephone: (403) 651-4581</w:t>
            </w:r>
          </w:p>
          <w:p w:rsidR="00C4473D" w:rsidRPr="00C4473D" w:rsidRDefault="00C4473D" w:rsidP="008B2777">
            <w:pPr>
              <w:pStyle w:val="ORPara"/>
              <w:spacing w:after="0" w:line="264" w:lineRule="auto"/>
              <w:rPr>
                <w:sz w:val="20"/>
                <w:szCs w:val="20"/>
              </w:rPr>
            </w:pPr>
            <w:r w:rsidRPr="00C4473D">
              <w:rPr>
                <w:color w:val="000000"/>
                <w:sz w:val="20"/>
                <w:szCs w:val="20"/>
                <w:lang w:eastAsia="en-CA"/>
              </w:rPr>
              <w:t xml:space="preserve">Website: </w:t>
            </w:r>
            <w:hyperlink r:id="rId14" w:history="1">
              <w:r w:rsidRPr="00C4473D">
                <w:rPr>
                  <w:rStyle w:val="Hyperlink"/>
                  <w:sz w:val="20"/>
                  <w:szCs w:val="20"/>
                  <w:lang w:eastAsia="en-CA"/>
                </w:rPr>
                <w:t>www.eurogasinternational.com</w:t>
              </w:r>
            </w:hyperlink>
          </w:p>
          <w:p w:rsidR="00C4473D" w:rsidRPr="009456D9" w:rsidRDefault="00C4473D" w:rsidP="008B2777">
            <w:pPr>
              <w:pStyle w:val="ORPara"/>
              <w:spacing w:after="0" w:line="264" w:lineRule="auto"/>
              <w:rPr>
                <w:sz w:val="20"/>
                <w:szCs w:val="20"/>
              </w:rPr>
            </w:pPr>
          </w:p>
        </w:tc>
      </w:tr>
    </w:tbl>
    <w:p w:rsidR="0088115B" w:rsidRPr="009456D9" w:rsidRDefault="0088115B" w:rsidP="00E048C0">
      <w:pPr>
        <w:pStyle w:val="BodyText"/>
        <w:spacing w:after="0" w:line="264" w:lineRule="auto"/>
        <w:rPr>
          <w:sz w:val="20"/>
          <w:szCs w:val="20"/>
        </w:rPr>
      </w:pPr>
    </w:p>
    <w:sectPr w:rsidR="0088115B" w:rsidRPr="009456D9" w:rsidSect="00301745">
      <w:headerReference w:type="default" r:id="rId15"/>
      <w:pgSz w:w="12240" w:h="15840" w:code="1"/>
      <w:pgMar w:top="1152" w:right="1440" w:bottom="1152" w:left="1440" w:header="562" w:footer="46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9DE" w:rsidRDefault="007C39DE">
      <w:r>
        <w:separator/>
      </w:r>
    </w:p>
  </w:endnote>
  <w:endnote w:type="continuationSeparator" w:id="0">
    <w:p w:rsidR="007C39DE" w:rsidRDefault="007C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9DE" w:rsidRDefault="007C39DE">
      <w:r>
        <w:separator/>
      </w:r>
    </w:p>
  </w:footnote>
  <w:footnote w:type="continuationSeparator" w:id="0">
    <w:p w:rsidR="007C39DE" w:rsidRDefault="007C3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E0" w:rsidRPr="00AB2796" w:rsidRDefault="00F15BE0">
    <w:pPr>
      <w:pStyle w:val="Header"/>
      <w:jc w:val="center"/>
      <w:rPr>
        <w:sz w:val="22"/>
        <w:szCs w:val="22"/>
      </w:rPr>
    </w:pPr>
    <w:r w:rsidRPr="00AB2796">
      <w:rPr>
        <w:sz w:val="22"/>
        <w:szCs w:val="22"/>
      </w:rPr>
      <w:t xml:space="preserve">- </w:t>
    </w:r>
    <w:r w:rsidR="002169A3" w:rsidRPr="00AB2796">
      <w:rPr>
        <w:sz w:val="22"/>
        <w:szCs w:val="22"/>
      </w:rPr>
      <w:fldChar w:fldCharType="begin"/>
    </w:r>
    <w:r w:rsidRPr="00AB2796">
      <w:rPr>
        <w:sz w:val="22"/>
        <w:szCs w:val="22"/>
      </w:rPr>
      <w:instrText xml:space="preserve"> PAGE  \* MERGEFORMAT </w:instrText>
    </w:r>
    <w:r w:rsidR="002169A3" w:rsidRPr="00AB2796">
      <w:rPr>
        <w:sz w:val="22"/>
        <w:szCs w:val="22"/>
      </w:rPr>
      <w:fldChar w:fldCharType="separate"/>
    </w:r>
    <w:r w:rsidR="00510163">
      <w:rPr>
        <w:noProof/>
        <w:sz w:val="22"/>
        <w:szCs w:val="22"/>
      </w:rPr>
      <w:t>2</w:t>
    </w:r>
    <w:r w:rsidR="002169A3" w:rsidRPr="00AB2796">
      <w:rPr>
        <w:sz w:val="22"/>
        <w:szCs w:val="22"/>
      </w:rPr>
      <w:fldChar w:fldCharType="end"/>
    </w:r>
    <w:r w:rsidRPr="00AB2796">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A0363C"/>
    <w:lvl w:ilvl="0">
      <w:start w:val="1"/>
      <w:numFmt w:val="decimal"/>
      <w:lvlText w:val="%1."/>
      <w:lvlJc w:val="left"/>
      <w:pPr>
        <w:tabs>
          <w:tab w:val="num" w:pos="1492"/>
        </w:tabs>
        <w:ind w:left="1492" w:hanging="360"/>
      </w:pPr>
    </w:lvl>
  </w:abstractNum>
  <w:abstractNum w:abstractNumId="1">
    <w:nsid w:val="FFFFFF7D"/>
    <w:multiLevelType w:val="singleLevel"/>
    <w:tmpl w:val="1E5E3C1C"/>
    <w:lvl w:ilvl="0">
      <w:start w:val="1"/>
      <w:numFmt w:val="decimal"/>
      <w:lvlText w:val="%1."/>
      <w:lvlJc w:val="left"/>
      <w:pPr>
        <w:tabs>
          <w:tab w:val="num" w:pos="1209"/>
        </w:tabs>
        <w:ind w:left="1209" w:hanging="360"/>
      </w:pPr>
    </w:lvl>
  </w:abstractNum>
  <w:abstractNum w:abstractNumId="2">
    <w:nsid w:val="FFFFFF7E"/>
    <w:multiLevelType w:val="singleLevel"/>
    <w:tmpl w:val="0D8AC9B0"/>
    <w:lvl w:ilvl="0">
      <w:start w:val="1"/>
      <w:numFmt w:val="decimal"/>
      <w:lvlText w:val="%1."/>
      <w:lvlJc w:val="left"/>
      <w:pPr>
        <w:tabs>
          <w:tab w:val="num" w:pos="926"/>
        </w:tabs>
        <w:ind w:left="926" w:hanging="360"/>
      </w:pPr>
    </w:lvl>
  </w:abstractNum>
  <w:abstractNum w:abstractNumId="3">
    <w:nsid w:val="FFFFFF7F"/>
    <w:multiLevelType w:val="singleLevel"/>
    <w:tmpl w:val="D0004A18"/>
    <w:lvl w:ilvl="0">
      <w:start w:val="1"/>
      <w:numFmt w:val="decimal"/>
      <w:lvlText w:val="%1."/>
      <w:lvlJc w:val="left"/>
      <w:pPr>
        <w:tabs>
          <w:tab w:val="num" w:pos="643"/>
        </w:tabs>
        <w:ind w:left="643" w:hanging="360"/>
      </w:pPr>
    </w:lvl>
  </w:abstractNum>
  <w:abstractNum w:abstractNumId="4">
    <w:nsid w:val="FFFFFF80"/>
    <w:multiLevelType w:val="singleLevel"/>
    <w:tmpl w:val="53B22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D2BA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9028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E7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82E542"/>
    <w:lvl w:ilvl="0">
      <w:start w:val="1"/>
      <w:numFmt w:val="decimal"/>
      <w:lvlText w:val="%1."/>
      <w:lvlJc w:val="left"/>
      <w:pPr>
        <w:tabs>
          <w:tab w:val="num" w:pos="360"/>
        </w:tabs>
        <w:ind w:left="360" w:hanging="360"/>
      </w:pPr>
    </w:lvl>
  </w:abstractNum>
  <w:abstractNum w:abstractNumId="9">
    <w:nsid w:val="FFFFFF89"/>
    <w:multiLevelType w:val="singleLevel"/>
    <w:tmpl w:val="516CF190"/>
    <w:lvl w:ilvl="0">
      <w:start w:val="1"/>
      <w:numFmt w:val="bullet"/>
      <w:lvlText w:val=""/>
      <w:lvlJc w:val="left"/>
      <w:pPr>
        <w:tabs>
          <w:tab w:val="num" w:pos="360"/>
        </w:tabs>
        <w:ind w:left="360" w:hanging="360"/>
      </w:pPr>
      <w:rPr>
        <w:rFonts w:ascii="Symbol" w:hAnsi="Symbol" w:hint="default"/>
      </w:rPr>
    </w:lvl>
  </w:abstractNum>
  <w:abstractNum w:abstractNumId="10">
    <w:nsid w:val="23733536"/>
    <w:multiLevelType w:val="multilevel"/>
    <w:tmpl w:val="64BC0682"/>
    <w:lvl w:ilvl="0">
      <w:start w:val="1"/>
      <w:numFmt w:val="decimal"/>
      <w:pStyle w:val="1"/>
      <w:lvlText w:val="%1."/>
      <w:lvlJc w:val="left"/>
      <w:pPr>
        <w:tabs>
          <w:tab w:val="num" w:pos="720"/>
        </w:tabs>
        <w:ind w:left="720" w:hanging="720"/>
      </w:pPr>
      <w:rPr>
        <w:rFonts w:ascii="Times New Roman" w:hAnsi="Times New Roman" w:hint="default"/>
        <w:b/>
        <w:i w:val="0"/>
      </w:rPr>
    </w:lvl>
    <w:lvl w:ilvl="1">
      <w:start w:val="1"/>
      <w:numFmt w:val="lowerLetter"/>
      <w:pStyle w:val="2"/>
      <w:lvlText w:val="(%2)"/>
      <w:lvlJc w:val="left"/>
      <w:pPr>
        <w:tabs>
          <w:tab w:val="num" w:pos="1440"/>
        </w:tabs>
        <w:ind w:left="1440" w:hanging="720"/>
      </w:pPr>
      <w:rPr>
        <w:rFonts w:ascii="Times New Roman" w:hAnsi="Times New Roman" w:hint="default"/>
        <w:b w:val="0"/>
        <w:i w:val="0"/>
      </w:rPr>
    </w:lvl>
    <w:lvl w:ilvl="2">
      <w:start w:val="1"/>
      <w:numFmt w:val="lowerRoman"/>
      <w:pStyle w:val="3"/>
      <w:lvlText w:val="(%3)"/>
      <w:lvlJc w:val="left"/>
      <w:pPr>
        <w:tabs>
          <w:tab w:val="num" w:pos="2160"/>
        </w:tabs>
        <w:ind w:left="2160" w:hanging="720"/>
      </w:pPr>
      <w:rPr>
        <w:rFonts w:hint="default"/>
      </w:rPr>
    </w:lvl>
    <w:lvl w:ilvl="3">
      <w:start w:val="1"/>
      <w:numFmt w:val="upperLetter"/>
      <w:pStyle w:val="4"/>
      <w:lvlText w:val="(%4)"/>
      <w:lvlJc w:val="left"/>
      <w:pPr>
        <w:tabs>
          <w:tab w:val="num" w:pos="2880"/>
        </w:tabs>
        <w:ind w:left="2880" w:hanging="720"/>
      </w:pPr>
      <w:rPr>
        <w:rFonts w:hint="default"/>
      </w:rPr>
    </w:lvl>
    <w:lvl w:ilvl="4">
      <w:start w:val="1"/>
      <w:numFmt w:val="upperRoman"/>
      <w:pStyle w:val="5"/>
      <w:lvlText w:val="(%5)"/>
      <w:lvlJc w:val="left"/>
      <w:pPr>
        <w:tabs>
          <w:tab w:val="num" w:pos="3600"/>
        </w:tabs>
        <w:ind w:left="3600" w:hanging="72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11">
    <w:nsid w:val="24A035B0"/>
    <w:multiLevelType w:val="multilevel"/>
    <w:tmpl w:val="C304FDE4"/>
    <w:lvl w:ilvl="0">
      <w:start w:val="1"/>
      <w:numFmt w:val="decimal"/>
      <w:lvlText w:val="%1."/>
      <w:lvlJc w:val="left"/>
      <w:pPr>
        <w:tabs>
          <w:tab w:val="num" w:pos="720"/>
        </w:tabs>
        <w:ind w:left="720" w:hanging="720"/>
      </w:pPr>
      <w:rPr>
        <w:rFonts w:ascii="Times New Roman" w:hAnsi="Times New Roman" w:hint="default"/>
        <w:b/>
        <w:i w:val="0"/>
      </w:rPr>
    </w:lvl>
    <w:lvl w:ilvl="1">
      <w:start w:val="1"/>
      <w:numFmt w:val="lowerLetter"/>
      <w:lvlText w:val="(%2)"/>
      <w:lvlJc w:val="left"/>
      <w:pPr>
        <w:tabs>
          <w:tab w:val="num" w:pos="1440"/>
        </w:tabs>
        <w:ind w:left="1440" w:hanging="720"/>
      </w:pPr>
      <w:rPr>
        <w:rFonts w:ascii="Times New Roman" w:hAnsi="Times New Roman" w:hint="default"/>
        <w:b w:val="0"/>
        <w:i w:val="0"/>
        <w:sz w:val="24"/>
        <w:szCs w:val="24"/>
        <w:u w:val="none"/>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12">
    <w:nsid w:val="2EC91AD2"/>
    <w:multiLevelType w:val="multilevel"/>
    <w:tmpl w:val="E26608BA"/>
    <w:lvl w:ilvl="0">
      <w:start w:val="1"/>
      <w:numFmt w:val="decimal"/>
      <w:lvlText w:val="%1."/>
      <w:lvlJc w:val="left"/>
      <w:pPr>
        <w:tabs>
          <w:tab w:val="num" w:pos="5145"/>
        </w:tabs>
        <w:ind w:left="5145" w:hanging="720"/>
      </w:pPr>
      <w:rPr>
        <w:rFonts w:ascii="Times New Roman" w:hAnsi="Times New Roman" w:hint="default"/>
        <w:b/>
        <w:i w:val="0"/>
      </w:rPr>
    </w:lvl>
    <w:lvl w:ilvl="1">
      <w:start w:val="1"/>
      <w:numFmt w:val="lowerLetter"/>
      <w:lvlText w:val="(%2)"/>
      <w:lvlJc w:val="left"/>
      <w:pPr>
        <w:tabs>
          <w:tab w:val="num" w:pos="5865"/>
        </w:tabs>
        <w:ind w:left="5865" w:hanging="720"/>
      </w:pPr>
      <w:rPr>
        <w:rFonts w:ascii="Times New Roman" w:hAnsi="Times New Roman" w:hint="default"/>
        <w:b w:val="0"/>
        <w:i w:val="0"/>
      </w:rPr>
    </w:lvl>
    <w:lvl w:ilvl="2">
      <w:start w:val="1"/>
      <w:numFmt w:val="lowerRoman"/>
      <w:lvlText w:val="(%3)"/>
      <w:lvlJc w:val="left"/>
      <w:pPr>
        <w:tabs>
          <w:tab w:val="num" w:pos="6585"/>
        </w:tabs>
        <w:ind w:left="6585" w:hanging="720"/>
      </w:pPr>
      <w:rPr>
        <w:rFonts w:hint="default"/>
      </w:rPr>
    </w:lvl>
    <w:lvl w:ilvl="3">
      <w:start w:val="1"/>
      <w:numFmt w:val="upperLetter"/>
      <w:lvlText w:val="(%4)"/>
      <w:lvlJc w:val="left"/>
      <w:pPr>
        <w:tabs>
          <w:tab w:val="num" w:pos="7305"/>
        </w:tabs>
        <w:ind w:left="7305" w:hanging="720"/>
      </w:pPr>
      <w:rPr>
        <w:rFonts w:hint="default"/>
      </w:rPr>
    </w:lvl>
    <w:lvl w:ilvl="4">
      <w:start w:val="1"/>
      <w:numFmt w:val="upperRoman"/>
      <w:lvlText w:val="(%5)"/>
      <w:lvlJc w:val="left"/>
      <w:pPr>
        <w:tabs>
          <w:tab w:val="num" w:pos="8025"/>
        </w:tabs>
        <w:ind w:left="8025" w:hanging="720"/>
      </w:pPr>
      <w:rPr>
        <w:rFonts w:hint="default"/>
      </w:rPr>
    </w:lvl>
    <w:lvl w:ilvl="5">
      <w:start w:val="1"/>
      <w:numFmt w:val="lowerRoman"/>
      <w:lvlText w:val="(%6)"/>
      <w:lvlJc w:val="left"/>
      <w:pPr>
        <w:tabs>
          <w:tab w:val="num" w:pos="8385"/>
        </w:tabs>
        <w:ind w:left="8385" w:hanging="360"/>
      </w:pPr>
      <w:rPr>
        <w:rFonts w:hint="default"/>
      </w:rPr>
    </w:lvl>
    <w:lvl w:ilvl="6">
      <w:start w:val="1"/>
      <w:numFmt w:val="decimal"/>
      <w:lvlText w:val="%7."/>
      <w:lvlJc w:val="left"/>
      <w:pPr>
        <w:tabs>
          <w:tab w:val="num" w:pos="8745"/>
        </w:tabs>
        <w:ind w:left="8745" w:hanging="360"/>
      </w:pPr>
      <w:rPr>
        <w:rFonts w:hint="default"/>
      </w:rPr>
    </w:lvl>
    <w:lvl w:ilvl="7">
      <w:start w:val="1"/>
      <w:numFmt w:val="lowerLetter"/>
      <w:lvlText w:val="%8."/>
      <w:lvlJc w:val="left"/>
      <w:pPr>
        <w:tabs>
          <w:tab w:val="num" w:pos="9105"/>
        </w:tabs>
        <w:ind w:left="9105" w:hanging="360"/>
      </w:pPr>
      <w:rPr>
        <w:rFonts w:hint="default"/>
      </w:rPr>
    </w:lvl>
    <w:lvl w:ilvl="8">
      <w:start w:val="1"/>
      <w:numFmt w:val="lowerRoman"/>
      <w:lvlText w:val="%9."/>
      <w:lvlJc w:val="left"/>
      <w:pPr>
        <w:tabs>
          <w:tab w:val="num" w:pos="9465"/>
        </w:tabs>
        <w:ind w:left="9465" w:hanging="360"/>
      </w:pPr>
      <w:rPr>
        <w:rFonts w:hint="default"/>
      </w:rPr>
    </w:lvl>
  </w:abstractNum>
  <w:abstractNum w:abstractNumId="13">
    <w:nsid w:val="53360F8E"/>
    <w:multiLevelType w:val="multilevel"/>
    <w:tmpl w:val="20ACAA4A"/>
    <w:lvl w:ilvl="0">
      <w:start w:val="1"/>
      <w:numFmt w:val="decimal"/>
      <w:lvlText w:val="%1."/>
      <w:lvlJc w:val="left"/>
      <w:pPr>
        <w:tabs>
          <w:tab w:val="num" w:pos="720"/>
        </w:tabs>
        <w:ind w:left="720" w:hanging="720"/>
      </w:pPr>
      <w:rPr>
        <w:rFonts w:hint="default"/>
        <w:b/>
        <w:i w:val="0"/>
      </w:rPr>
    </w:lvl>
    <w:lvl w:ilvl="1">
      <w:start w:val="1"/>
      <w:numFmt w:val="lowerLetter"/>
      <w:lvlText w:val="(%2)"/>
      <w:lvlJc w:val="left"/>
      <w:pPr>
        <w:tabs>
          <w:tab w:val="num" w:pos="1440"/>
        </w:tabs>
        <w:ind w:left="1440" w:hanging="720"/>
      </w:pPr>
      <w:rPr>
        <w:rFonts w:ascii="Times New Roman" w:hAnsi="Times New Roman" w:hint="default"/>
        <w:b w:val="0"/>
        <w:i w:val="0"/>
        <w:sz w:val="24"/>
        <w:szCs w:val="24"/>
        <w:u w:val="none"/>
      </w:rPr>
    </w:lvl>
    <w:lvl w:ilvl="2">
      <w:start w:val="1"/>
      <w:numFmt w:val="lowerRoman"/>
      <w:lvlText w:val="(%3)"/>
      <w:lvlJc w:val="left"/>
      <w:pPr>
        <w:tabs>
          <w:tab w:val="num" w:pos="2160"/>
        </w:tabs>
        <w:ind w:left="2160" w:hanging="720"/>
      </w:pPr>
      <w:rPr>
        <w:rFonts w:hint="default"/>
      </w:rPr>
    </w:lvl>
    <w:lvl w:ilvl="3">
      <w:start w:val="1"/>
      <w:numFmt w:val="none"/>
      <w:lvlText w:val="(A)"/>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6EB4D53"/>
    <w:multiLevelType w:val="multilevel"/>
    <w:tmpl w:val="CD7CACB2"/>
    <w:lvl w:ilvl="0">
      <w:start w:val="1"/>
      <w:numFmt w:val="decimal"/>
      <w:lvlText w:val="%1."/>
      <w:lvlJc w:val="left"/>
      <w:pPr>
        <w:tabs>
          <w:tab w:val="num" w:pos="720"/>
        </w:tabs>
        <w:ind w:left="720" w:hanging="720"/>
      </w:pPr>
      <w:rPr>
        <w:rFonts w:ascii="Times New Roman" w:hAnsi="Times New Roman" w:hint="default"/>
        <w:b/>
        <w:i w:val="0"/>
      </w:rPr>
    </w:lvl>
    <w:lvl w:ilvl="1">
      <w:start w:val="1"/>
      <w:numFmt w:val="lowerLetter"/>
      <w:lvlText w:val="(%2)"/>
      <w:lvlJc w:val="left"/>
      <w:pPr>
        <w:tabs>
          <w:tab w:val="num" w:pos="1440"/>
        </w:tabs>
        <w:ind w:left="1440" w:hanging="720"/>
      </w:pPr>
      <w:rPr>
        <w:rFonts w:ascii="Times New Roman" w:hAnsi="Times New Roman" w:hint="default"/>
        <w:b w:val="0"/>
        <w:i w:val="0"/>
        <w:sz w:val="24"/>
        <w:szCs w:val="24"/>
        <w:u w:val="none"/>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15">
    <w:nsid w:val="624A79C4"/>
    <w:multiLevelType w:val="multilevel"/>
    <w:tmpl w:val="DF905746"/>
    <w:lvl w:ilvl="0">
      <w:start w:val="1"/>
      <w:numFmt w:val="decimal"/>
      <w:lvlText w:val="%1."/>
      <w:lvlJc w:val="left"/>
      <w:pPr>
        <w:tabs>
          <w:tab w:val="num" w:pos="720"/>
        </w:tabs>
        <w:ind w:left="720" w:hanging="720"/>
      </w:pPr>
      <w:rPr>
        <w:rFonts w:hint="default"/>
        <w:b/>
        <w:i w:val="0"/>
      </w:rPr>
    </w:lvl>
    <w:lvl w:ilvl="1">
      <w:start w:val="1"/>
      <w:numFmt w:val="lowerLetter"/>
      <w:lvlText w:val="(%2)"/>
      <w:lvlJc w:val="left"/>
      <w:pPr>
        <w:tabs>
          <w:tab w:val="num" w:pos="1440"/>
        </w:tabs>
        <w:ind w:left="1440" w:hanging="720"/>
      </w:pPr>
      <w:rPr>
        <w:rFonts w:ascii="Times New Roman" w:hAnsi="Times New Roman" w:hint="default"/>
        <w:b w:val="0"/>
        <w:i w:val="0"/>
        <w:sz w:val="24"/>
        <w:szCs w:val="24"/>
        <w:u w:val="none"/>
      </w:rPr>
    </w:lvl>
    <w:lvl w:ilvl="2">
      <w:start w:val="1"/>
      <w:numFmt w:val="lowerRoman"/>
      <w:lvlText w:val="(%3)"/>
      <w:lvlJc w:val="left"/>
      <w:pPr>
        <w:tabs>
          <w:tab w:val="num" w:pos="2160"/>
        </w:tabs>
        <w:ind w:left="2160" w:hanging="720"/>
      </w:pPr>
      <w:rPr>
        <w:rFonts w:ascii="Times New Roman" w:hAnsi="Times New Roman" w:hint="default"/>
        <w:b w:val="0"/>
        <w:i w:val="0"/>
        <w:sz w:val="24"/>
        <w:szCs w:val="24"/>
        <w:u w:val="none"/>
      </w:rPr>
    </w:lvl>
    <w:lvl w:ilvl="3">
      <w:start w:val="1"/>
      <w:numFmt w:val="none"/>
      <w:lvlText w:val="(A)"/>
      <w:lvlJc w:val="left"/>
      <w:pPr>
        <w:tabs>
          <w:tab w:val="num" w:pos="2880"/>
        </w:tabs>
        <w:ind w:left="2880" w:hanging="720"/>
      </w:pPr>
      <w:rPr>
        <w:rFonts w:ascii="Times New Roman" w:hAnsi="Times New Roman" w:hint="default"/>
        <w:b w:val="0"/>
        <w:i w:val="0"/>
        <w:sz w:val="24"/>
        <w:szCs w:val="24"/>
      </w:rPr>
    </w:lvl>
    <w:lvl w:ilvl="4">
      <w:start w:val="1"/>
      <w:numFmt w:val="upperRoman"/>
      <w:lvlText w:val="(%5)"/>
      <w:lvlJc w:val="left"/>
      <w:pPr>
        <w:tabs>
          <w:tab w:val="num" w:pos="3600"/>
        </w:tabs>
        <w:ind w:left="3600" w:hanging="720"/>
      </w:pPr>
      <w:rPr>
        <w:rFonts w:ascii="Times New Roman" w:hAnsi="Times New Roman" w:hint="default"/>
        <w:b w:val="0"/>
        <w:i w:val="0"/>
        <w:sz w:val="24"/>
        <w:szCs w:val="24"/>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50A01A6"/>
    <w:multiLevelType w:val="multilevel"/>
    <w:tmpl w:val="CD7CACB2"/>
    <w:lvl w:ilvl="0">
      <w:start w:val="1"/>
      <w:numFmt w:val="decimal"/>
      <w:lvlText w:val="%1."/>
      <w:lvlJc w:val="left"/>
      <w:pPr>
        <w:tabs>
          <w:tab w:val="num" w:pos="720"/>
        </w:tabs>
        <w:ind w:left="720" w:hanging="720"/>
      </w:pPr>
      <w:rPr>
        <w:rFonts w:ascii="Times New Roman" w:hAnsi="Times New Roman" w:hint="default"/>
        <w:b/>
        <w:i w:val="0"/>
      </w:rPr>
    </w:lvl>
    <w:lvl w:ilvl="1">
      <w:start w:val="1"/>
      <w:numFmt w:val="lowerLetter"/>
      <w:lvlText w:val="(%2)"/>
      <w:lvlJc w:val="left"/>
      <w:pPr>
        <w:tabs>
          <w:tab w:val="num" w:pos="1440"/>
        </w:tabs>
        <w:ind w:left="1440" w:hanging="720"/>
      </w:pPr>
      <w:rPr>
        <w:rFonts w:ascii="Times New Roman" w:hAnsi="Times New Roman" w:hint="default"/>
        <w:b w:val="0"/>
        <w:i w:val="0"/>
        <w:sz w:val="24"/>
        <w:szCs w:val="24"/>
        <w:u w:val="none"/>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17">
    <w:nsid w:val="74CD2789"/>
    <w:multiLevelType w:val="singleLevel"/>
    <w:tmpl w:val="345C1B18"/>
    <w:name w:val="OR BulletList"/>
    <w:lvl w:ilvl="0">
      <w:start w:val="1"/>
      <w:numFmt w:val="bullet"/>
      <w:pStyle w:val="ORBulletList"/>
      <w:lvlText w:val=""/>
      <w:lvlJc w:val="left"/>
      <w:pPr>
        <w:tabs>
          <w:tab w:val="num" w:pos="1440"/>
        </w:tabs>
        <w:ind w:left="1440" w:hanging="720"/>
      </w:pPr>
      <w:rPr>
        <w:rFonts w:ascii="Symbol" w:hAnsi="Symbol" w:hint="default"/>
        <w:b w:val="0"/>
        <w:i w:val="0"/>
        <w:sz w:val="24"/>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5"/>
  </w:num>
  <w:num w:numId="14">
    <w:abstractNumId w:val="15"/>
  </w:num>
  <w:num w:numId="15">
    <w:abstractNumId w:val="15"/>
  </w:num>
  <w:num w:numId="16">
    <w:abstractNumId w:val="15"/>
  </w:num>
  <w:num w:numId="17">
    <w:abstractNumId w:val="13"/>
  </w:num>
  <w:num w:numId="18">
    <w:abstractNumId w:val="14"/>
  </w:num>
  <w:num w:numId="19">
    <w:abstractNumId w:val="16"/>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CA" w:vendorID="64" w:dllVersion="131077" w:nlCheck="1" w:checkStyle="1"/>
  <w:activeWritingStyle w:appName="MSWord" w:lang="en-CA"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9"/>
  <w:displayVerticalDrawingGridEvery w:val="2"/>
  <w:noPunctuationKerning/>
  <w:characterSpacingControl w:val="doNotCompress"/>
  <w:hdrShapeDefaults>
    <o:shapedefaults v:ext="edit" spidmax="1146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23"/>
    <w:rsid w:val="000035EC"/>
    <w:rsid w:val="000051AF"/>
    <w:rsid w:val="00014F06"/>
    <w:rsid w:val="000152CD"/>
    <w:rsid w:val="00016E08"/>
    <w:rsid w:val="00020805"/>
    <w:rsid w:val="00020987"/>
    <w:rsid w:val="00033122"/>
    <w:rsid w:val="00035C1F"/>
    <w:rsid w:val="00036327"/>
    <w:rsid w:val="00040754"/>
    <w:rsid w:val="00053AC0"/>
    <w:rsid w:val="00057D12"/>
    <w:rsid w:val="000614B1"/>
    <w:rsid w:val="00062C46"/>
    <w:rsid w:val="00081CE6"/>
    <w:rsid w:val="00086A35"/>
    <w:rsid w:val="00094758"/>
    <w:rsid w:val="00094F7A"/>
    <w:rsid w:val="00096671"/>
    <w:rsid w:val="000A1230"/>
    <w:rsid w:val="000A773C"/>
    <w:rsid w:val="000B214F"/>
    <w:rsid w:val="000B7879"/>
    <w:rsid w:val="000B7E51"/>
    <w:rsid w:val="000C6768"/>
    <w:rsid w:val="000E1032"/>
    <w:rsid w:val="000E62C9"/>
    <w:rsid w:val="000F5C73"/>
    <w:rsid w:val="00101F79"/>
    <w:rsid w:val="00111696"/>
    <w:rsid w:val="00113E07"/>
    <w:rsid w:val="00120A05"/>
    <w:rsid w:val="00122FFA"/>
    <w:rsid w:val="001237ED"/>
    <w:rsid w:val="00131268"/>
    <w:rsid w:val="00135E69"/>
    <w:rsid w:val="001415D9"/>
    <w:rsid w:val="00142E3B"/>
    <w:rsid w:val="001453B2"/>
    <w:rsid w:val="00146F94"/>
    <w:rsid w:val="001473B8"/>
    <w:rsid w:val="001523D7"/>
    <w:rsid w:val="001538CF"/>
    <w:rsid w:val="00154C6B"/>
    <w:rsid w:val="00160B8F"/>
    <w:rsid w:val="0016181E"/>
    <w:rsid w:val="00164AA9"/>
    <w:rsid w:val="00183535"/>
    <w:rsid w:val="0018379A"/>
    <w:rsid w:val="001A3D94"/>
    <w:rsid w:val="001A5D5D"/>
    <w:rsid w:val="001B37AF"/>
    <w:rsid w:val="001B3EAC"/>
    <w:rsid w:val="001B5743"/>
    <w:rsid w:val="001B69E4"/>
    <w:rsid w:val="001C2E7E"/>
    <w:rsid w:val="001C51AB"/>
    <w:rsid w:val="001D3A94"/>
    <w:rsid w:val="001E2CE3"/>
    <w:rsid w:val="001E5725"/>
    <w:rsid w:val="001E5B10"/>
    <w:rsid w:val="001E5C41"/>
    <w:rsid w:val="001F4FA5"/>
    <w:rsid w:val="0021308E"/>
    <w:rsid w:val="002169A3"/>
    <w:rsid w:val="00217290"/>
    <w:rsid w:val="00222016"/>
    <w:rsid w:val="00222683"/>
    <w:rsid w:val="00253375"/>
    <w:rsid w:val="00256E02"/>
    <w:rsid w:val="0025722A"/>
    <w:rsid w:val="00267F23"/>
    <w:rsid w:val="002701E5"/>
    <w:rsid w:val="00271D0D"/>
    <w:rsid w:val="0027481B"/>
    <w:rsid w:val="0028024D"/>
    <w:rsid w:val="00285A74"/>
    <w:rsid w:val="00287721"/>
    <w:rsid w:val="002965DC"/>
    <w:rsid w:val="002A0384"/>
    <w:rsid w:val="002A4B12"/>
    <w:rsid w:val="002A7E0A"/>
    <w:rsid w:val="002B079B"/>
    <w:rsid w:val="002C0373"/>
    <w:rsid w:val="002C0CE5"/>
    <w:rsid w:val="002C6FDB"/>
    <w:rsid w:val="002D1C95"/>
    <w:rsid w:val="002D4A29"/>
    <w:rsid w:val="002D5819"/>
    <w:rsid w:val="002E1B9D"/>
    <w:rsid w:val="002E693F"/>
    <w:rsid w:val="002F04AD"/>
    <w:rsid w:val="003000EC"/>
    <w:rsid w:val="00301745"/>
    <w:rsid w:val="00303821"/>
    <w:rsid w:val="00303FC8"/>
    <w:rsid w:val="00307C95"/>
    <w:rsid w:val="00323CFA"/>
    <w:rsid w:val="0033147F"/>
    <w:rsid w:val="003472C7"/>
    <w:rsid w:val="00351899"/>
    <w:rsid w:val="0035425C"/>
    <w:rsid w:val="00365747"/>
    <w:rsid w:val="00372379"/>
    <w:rsid w:val="00372DFB"/>
    <w:rsid w:val="00381838"/>
    <w:rsid w:val="003B1FDF"/>
    <w:rsid w:val="003B4E39"/>
    <w:rsid w:val="003D1425"/>
    <w:rsid w:val="003D1D14"/>
    <w:rsid w:val="003D2291"/>
    <w:rsid w:val="003D23EF"/>
    <w:rsid w:val="003E4656"/>
    <w:rsid w:val="003F16D3"/>
    <w:rsid w:val="003F1E3A"/>
    <w:rsid w:val="003F2E43"/>
    <w:rsid w:val="00407855"/>
    <w:rsid w:val="00414C97"/>
    <w:rsid w:val="00427209"/>
    <w:rsid w:val="004412D8"/>
    <w:rsid w:val="0044238E"/>
    <w:rsid w:val="00443596"/>
    <w:rsid w:val="00464256"/>
    <w:rsid w:val="00466B1F"/>
    <w:rsid w:val="00466C68"/>
    <w:rsid w:val="004679F5"/>
    <w:rsid w:val="00476052"/>
    <w:rsid w:val="00493A6A"/>
    <w:rsid w:val="004A1C8E"/>
    <w:rsid w:val="004A5654"/>
    <w:rsid w:val="004C2071"/>
    <w:rsid w:val="004C31C1"/>
    <w:rsid w:val="004C46E9"/>
    <w:rsid w:val="004D2453"/>
    <w:rsid w:val="004E4E6F"/>
    <w:rsid w:val="004F2990"/>
    <w:rsid w:val="004F5C9E"/>
    <w:rsid w:val="00502398"/>
    <w:rsid w:val="005023DA"/>
    <w:rsid w:val="00510163"/>
    <w:rsid w:val="00517881"/>
    <w:rsid w:val="00520D54"/>
    <w:rsid w:val="00521070"/>
    <w:rsid w:val="005213A3"/>
    <w:rsid w:val="0054118E"/>
    <w:rsid w:val="00564FC5"/>
    <w:rsid w:val="00565302"/>
    <w:rsid w:val="00576C07"/>
    <w:rsid w:val="00593692"/>
    <w:rsid w:val="00593B31"/>
    <w:rsid w:val="005A4A3E"/>
    <w:rsid w:val="005A5738"/>
    <w:rsid w:val="005A62DB"/>
    <w:rsid w:val="005C403B"/>
    <w:rsid w:val="005C6BB6"/>
    <w:rsid w:val="005D17B1"/>
    <w:rsid w:val="005E34E4"/>
    <w:rsid w:val="005E36AE"/>
    <w:rsid w:val="005F5D61"/>
    <w:rsid w:val="005F7334"/>
    <w:rsid w:val="00601B99"/>
    <w:rsid w:val="006042F8"/>
    <w:rsid w:val="0061036B"/>
    <w:rsid w:val="0061556D"/>
    <w:rsid w:val="00632C0A"/>
    <w:rsid w:val="006334E8"/>
    <w:rsid w:val="006357C5"/>
    <w:rsid w:val="006472B9"/>
    <w:rsid w:val="00654911"/>
    <w:rsid w:val="00654B2D"/>
    <w:rsid w:val="00655D3C"/>
    <w:rsid w:val="0066047F"/>
    <w:rsid w:val="006646C0"/>
    <w:rsid w:val="006712AA"/>
    <w:rsid w:val="00676CEE"/>
    <w:rsid w:val="006840B5"/>
    <w:rsid w:val="006864BA"/>
    <w:rsid w:val="006867BE"/>
    <w:rsid w:val="00696606"/>
    <w:rsid w:val="00696D53"/>
    <w:rsid w:val="006A026A"/>
    <w:rsid w:val="006A0DAB"/>
    <w:rsid w:val="006A1201"/>
    <w:rsid w:val="006A4C0E"/>
    <w:rsid w:val="006A4EB0"/>
    <w:rsid w:val="006C1D83"/>
    <w:rsid w:val="006D19BA"/>
    <w:rsid w:val="006E22CC"/>
    <w:rsid w:val="006F19BB"/>
    <w:rsid w:val="006F5072"/>
    <w:rsid w:val="006F5A4F"/>
    <w:rsid w:val="006F7FA1"/>
    <w:rsid w:val="00703BCE"/>
    <w:rsid w:val="007066EC"/>
    <w:rsid w:val="00713485"/>
    <w:rsid w:val="00715FA8"/>
    <w:rsid w:val="007306A4"/>
    <w:rsid w:val="00733DFE"/>
    <w:rsid w:val="007366D4"/>
    <w:rsid w:val="00743523"/>
    <w:rsid w:val="00754D1A"/>
    <w:rsid w:val="007834AF"/>
    <w:rsid w:val="00793C90"/>
    <w:rsid w:val="00793CCC"/>
    <w:rsid w:val="00793E03"/>
    <w:rsid w:val="0079642F"/>
    <w:rsid w:val="00797684"/>
    <w:rsid w:val="007A2C05"/>
    <w:rsid w:val="007B0E04"/>
    <w:rsid w:val="007B750F"/>
    <w:rsid w:val="007C0E23"/>
    <w:rsid w:val="007C39DE"/>
    <w:rsid w:val="007D632C"/>
    <w:rsid w:val="007E41FE"/>
    <w:rsid w:val="007E53FA"/>
    <w:rsid w:val="007E5AC7"/>
    <w:rsid w:val="007E5B52"/>
    <w:rsid w:val="007E5C88"/>
    <w:rsid w:val="007E5F1B"/>
    <w:rsid w:val="007E74CD"/>
    <w:rsid w:val="007F2B24"/>
    <w:rsid w:val="007F3D66"/>
    <w:rsid w:val="007F41EB"/>
    <w:rsid w:val="007F64B5"/>
    <w:rsid w:val="007F7066"/>
    <w:rsid w:val="00814DE1"/>
    <w:rsid w:val="00817A6C"/>
    <w:rsid w:val="00821933"/>
    <w:rsid w:val="00832A99"/>
    <w:rsid w:val="00842D71"/>
    <w:rsid w:val="00843362"/>
    <w:rsid w:val="0084646A"/>
    <w:rsid w:val="008517B0"/>
    <w:rsid w:val="00852BA1"/>
    <w:rsid w:val="0085459F"/>
    <w:rsid w:val="0085786F"/>
    <w:rsid w:val="00871F6B"/>
    <w:rsid w:val="00877081"/>
    <w:rsid w:val="0088115B"/>
    <w:rsid w:val="0089135F"/>
    <w:rsid w:val="008A05D4"/>
    <w:rsid w:val="008A2309"/>
    <w:rsid w:val="008A3591"/>
    <w:rsid w:val="008A6F50"/>
    <w:rsid w:val="008A7DC6"/>
    <w:rsid w:val="008B5E7A"/>
    <w:rsid w:val="008C0480"/>
    <w:rsid w:val="008D1F6C"/>
    <w:rsid w:val="008D2A26"/>
    <w:rsid w:val="008D555A"/>
    <w:rsid w:val="008D6885"/>
    <w:rsid w:val="008E1C43"/>
    <w:rsid w:val="008E4D8A"/>
    <w:rsid w:val="008F21FA"/>
    <w:rsid w:val="008F6011"/>
    <w:rsid w:val="008F74D8"/>
    <w:rsid w:val="00940507"/>
    <w:rsid w:val="009456D9"/>
    <w:rsid w:val="00947CB3"/>
    <w:rsid w:val="00954715"/>
    <w:rsid w:val="009557BB"/>
    <w:rsid w:val="0096256A"/>
    <w:rsid w:val="00984CF4"/>
    <w:rsid w:val="00990A34"/>
    <w:rsid w:val="009A4F6B"/>
    <w:rsid w:val="009A56B6"/>
    <w:rsid w:val="009A6D1C"/>
    <w:rsid w:val="009B5766"/>
    <w:rsid w:val="009B5BF5"/>
    <w:rsid w:val="009C017F"/>
    <w:rsid w:val="009C1F76"/>
    <w:rsid w:val="009C2611"/>
    <w:rsid w:val="009C3CC1"/>
    <w:rsid w:val="009C4951"/>
    <w:rsid w:val="009C76A2"/>
    <w:rsid w:val="009D1644"/>
    <w:rsid w:val="009D3B19"/>
    <w:rsid w:val="009E4809"/>
    <w:rsid w:val="009F3B3E"/>
    <w:rsid w:val="00A01936"/>
    <w:rsid w:val="00A01BCE"/>
    <w:rsid w:val="00A06D0A"/>
    <w:rsid w:val="00A118D8"/>
    <w:rsid w:val="00A23CAD"/>
    <w:rsid w:val="00A4420C"/>
    <w:rsid w:val="00A4627D"/>
    <w:rsid w:val="00A50419"/>
    <w:rsid w:val="00A50866"/>
    <w:rsid w:val="00A52B2D"/>
    <w:rsid w:val="00A54662"/>
    <w:rsid w:val="00A6095F"/>
    <w:rsid w:val="00A62D7F"/>
    <w:rsid w:val="00A72598"/>
    <w:rsid w:val="00A748D1"/>
    <w:rsid w:val="00A91B6C"/>
    <w:rsid w:val="00A95B9A"/>
    <w:rsid w:val="00A962BD"/>
    <w:rsid w:val="00A97D95"/>
    <w:rsid w:val="00AA2B9A"/>
    <w:rsid w:val="00AB2796"/>
    <w:rsid w:val="00AB2BF7"/>
    <w:rsid w:val="00AB5B3F"/>
    <w:rsid w:val="00AC2718"/>
    <w:rsid w:val="00AC37BA"/>
    <w:rsid w:val="00AD4925"/>
    <w:rsid w:val="00AE39B9"/>
    <w:rsid w:val="00AE5292"/>
    <w:rsid w:val="00AE765E"/>
    <w:rsid w:val="00AF09B2"/>
    <w:rsid w:val="00B00185"/>
    <w:rsid w:val="00B04E9D"/>
    <w:rsid w:val="00B0774D"/>
    <w:rsid w:val="00B1022B"/>
    <w:rsid w:val="00B1375D"/>
    <w:rsid w:val="00B1743D"/>
    <w:rsid w:val="00B25DB1"/>
    <w:rsid w:val="00B316DD"/>
    <w:rsid w:val="00B34372"/>
    <w:rsid w:val="00B37FD7"/>
    <w:rsid w:val="00B53B9F"/>
    <w:rsid w:val="00B61B44"/>
    <w:rsid w:val="00B62A36"/>
    <w:rsid w:val="00B63364"/>
    <w:rsid w:val="00B700B9"/>
    <w:rsid w:val="00B71FD9"/>
    <w:rsid w:val="00B72B86"/>
    <w:rsid w:val="00B75879"/>
    <w:rsid w:val="00B872EF"/>
    <w:rsid w:val="00BA0243"/>
    <w:rsid w:val="00BA1EEC"/>
    <w:rsid w:val="00BB7DA4"/>
    <w:rsid w:val="00BC300D"/>
    <w:rsid w:val="00BC32EB"/>
    <w:rsid w:val="00BC48F3"/>
    <w:rsid w:val="00BD0CB7"/>
    <w:rsid w:val="00BD0F77"/>
    <w:rsid w:val="00BD4787"/>
    <w:rsid w:val="00BD7EA3"/>
    <w:rsid w:val="00BE1416"/>
    <w:rsid w:val="00BE5A36"/>
    <w:rsid w:val="00BF38BA"/>
    <w:rsid w:val="00C036C7"/>
    <w:rsid w:val="00C074BC"/>
    <w:rsid w:val="00C14C4E"/>
    <w:rsid w:val="00C15C14"/>
    <w:rsid w:val="00C17776"/>
    <w:rsid w:val="00C2278F"/>
    <w:rsid w:val="00C22EAF"/>
    <w:rsid w:val="00C2610F"/>
    <w:rsid w:val="00C4473D"/>
    <w:rsid w:val="00C5299F"/>
    <w:rsid w:val="00C829CB"/>
    <w:rsid w:val="00C92CF1"/>
    <w:rsid w:val="00CA7624"/>
    <w:rsid w:val="00CE09B0"/>
    <w:rsid w:val="00CE19B6"/>
    <w:rsid w:val="00CF0DCE"/>
    <w:rsid w:val="00D050C0"/>
    <w:rsid w:val="00D10C8C"/>
    <w:rsid w:val="00D1400C"/>
    <w:rsid w:val="00D321D6"/>
    <w:rsid w:val="00D3650E"/>
    <w:rsid w:val="00D43A8A"/>
    <w:rsid w:val="00D43F66"/>
    <w:rsid w:val="00D47E15"/>
    <w:rsid w:val="00D63A3F"/>
    <w:rsid w:val="00D70F25"/>
    <w:rsid w:val="00D73B43"/>
    <w:rsid w:val="00D84645"/>
    <w:rsid w:val="00DA1481"/>
    <w:rsid w:val="00DA1C20"/>
    <w:rsid w:val="00DA4FDC"/>
    <w:rsid w:val="00DA5D57"/>
    <w:rsid w:val="00DB66D6"/>
    <w:rsid w:val="00DD003D"/>
    <w:rsid w:val="00E048C0"/>
    <w:rsid w:val="00E078CF"/>
    <w:rsid w:val="00E306CB"/>
    <w:rsid w:val="00E31E78"/>
    <w:rsid w:val="00E40780"/>
    <w:rsid w:val="00E40CEB"/>
    <w:rsid w:val="00E441A4"/>
    <w:rsid w:val="00E44D66"/>
    <w:rsid w:val="00E510E3"/>
    <w:rsid w:val="00E57BFD"/>
    <w:rsid w:val="00E6731A"/>
    <w:rsid w:val="00E7511A"/>
    <w:rsid w:val="00E80198"/>
    <w:rsid w:val="00E81F6E"/>
    <w:rsid w:val="00E93689"/>
    <w:rsid w:val="00EA68B2"/>
    <w:rsid w:val="00EB0DB7"/>
    <w:rsid w:val="00EB20D3"/>
    <w:rsid w:val="00EC142C"/>
    <w:rsid w:val="00EC2A5C"/>
    <w:rsid w:val="00EC5B07"/>
    <w:rsid w:val="00EC6169"/>
    <w:rsid w:val="00ED7A6A"/>
    <w:rsid w:val="00EE0BCA"/>
    <w:rsid w:val="00EE4293"/>
    <w:rsid w:val="00EF0EAE"/>
    <w:rsid w:val="00EF267A"/>
    <w:rsid w:val="00EF4B0D"/>
    <w:rsid w:val="00F03966"/>
    <w:rsid w:val="00F11B6B"/>
    <w:rsid w:val="00F15BE0"/>
    <w:rsid w:val="00F21792"/>
    <w:rsid w:val="00F228B3"/>
    <w:rsid w:val="00F32704"/>
    <w:rsid w:val="00F36F2F"/>
    <w:rsid w:val="00F41026"/>
    <w:rsid w:val="00F531FE"/>
    <w:rsid w:val="00F53CB5"/>
    <w:rsid w:val="00F5713F"/>
    <w:rsid w:val="00F717DC"/>
    <w:rsid w:val="00F75E61"/>
    <w:rsid w:val="00F77FD6"/>
    <w:rsid w:val="00F82FB9"/>
    <w:rsid w:val="00F9158D"/>
    <w:rsid w:val="00FA33A8"/>
    <w:rsid w:val="00FA5549"/>
    <w:rsid w:val="00FC14EC"/>
    <w:rsid w:val="00FC4FAA"/>
    <w:rsid w:val="00FC52DF"/>
    <w:rsid w:val="00FC78A0"/>
    <w:rsid w:val="00FD67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szCs w:val="24"/>
      <w:lang w:val="en-CA"/>
    </w:rPr>
  </w:style>
  <w:style w:type="paragraph" w:styleId="Heading1">
    <w:name w:val="heading 1"/>
    <w:basedOn w:val="Normal"/>
    <w:next w:val="ORPara"/>
    <w:qFormat/>
    <w:pPr>
      <w:keepNext/>
      <w:spacing w:before="120"/>
      <w:jc w:val="left"/>
      <w:outlineLvl w:val="0"/>
    </w:pPr>
    <w:rPr>
      <w:rFonts w:cs="Arial"/>
      <w:b/>
      <w:bCs/>
    </w:rPr>
  </w:style>
  <w:style w:type="paragraph" w:styleId="Heading2">
    <w:name w:val="heading 2"/>
    <w:basedOn w:val="Normal"/>
    <w:next w:val="ORPara"/>
    <w:qFormat/>
    <w:pPr>
      <w:keepNext/>
      <w:spacing w:before="120"/>
      <w:jc w:val="left"/>
      <w:outlineLvl w:val="1"/>
    </w:pPr>
    <w:rPr>
      <w:rFonts w:cs="Arial"/>
      <w:b/>
      <w:bCs/>
      <w:i/>
      <w:iCs/>
    </w:rPr>
  </w:style>
  <w:style w:type="paragraph" w:styleId="Heading3">
    <w:name w:val="heading 3"/>
    <w:basedOn w:val="Normal"/>
    <w:next w:val="ORPara"/>
    <w:qFormat/>
    <w:pPr>
      <w:keepNext/>
      <w:spacing w:before="120"/>
      <w:jc w:val="left"/>
      <w:outlineLvl w:val="2"/>
    </w:pPr>
    <w:rPr>
      <w:rFonts w:cs="Arial"/>
      <w:bCs/>
      <w:szCs w:val="26"/>
      <w:u w:val="single"/>
    </w:rPr>
  </w:style>
  <w:style w:type="paragraph" w:styleId="Heading4">
    <w:name w:val="heading 4"/>
    <w:basedOn w:val="Normal"/>
    <w:next w:val="ORPara"/>
    <w:qFormat/>
    <w:pPr>
      <w:keepNext/>
      <w:spacing w:before="120"/>
      <w:jc w:val="left"/>
      <w:outlineLvl w:val="3"/>
    </w:pPr>
    <w:rPr>
      <w:bCs/>
      <w:i/>
      <w:szCs w:val="28"/>
    </w:rPr>
  </w:style>
  <w:style w:type="paragraph" w:styleId="Heading5">
    <w:name w:val="heading 5"/>
    <w:basedOn w:val="Normal"/>
    <w:next w:val="ORPara"/>
    <w:qFormat/>
    <w:pPr>
      <w:keepNext/>
      <w:spacing w:before="120"/>
      <w:jc w:val="left"/>
      <w:outlineLvl w:val="4"/>
    </w:pPr>
    <w:rPr>
      <w:bCs/>
      <w:iCs/>
      <w:szCs w:val="26"/>
    </w:rPr>
  </w:style>
  <w:style w:type="paragraph" w:styleId="Heading6">
    <w:name w:val="heading 6"/>
    <w:basedOn w:val="Normal"/>
    <w:next w:val="ORPara"/>
    <w:qFormat/>
    <w:pPr>
      <w:keepNext/>
      <w:spacing w:before="120"/>
      <w:jc w:val="left"/>
      <w:outlineLvl w:val="5"/>
    </w:pPr>
    <w:rPr>
      <w:bCs/>
      <w:szCs w:val="22"/>
    </w:rPr>
  </w:style>
  <w:style w:type="paragraph" w:styleId="Heading7">
    <w:name w:val="heading 7"/>
    <w:basedOn w:val="Normal"/>
    <w:next w:val="ORPara"/>
    <w:qFormat/>
    <w:pPr>
      <w:keepNext/>
      <w:spacing w:before="120"/>
      <w:jc w:val="left"/>
      <w:outlineLvl w:val="6"/>
    </w:pPr>
  </w:style>
  <w:style w:type="paragraph" w:styleId="Heading8">
    <w:name w:val="heading 8"/>
    <w:basedOn w:val="Normal"/>
    <w:next w:val="ORPara"/>
    <w:qFormat/>
    <w:pPr>
      <w:keepNext/>
      <w:spacing w:before="120"/>
      <w:jc w:val="left"/>
      <w:outlineLvl w:val="7"/>
    </w:pPr>
    <w:rPr>
      <w:iCs/>
    </w:rPr>
  </w:style>
  <w:style w:type="paragraph" w:styleId="Heading9">
    <w:name w:val="heading 9"/>
    <w:basedOn w:val="Normal"/>
    <w:next w:val="ORPara"/>
    <w:qFormat/>
    <w:pPr>
      <w:keepNext/>
      <w:spacing w:before="12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Para">
    <w:name w:val="ORPara"/>
    <w:aliases w:val="P,MDPlain,Para,OHHpara"/>
    <w:basedOn w:val="Normal"/>
    <w:link w:val="ORParaChar"/>
  </w:style>
  <w:style w:type="paragraph" w:styleId="BodyText">
    <w:name w:val="Body Text"/>
    <w:basedOn w:val="Normal"/>
  </w:style>
  <w:style w:type="paragraph" w:customStyle="1" w:styleId="ORMainHeading">
    <w:name w:val="ORMainHeading"/>
    <w:aliases w:val="MH"/>
    <w:basedOn w:val="NormalSingle"/>
    <w:next w:val="ORPara"/>
    <w:pPr>
      <w:keepNext/>
      <w:keepLines/>
      <w:jc w:val="left"/>
      <w:outlineLvl w:val="0"/>
    </w:pPr>
    <w:rPr>
      <w:b/>
      <w:caps/>
      <w:u w:val="single"/>
    </w:rPr>
  </w:style>
  <w:style w:type="paragraph" w:styleId="Header">
    <w:name w:val="header"/>
    <w:basedOn w:val="NormalSingle"/>
    <w:pPr>
      <w:tabs>
        <w:tab w:val="center" w:pos="4680"/>
        <w:tab w:val="right" w:pos="9360"/>
      </w:tabs>
      <w:spacing w:after="0"/>
      <w:jc w:val="left"/>
    </w:pPr>
  </w:style>
  <w:style w:type="paragraph" w:styleId="Footer">
    <w:name w:val="footer"/>
    <w:basedOn w:val="NormalSingle"/>
    <w:pPr>
      <w:tabs>
        <w:tab w:val="center" w:pos="4680"/>
        <w:tab w:val="right" w:pos="9360"/>
      </w:tabs>
      <w:spacing w:after="0"/>
      <w:jc w:val="left"/>
    </w:pPr>
  </w:style>
  <w:style w:type="paragraph" w:customStyle="1" w:styleId="ORSubHeading">
    <w:name w:val="ORSubHeading"/>
    <w:aliases w:val="SH"/>
    <w:basedOn w:val="NormalSingle"/>
    <w:next w:val="ORPara"/>
    <w:pPr>
      <w:keepNext/>
      <w:keepLines/>
      <w:spacing w:before="120" w:after="120"/>
      <w:jc w:val="left"/>
      <w:outlineLvl w:val="1"/>
    </w:pPr>
    <w:rPr>
      <w:b/>
    </w:rPr>
  </w:style>
  <w:style w:type="paragraph" w:customStyle="1" w:styleId="ORBulletList">
    <w:name w:val="ORBulletList"/>
    <w:aliases w:val="BL"/>
    <w:basedOn w:val="Normal"/>
    <w:pPr>
      <w:numPr>
        <w:numId w:val="1"/>
      </w:numPr>
    </w:pPr>
    <w:rPr>
      <w:szCs w:val="20"/>
    </w:rPr>
  </w:style>
  <w:style w:type="paragraph" w:customStyle="1" w:styleId="ORBlock">
    <w:name w:val="ORBlock"/>
    <w:aliases w:val="B"/>
    <w:basedOn w:val="Normal"/>
    <w:pPr>
      <w:ind w:left="720" w:right="720"/>
    </w:pPr>
    <w:rPr>
      <w:szCs w:val="20"/>
    </w:rPr>
  </w:style>
  <w:style w:type="paragraph" w:customStyle="1" w:styleId="ORBlock1">
    <w:name w:val="ORBlock1"/>
    <w:aliases w:val="B1"/>
    <w:basedOn w:val="Normal"/>
    <w:pPr>
      <w:ind w:left="1440" w:right="1440"/>
    </w:pPr>
    <w:rPr>
      <w:szCs w:val="20"/>
    </w:rPr>
  </w:style>
  <w:style w:type="paragraph" w:customStyle="1" w:styleId="ORCentre">
    <w:name w:val="ORCentre"/>
    <w:aliases w:val="C"/>
    <w:basedOn w:val="Normal"/>
    <w:pPr>
      <w:jc w:val="center"/>
    </w:pPr>
    <w:rPr>
      <w:szCs w:val="20"/>
    </w:rPr>
  </w:style>
  <w:style w:type="paragraph" w:customStyle="1" w:styleId="ORHanging">
    <w:name w:val="ORHanging"/>
    <w:aliases w:val="H"/>
    <w:basedOn w:val="Normal"/>
    <w:pPr>
      <w:ind w:left="720" w:hanging="720"/>
    </w:pPr>
    <w:rPr>
      <w:szCs w:val="20"/>
    </w:rPr>
  </w:style>
  <w:style w:type="paragraph" w:customStyle="1" w:styleId="ORIndent1">
    <w:name w:val="ORIndent1"/>
    <w:aliases w:val="I1"/>
    <w:basedOn w:val="Normal"/>
    <w:pPr>
      <w:ind w:left="720"/>
    </w:pPr>
    <w:rPr>
      <w:szCs w:val="20"/>
    </w:rPr>
  </w:style>
  <w:style w:type="paragraph" w:customStyle="1" w:styleId="ORIndent2">
    <w:name w:val="ORIndent2"/>
    <w:aliases w:val="I2"/>
    <w:basedOn w:val="Normal"/>
    <w:pPr>
      <w:ind w:left="1440"/>
    </w:pPr>
    <w:rPr>
      <w:szCs w:val="20"/>
    </w:rPr>
  </w:style>
  <w:style w:type="paragraph" w:customStyle="1" w:styleId="ORIndent3">
    <w:name w:val="ORIndent3"/>
    <w:aliases w:val="I3"/>
    <w:basedOn w:val="Normal"/>
    <w:pPr>
      <w:ind w:left="2160"/>
    </w:pPr>
    <w:rPr>
      <w:szCs w:val="20"/>
    </w:rPr>
  </w:style>
  <w:style w:type="paragraph" w:customStyle="1" w:styleId="ORIndent4">
    <w:name w:val="ORIndent4"/>
    <w:aliases w:val="I4"/>
    <w:basedOn w:val="Normal"/>
    <w:pPr>
      <w:ind w:left="2880"/>
    </w:pPr>
    <w:rPr>
      <w:szCs w:val="20"/>
    </w:rPr>
  </w:style>
  <w:style w:type="paragraph" w:customStyle="1" w:styleId="ORIndent5">
    <w:name w:val="ORIndent5"/>
    <w:aliases w:val="I5"/>
    <w:basedOn w:val="Normal"/>
    <w:pPr>
      <w:ind w:left="3600"/>
    </w:pPr>
    <w:rPr>
      <w:szCs w:val="20"/>
    </w:rPr>
  </w:style>
  <w:style w:type="paragraph" w:customStyle="1" w:styleId="ORLeft">
    <w:name w:val="ORLeft"/>
    <w:aliases w:val="L,G"/>
    <w:basedOn w:val="Normal"/>
    <w:pPr>
      <w:jc w:val="left"/>
    </w:pPr>
    <w:rPr>
      <w:szCs w:val="20"/>
    </w:rPr>
  </w:style>
  <w:style w:type="paragraph" w:customStyle="1" w:styleId="ORPlain">
    <w:name w:val="ORPlain"/>
    <w:basedOn w:val="Normal"/>
    <w:pPr>
      <w:spacing w:after="0"/>
      <w:jc w:val="left"/>
    </w:pPr>
    <w:rPr>
      <w:szCs w:val="20"/>
    </w:rPr>
  </w:style>
  <w:style w:type="paragraph" w:customStyle="1" w:styleId="ORReference">
    <w:name w:val="ORReference"/>
    <w:aliases w:val="Ref"/>
    <w:basedOn w:val="Normal"/>
    <w:rPr>
      <w:b/>
    </w:rPr>
  </w:style>
  <w:style w:type="paragraph" w:customStyle="1" w:styleId="ORRight">
    <w:name w:val="ORRight"/>
    <w:aliases w:val="R,D"/>
    <w:basedOn w:val="Normal"/>
    <w:pPr>
      <w:jc w:val="right"/>
    </w:pPr>
    <w:rPr>
      <w:szCs w:val="20"/>
    </w:rPr>
  </w:style>
  <w:style w:type="paragraph" w:customStyle="1" w:styleId="ORSubHeadingNoToc">
    <w:name w:val="ORSubHeadingNoToc"/>
    <w:aliases w:val="SHNT"/>
    <w:basedOn w:val="ORSubHeading"/>
    <w:next w:val="ORPara"/>
    <w:pPr>
      <w:outlineLvl w:val="9"/>
    </w:pPr>
  </w:style>
  <w:style w:type="paragraph" w:customStyle="1" w:styleId="ORTableHeading">
    <w:name w:val="ORTableHeading"/>
    <w:aliases w:val="TH"/>
    <w:basedOn w:val="NormalSingle"/>
    <w:pPr>
      <w:keepNext/>
      <w:keepLines/>
      <w:spacing w:before="120" w:after="120"/>
      <w:jc w:val="center"/>
    </w:pPr>
    <w:rPr>
      <w:b/>
    </w:rPr>
  </w:style>
  <w:style w:type="paragraph" w:customStyle="1" w:styleId="ORTableText">
    <w:name w:val="ORTableText"/>
    <w:aliases w:val="TT"/>
    <w:basedOn w:val="Normal"/>
    <w:pPr>
      <w:spacing w:before="60" w:after="60"/>
      <w:jc w:val="left"/>
    </w:pPr>
  </w:style>
  <w:style w:type="character" w:customStyle="1" w:styleId="Prompt">
    <w:name w:val="Prompt"/>
    <w:rPr>
      <w:color w:val="auto"/>
    </w:rPr>
  </w:style>
  <w:style w:type="paragraph" w:styleId="TOC1">
    <w:name w:val="toc 1"/>
    <w:basedOn w:val="Normal"/>
    <w:next w:val="ORPara"/>
    <w:semiHidden/>
    <w:pPr>
      <w:tabs>
        <w:tab w:val="left" w:pos="720"/>
        <w:tab w:val="right" w:leader="dot" w:pos="9360"/>
      </w:tabs>
      <w:jc w:val="left"/>
    </w:pPr>
  </w:style>
  <w:style w:type="paragraph" w:styleId="TOC2">
    <w:name w:val="toc 2"/>
    <w:basedOn w:val="Normal"/>
    <w:next w:val="ORPara"/>
    <w:semiHidden/>
    <w:pPr>
      <w:tabs>
        <w:tab w:val="left" w:pos="1440"/>
        <w:tab w:val="right" w:leader="dot" w:pos="9360"/>
      </w:tabs>
      <w:ind w:left="720"/>
      <w:jc w:val="left"/>
    </w:pPr>
  </w:style>
  <w:style w:type="paragraph" w:customStyle="1" w:styleId="ORCitation">
    <w:name w:val="ORCitation"/>
    <w:basedOn w:val="Normal"/>
    <w:next w:val="ORPara"/>
    <w:pPr>
      <w:ind w:left="1440" w:right="1440"/>
    </w:pPr>
    <w:rPr>
      <w:sz w:val="22"/>
      <w:szCs w:val="22"/>
    </w:rPr>
  </w:style>
  <w:style w:type="paragraph" w:styleId="Subtitle">
    <w:name w:val="Subtitle"/>
    <w:basedOn w:val="Normal"/>
    <w:next w:val="ORPara"/>
    <w:qFormat/>
    <w:pPr>
      <w:jc w:val="center"/>
    </w:pPr>
    <w:rPr>
      <w:rFonts w:cs="Arial"/>
      <w:b/>
    </w:rPr>
  </w:style>
  <w:style w:type="paragraph" w:styleId="Title">
    <w:name w:val="Title"/>
    <w:basedOn w:val="Normal"/>
    <w:next w:val="ORPara"/>
    <w:qFormat/>
    <w:pPr>
      <w:jc w:val="center"/>
    </w:pPr>
    <w:rPr>
      <w:rFonts w:cs="Arial"/>
      <w:b/>
      <w:bCs/>
      <w:sz w:val="28"/>
    </w:rPr>
  </w:style>
  <w:style w:type="paragraph" w:customStyle="1" w:styleId="ORTab">
    <w:name w:val="ORTab"/>
    <w:aliases w:val="T"/>
    <w:basedOn w:val="Normal"/>
    <w:pPr>
      <w:ind w:firstLine="720"/>
    </w:pPr>
  </w:style>
  <w:style w:type="paragraph" w:customStyle="1" w:styleId="NormalSingle">
    <w:name w:val="Normal Single"/>
    <w:pPr>
      <w:spacing w:after="240"/>
      <w:jc w:val="both"/>
    </w:pPr>
    <w:rPr>
      <w:sz w:val="24"/>
      <w:lang w:val="en-CA" w:eastAsia="fr-FR"/>
    </w:rPr>
  </w:style>
  <w:style w:type="paragraph" w:customStyle="1" w:styleId="1">
    <w:name w:val="1"/>
    <w:basedOn w:val="BodyText"/>
    <w:pPr>
      <w:keepNext/>
      <w:keepLines/>
      <w:numPr>
        <w:numId w:val="20"/>
      </w:numPr>
      <w:outlineLvl w:val="0"/>
    </w:pPr>
    <w:rPr>
      <w:b/>
    </w:rPr>
  </w:style>
  <w:style w:type="paragraph" w:customStyle="1" w:styleId="2">
    <w:name w:val="2"/>
    <w:basedOn w:val="Normal"/>
    <w:pPr>
      <w:numPr>
        <w:ilvl w:val="1"/>
        <w:numId w:val="20"/>
      </w:numPr>
    </w:pPr>
  </w:style>
  <w:style w:type="paragraph" w:customStyle="1" w:styleId="3">
    <w:name w:val="3"/>
    <w:basedOn w:val="Normal"/>
    <w:pPr>
      <w:numPr>
        <w:ilvl w:val="2"/>
        <w:numId w:val="20"/>
      </w:numPr>
    </w:pPr>
  </w:style>
  <w:style w:type="paragraph" w:customStyle="1" w:styleId="4">
    <w:name w:val="4"/>
    <w:basedOn w:val="Normal"/>
    <w:pPr>
      <w:numPr>
        <w:ilvl w:val="3"/>
        <w:numId w:val="20"/>
      </w:numPr>
    </w:pPr>
  </w:style>
  <w:style w:type="paragraph" w:customStyle="1" w:styleId="5">
    <w:name w:val="5"/>
    <w:basedOn w:val="4"/>
    <w:pPr>
      <w:numPr>
        <w:ilvl w:val="4"/>
      </w:numPr>
      <w:outlineLvl w:val="4"/>
    </w:pPr>
  </w:style>
  <w:style w:type="paragraph" w:customStyle="1" w:styleId="DocsID">
    <w:name w:val="DocsID"/>
    <w:basedOn w:val="Normal"/>
    <w:pPr>
      <w:widowControl w:val="0"/>
      <w:spacing w:before="20" w:after="0" w:line="160" w:lineRule="exact"/>
      <w:jc w:val="left"/>
    </w:pPr>
    <w:rPr>
      <w:color w:val="000080"/>
      <w:sz w:val="16"/>
      <w:szCs w:val="13"/>
    </w:rPr>
  </w:style>
  <w:style w:type="table" w:styleId="TableGrid">
    <w:name w:val="Table Grid"/>
    <w:basedOn w:val="TableNormal"/>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rPr>
      <w:rFonts w:ascii="Arial" w:hAnsi="Arial"/>
      <w:color w:val="000080"/>
      <w:sz w:val="12"/>
    </w:rPr>
  </w:style>
  <w:style w:type="paragraph" w:customStyle="1" w:styleId="Default">
    <w:name w:val="Default"/>
    <w:pPr>
      <w:autoSpaceDE w:val="0"/>
      <w:autoSpaceDN w:val="0"/>
      <w:adjustRightInd w:val="0"/>
    </w:pPr>
    <w:rPr>
      <w:color w:val="000000"/>
      <w:sz w:val="24"/>
      <w:szCs w:val="24"/>
      <w:lang w:val="en-CA" w:eastAsia="en-CA"/>
    </w:rPr>
  </w:style>
  <w:style w:type="character" w:styleId="Hyperlink">
    <w:name w:val="Hyperlink"/>
    <w:rPr>
      <w:color w:val="0000FF"/>
      <w:u w:val="single"/>
    </w:rPr>
  </w:style>
  <w:style w:type="paragraph" w:styleId="BalloonText">
    <w:name w:val="Balloon Text"/>
    <w:basedOn w:val="Normal"/>
    <w:semiHidden/>
    <w:rsid w:val="00EE4293"/>
    <w:rPr>
      <w:rFonts w:ascii="Tahoma" w:hAnsi="Tahoma" w:cs="Tahoma"/>
      <w:sz w:val="16"/>
      <w:szCs w:val="16"/>
    </w:rPr>
  </w:style>
  <w:style w:type="paragraph" w:customStyle="1" w:styleId="Body">
    <w:name w:val="Body"/>
    <w:aliases w:val="b"/>
    <w:basedOn w:val="Normal"/>
    <w:rsid w:val="00D73B43"/>
    <w:rPr>
      <w:szCs w:val="20"/>
    </w:rPr>
  </w:style>
  <w:style w:type="paragraph" w:customStyle="1" w:styleId="orpara0">
    <w:name w:val="orpara"/>
    <w:basedOn w:val="Normal"/>
    <w:rsid w:val="00CF0DCE"/>
    <w:pPr>
      <w:spacing w:after="120"/>
    </w:pPr>
    <w:rPr>
      <w:lang w:val="en-US"/>
    </w:rPr>
  </w:style>
  <w:style w:type="paragraph" w:styleId="DocumentMap">
    <w:name w:val="Document Map"/>
    <w:basedOn w:val="Normal"/>
    <w:semiHidden/>
    <w:rsid w:val="00160B8F"/>
    <w:pPr>
      <w:shd w:val="clear" w:color="auto" w:fill="000080"/>
    </w:pPr>
    <w:rPr>
      <w:rFonts w:ascii="Tahoma" w:hAnsi="Tahoma" w:cs="Tahoma"/>
      <w:sz w:val="20"/>
      <w:szCs w:val="20"/>
    </w:rPr>
  </w:style>
  <w:style w:type="character" w:customStyle="1" w:styleId="ORParaChar">
    <w:name w:val="ORPara Char"/>
    <w:aliases w:val="P Char,Para Char"/>
    <w:link w:val="ORPara"/>
    <w:rsid w:val="00C4473D"/>
    <w:rPr>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szCs w:val="24"/>
      <w:lang w:val="en-CA"/>
    </w:rPr>
  </w:style>
  <w:style w:type="paragraph" w:styleId="Heading1">
    <w:name w:val="heading 1"/>
    <w:basedOn w:val="Normal"/>
    <w:next w:val="ORPara"/>
    <w:qFormat/>
    <w:pPr>
      <w:keepNext/>
      <w:spacing w:before="120"/>
      <w:jc w:val="left"/>
      <w:outlineLvl w:val="0"/>
    </w:pPr>
    <w:rPr>
      <w:rFonts w:cs="Arial"/>
      <w:b/>
      <w:bCs/>
    </w:rPr>
  </w:style>
  <w:style w:type="paragraph" w:styleId="Heading2">
    <w:name w:val="heading 2"/>
    <w:basedOn w:val="Normal"/>
    <w:next w:val="ORPara"/>
    <w:qFormat/>
    <w:pPr>
      <w:keepNext/>
      <w:spacing w:before="120"/>
      <w:jc w:val="left"/>
      <w:outlineLvl w:val="1"/>
    </w:pPr>
    <w:rPr>
      <w:rFonts w:cs="Arial"/>
      <w:b/>
      <w:bCs/>
      <w:i/>
      <w:iCs/>
    </w:rPr>
  </w:style>
  <w:style w:type="paragraph" w:styleId="Heading3">
    <w:name w:val="heading 3"/>
    <w:basedOn w:val="Normal"/>
    <w:next w:val="ORPara"/>
    <w:qFormat/>
    <w:pPr>
      <w:keepNext/>
      <w:spacing w:before="120"/>
      <w:jc w:val="left"/>
      <w:outlineLvl w:val="2"/>
    </w:pPr>
    <w:rPr>
      <w:rFonts w:cs="Arial"/>
      <w:bCs/>
      <w:szCs w:val="26"/>
      <w:u w:val="single"/>
    </w:rPr>
  </w:style>
  <w:style w:type="paragraph" w:styleId="Heading4">
    <w:name w:val="heading 4"/>
    <w:basedOn w:val="Normal"/>
    <w:next w:val="ORPara"/>
    <w:qFormat/>
    <w:pPr>
      <w:keepNext/>
      <w:spacing w:before="120"/>
      <w:jc w:val="left"/>
      <w:outlineLvl w:val="3"/>
    </w:pPr>
    <w:rPr>
      <w:bCs/>
      <w:i/>
      <w:szCs w:val="28"/>
    </w:rPr>
  </w:style>
  <w:style w:type="paragraph" w:styleId="Heading5">
    <w:name w:val="heading 5"/>
    <w:basedOn w:val="Normal"/>
    <w:next w:val="ORPara"/>
    <w:qFormat/>
    <w:pPr>
      <w:keepNext/>
      <w:spacing w:before="120"/>
      <w:jc w:val="left"/>
      <w:outlineLvl w:val="4"/>
    </w:pPr>
    <w:rPr>
      <w:bCs/>
      <w:iCs/>
      <w:szCs w:val="26"/>
    </w:rPr>
  </w:style>
  <w:style w:type="paragraph" w:styleId="Heading6">
    <w:name w:val="heading 6"/>
    <w:basedOn w:val="Normal"/>
    <w:next w:val="ORPara"/>
    <w:qFormat/>
    <w:pPr>
      <w:keepNext/>
      <w:spacing w:before="120"/>
      <w:jc w:val="left"/>
      <w:outlineLvl w:val="5"/>
    </w:pPr>
    <w:rPr>
      <w:bCs/>
      <w:szCs w:val="22"/>
    </w:rPr>
  </w:style>
  <w:style w:type="paragraph" w:styleId="Heading7">
    <w:name w:val="heading 7"/>
    <w:basedOn w:val="Normal"/>
    <w:next w:val="ORPara"/>
    <w:qFormat/>
    <w:pPr>
      <w:keepNext/>
      <w:spacing w:before="120"/>
      <w:jc w:val="left"/>
      <w:outlineLvl w:val="6"/>
    </w:pPr>
  </w:style>
  <w:style w:type="paragraph" w:styleId="Heading8">
    <w:name w:val="heading 8"/>
    <w:basedOn w:val="Normal"/>
    <w:next w:val="ORPara"/>
    <w:qFormat/>
    <w:pPr>
      <w:keepNext/>
      <w:spacing w:before="120"/>
      <w:jc w:val="left"/>
      <w:outlineLvl w:val="7"/>
    </w:pPr>
    <w:rPr>
      <w:iCs/>
    </w:rPr>
  </w:style>
  <w:style w:type="paragraph" w:styleId="Heading9">
    <w:name w:val="heading 9"/>
    <w:basedOn w:val="Normal"/>
    <w:next w:val="ORPara"/>
    <w:qFormat/>
    <w:pPr>
      <w:keepNext/>
      <w:spacing w:before="12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Para">
    <w:name w:val="ORPara"/>
    <w:aliases w:val="P,MDPlain,Para,OHHpara"/>
    <w:basedOn w:val="Normal"/>
    <w:link w:val="ORParaChar"/>
  </w:style>
  <w:style w:type="paragraph" w:styleId="BodyText">
    <w:name w:val="Body Text"/>
    <w:basedOn w:val="Normal"/>
  </w:style>
  <w:style w:type="paragraph" w:customStyle="1" w:styleId="ORMainHeading">
    <w:name w:val="ORMainHeading"/>
    <w:aliases w:val="MH"/>
    <w:basedOn w:val="NormalSingle"/>
    <w:next w:val="ORPara"/>
    <w:pPr>
      <w:keepNext/>
      <w:keepLines/>
      <w:jc w:val="left"/>
      <w:outlineLvl w:val="0"/>
    </w:pPr>
    <w:rPr>
      <w:b/>
      <w:caps/>
      <w:u w:val="single"/>
    </w:rPr>
  </w:style>
  <w:style w:type="paragraph" w:styleId="Header">
    <w:name w:val="header"/>
    <w:basedOn w:val="NormalSingle"/>
    <w:pPr>
      <w:tabs>
        <w:tab w:val="center" w:pos="4680"/>
        <w:tab w:val="right" w:pos="9360"/>
      </w:tabs>
      <w:spacing w:after="0"/>
      <w:jc w:val="left"/>
    </w:pPr>
  </w:style>
  <w:style w:type="paragraph" w:styleId="Footer">
    <w:name w:val="footer"/>
    <w:basedOn w:val="NormalSingle"/>
    <w:pPr>
      <w:tabs>
        <w:tab w:val="center" w:pos="4680"/>
        <w:tab w:val="right" w:pos="9360"/>
      </w:tabs>
      <w:spacing w:after="0"/>
      <w:jc w:val="left"/>
    </w:pPr>
  </w:style>
  <w:style w:type="paragraph" w:customStyle="1" w:styleId="ORSubHeading">
    <w:name w:val="ORSubHeading"/>
    <w:aliases w:val="SH"/>
    <w:basedOn w:val="NormalSingle"/>
    <w:next w:val="ORPara"/>
    <w:pPr>
      <w:keepNext/>
      <w:keepLines/>
      <w:spacing w:before="120" w:after="120"/>
      <w:jc w:val="left"/>
      <w:outlineLvl w:val="1"/>
    </w:pPr>
    <w:rPr>
      <w:b/>
    </w:rPr>
  </w:style>
  <w:style w:type="paragraph" w:customStyle="1" w:styleId="ORBulletList">
    <w:name w:val="ORBulletList"/>
    <w:aliases w:val="BL"/>
    <w:basedOn w:val="Normal"/>
    <w:pPr>
      <w:numPr>
        <w:numId w:val="1"/>
      </w:numPr>
    </w:pPr>
    <w:rPr>
      <w:szCs w:val="20"/>
    </w:rPr>
  </w:style>
  <w:style w:type="paragraph" w:customStyle="1" w:styleId="ORBlock">
    <w:name w:val="ORBlock"/>
    <w:aliases w:val="B"/>
    <w:basedOn w:val="Normal"/>
    <w:pPr>
      <w:ind w:left="720" w:right="720"/>
    </w:pPr>
    <w:rPr>
      <w:szCs w:val="20"/>
    </w:rPr>
  </w:style>
  <w:style w:type="paragraph" w:customStyle="1" w:styleId="ORBlock1">
    <w:name w:val="ORBlock1"/>
    <w:aliases w:val="B1"/>
    <w:basedOn w:val="Normal"/>
    <w:pPr>
      <w:ind w:left="1440" w:right="1440"/>
    </w:pPr>
    <w:rPr>
      <w:szCs w:val="20"/>
    </w:rPr>
  </w:style>
  <w:style w:type="paragraph" w:customStyle="1" w:styleId="ORCentre">
    <w:name w:val="ORCentre"/>
    <w:aliases w:val="C"/>
    <w:basedOn w:val="Normal"/>
    <w:pPr>
      <w:jc w:val="center"/>
    </w:pPr>
    <w:rPr>
      <w:szCs w:val="20"/>
    </w:rPr>
  </w:style>
  <w:style w:type="paragraph" w:customStyle="1" w:styleId="ORHanging">
    <w:name w:val="ORHanging"/>
    <w:aliases w:val="H"/>
    <w:basedOn w:val="Normal"/>
    <w:pPr>
      <w:ind w:left="720" w:hanging="720"/>
    </w:pPr>
    <w:rPr>
      <w:szCs w:val="20"/>
    </w:rPr>
  </w:style>
  <w:style w:type="paragraph" w:customStyle="1" w:styleId="ORIndent1">
    <w:name w:val="ORIndent1"/>
    <w:aliases w:val="I1"/>
    <w:basedOn w:val="Normal"/>
    <w:pPr>
      <w:ind w:left="720"/>
    </w:pPr>
    <w:rPr>
      <w:szCs w:val="20"/>
    </w:rPr>
  </w:style>
  <w:style w:type="paragraph" w:customStyle="1" w:styleId="ORIndent2">
    <w:name w:val="ORIndent2"/>
    <w:aliases w:val="I2"/>
    <w:basedOn w:val="Normal"/>
    <w:pPr>
      <w:ind w:left="1440"/>
    </w:pPr>
    <w:rPr>
      <w:szCs w:val="20"/>
    </w:rPr>
  </w:style>
  <w:style w:type="paragraph" w:customStyle="1" w:styleId="ORIndent3">
    <w:name w:val="ORIndent3"/>
    <w:aliases w:val="I3"/>
    <w:basedOn w:val="Normal"/>
    <w:pPr>
      <w:ind w:left="2160"/>
    </w:pPr>
    <w:rPr>
      <w:szCs w:val="20"/>
    </w:rPr>
  </w:style>
  <w:style w:type="paragraph" w:customStyle="1" w:styleId="ORIndent4">
    <w:name w:val="ORIndent4"/>
    <w:aliases w:val="I4"/>
    <w:basedOn w:val="Normal"/>
    <w:pPr>
      <w:ind w:left="2880"/>
    </w:pPr>
    <w:rPr>
      <w:szCs w:val="20"/>
    </w:rPr>
  </w:style>
  <w:style w:type="paragraph" w:customStyle="1" w:styleId="ORIndent5">
    <w:name w:val="ORIndent5"/>
    <w:aliases w:val="I5"/>
    <w:basedOn w:val="Normal"/>
    <w:pPr>
      <w:ind w:left="3600"/>
    </w:pPr>
    <w:rPr>
      <w:szCs w:val="20"/>
    </w:rPr>
  </w:style>
  <w:style w:type="paragraph" w:customStyle="1" w:styleId="ORLeft">
    <w:name w:val="ORLeft"/>
    <w:aliases w:val="L,G"/>
    <w:basedOn w:val="Normal"/>
    <w:pPr>
      <w:jc w:val="left"/>
    </w:pPr>
    <w:rPr>
      <w:szCs w:val="20"/>
    </w:rPr>
  </w:style>
  <w:style w:type="paragraph" w:customStyle="1" w:styleId="ORPlain">
    <w:name w:val="ORPlain"/>
    <w:basedOn w:val="Normal"/>
    <w:pPr>
      <w:spacing w:after="0"/>
      <w:jc w:val="left"/>
    </w:pPr>
    <w:rPr>
      <w:szCs w:val="20"/>
    </w:rPr>
  </w:style>
  <w:style w:type="paragraph" w:customStyle="1" w:styleId="ORReference">
    <w:name w:val="ORReference"/>
    <w:aliases w:val="Ref"/>
    <w:basedOn w:val="Normal"/>
    <w:rPr>
      <w:b/>
    </w:rPr>
  </w:style>
  <w:style w:type="paragraph" w:customStyle="1" w:styleId="ORRight">
    <w:name w:val="ORRight"/>
    <w:aliases w:val="R,D"/>
    <w:basedOn w:val="Normal"/>
    <w:pPr>
      <w:jc w:val="right"/>
    </w:pPr>
    <w:rPr>
      <w:szCs w:val="20"/>
    </w:rPr>
  </w:style>
  <w:style w:type="paragraph" w:customStyle="1" w:styleId="ORSubHeadingNoToc">
    <w:name w:val="ORSubHeadingNoToc"/>
    <w:aliases w:val="SHNT"/>
    <w:basedOn w:val="ORSubHeading"/>
    <w:next w:val="ORPara"/>
    <w:pPr>
      <w:outlineLvl w:val="9"/>
    </w:pPr>
  </w:style>
  <w:style w:type="paragraph" w:customStyle="1" w:styleId="ORTableHeading">
    <w:name w:val="ORTableHeading"/>
    <w:aliases w:val="TH"/>
    <w:basedOn w:val="NormalSingle"/>
    <w:pPr>
      <w:keepNext/>
      <w:keepLines/>
      <w:spacing w:before="120" w:after="120"/>
      <w:jc w:val="center"/>
    </w:pPr>
    <w:rPr>
      <w:b/>
    </w:rPr>
  </w:style>
  <w:style w:type="paragraph" w:customStyle="1" w:styleId="ORTableText">
    <w:name w:val="ORTableText"/>
    <w:aliases w:val="TT"/>
    <w:basedOn w:val="Normal"/>
    <w:pPr>
      <w:spacing w:before="60" w:after="60"/>
      <w:jc w:val="left"/>
    </w:pPr>
  </w:style>
  <w:style w:type="character" w:customStyle="1" w:styleId="Prompt">
    <w:name w:val="Prompt"/>
    <w:rPr>
      <w:color w:val="auto"/>
    </w:rPr>
  </w:style>
  <w:style w:type="paragraph" w:styleId="TOC1">
    <w:name w:val="toc 1"/>
    <w:basedOn w:val="Normal"/>
    <w:next w:val="ORPara"/>
    <w:semiHidden/>
    <w:pPr>
      <w:tabs>
        <w:tab w:val="left" w:pos="720"/>
        <w:tab w:val="right" w:leader="dot" w:pos="9360"/>
      </w:tabs>
      <w:jc w:val="left"/>
    </w:pPr>
  </w:style>
  <w:style w:type="paragraph" w:styleId="TOC2">
    <w:name w:val="toc 2"/>
    <w:basedOn w:val="Normal"/>
    <w:next w:val="ORPara"/>
    <w:semiHidden/>
    <w:pPr>
      <w:tabs>
        <w:tab w:val="left" w:pos="1440"/>
        <w:tab w:val="right" w:leader="dot" w:pos="9360"/>
      </w:tabs>
      <w:ind w:left="720"/>
      <w:jc w:val="left"/>
    </w:pPr>
  </w:style>
  <w:style w:type="paragraph" w:customStyle="1" w:styleId="ORCitation">
    <w:name w:val="ORCitation"/>
    <w:basedOn w:val="Normal"/>
    <w:next w:val="ORPara"/>
    <w:pPr>
      <w:ind w:left="1440" w:right="1440"/>
    </w:pPr>
    <w:rPr>
      <w:sz w:val="22"/>
      <w:szCs w:val="22"/>
    </w:rPr>
  </w:style>
  <w:style w:type="paragraph" w:styleId="Subtitle">
    <w:name w:val="Subtitle"/>
    <w:basedOn w:val="Normal"/>
    <w:next w:val="ORPara"/>
    <w:qFormat/>
    <w:pPr>
      <w:jc w:val="center"/>
    </w:pPr>
    <w:rPr>
      <w:rFonts w:cs="Arial"/>
      <w:b/>
    </w:rPr>
  </w:style>
  <w:style w:type="paragraph" w:styleId="Title">
    <w:name w:val="Title"/>
    <w:basedOn w:val="Normal"/>
    <w:next w:val="ORPara"/>
    <w:qFormat/>
    <w:pPr>
      <w:jc w:val="center"/>
    </w:pPr>
    <w:rPr>
      <w:rFonts w:cs="Arial"/>
      <w:b/>
      <w:bCs/>
      <w:sz w:val="28"/>
    </w:rPr>
  </w:style>
  <w:style w:type="paragraph" w:customStyle="1" w:styleId="ORTab">
    <w:name w:val="ORTab"/>
    <w:aliases w:val="T"/>
    <w:basedOn w:val="Normal"/>
    <w:pPr>
      <w:ind w:firstLine="720"/>
    </w:pPr>
  </w:style>
  <w:style w:type="paragraph" w:customStyle="1" w:styleId="NormalSingle">
    <w:name w:val="Normal Single"/>
    <w:pPr>
      <w:spacing w:after="240"/>
      <w:jc w:val="both"/>
    </w:pPr>
    <w:rPr>
      <w:sz w:val="24"/>
      <w:lang w:val="en-CA" w:eastAsia="fr-FR"/>
    </w:rPr>
  </w:style>
  <w:style w:type="paragraph" w:customStyle="1" w:styleId="1">
    <w:name w:val="1"/>
    <w:basedOn w:val="BodyText"/>
    <w:pPr>
      <w:keepNext/>
      <w:keepLines/>
      <w:numPr>
        <w:numId w:val="20"/>
      </w:numPr>
      <w:outlineLvl w:val="0"/>
    </w:pPr>
    <w:rPr>
      <w:b/>
    </w:rPr>
  </w:style>
  <w:style w:type="paragraph" w:customStyle="1" w:styleId="2">
    <w:name w:val="2"/>
    <w:basedOn w:val="Normal"/>
    <w:pPr>
      <w:numPr>
        <w:ilvl w:val="1"/>
        <w:numId w:val="20"/>
      </w:numPr>
    </w:pPr>
  </w:style>
  <w:style w:type="paragraph" w:customStyle="1" w:styleId="3">
    <w:name w:val="3"/>
    <w:basedOn w:val="Normal"/>
    <w:pPr>
      <w:numPr>
        <w:ilvl w:val="2"/>
        <w:numId w:val="20"/>
      </w:numPr>
    </w:pPr>
  </w:style>
  <w:style w:type="paragraph" w:customStyle="1" w:styleId="4">
    <w:name w:val="4"/>
    <w:basedOn w:val="Normal"/>
    <w:pPr>
      <w:numPr>
        <w:ilvl w:val="3"/>
        <w:numId w:val="20"/>
      </w:numPr>
    </w:pPr>
  </w:style>
  <w:style w:type="paragraph" w:customStyle="1" w:styleId="5">
    <w:name w:val="5"/>
    <w:basedOn w:val="4"/>
    <w:pPr>
      <w:numPr>
        <w:ilvl w:val="4"/>
      </w:numPr>
      <w:outlineLvl w:val="4"/>
    </w:pPr>
  </w:style>
  <w:style w:type="paragraph" w:customStyle="1" w:styleId="DocsID">
    <w:name w:val="DocsID"/>
    <w:basedOn w:val="Normal"/>
    <w:pPr>
      <w:widowControl w:val="0"/>
      <w:spacing w:before="20" w:after="0" w:line="160" w:lineRule="exact"/>
      <w:jc w:val="left"/>
    </w:pPr>
    <w:rPr>
      <w:color w:val="000080"/>
      <w:sz w:val="16"/>
      <w:szCs w:val="13"/>
    </w:rPr>
  </w:style>
  <w:style w:type="table" w:styleId="TableGrid">
    <w:name w:val="Table Grid"/>
    <w:basedOn w:val="TableNormal"/>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rPr>
      <w:rFonts w:ascii="Arial" w:hAnsi="Arial"/>
      <w:color w:val="000080"/>
      <w:sz w:val="12"/>
    </w:rPr>
  </w:style>
  <w:style w:type="paragraph" w:customStyle="1" w:styleId="Default">
    <w:name w:val="Default"/>
    <w:pPr>
      <w:autoSpaceDE w:val="0"/>
      <w:autoSpaceDN w:val="0"/>
      <w:adjustRightInd w:val="0"/>
    </w:pPr>
    <w:rPr>
      <w:color w:val="000000"/>
      <w:sz w:val="24"/>
      <w:szCs w:val="24"/>
      <w:lang w:val="en-CA" w:eastAsia="en-CA"/>
    </w:rPr>
  </w:style>
  <w:style w:type="character" w:styleId="Hyperlink">
    <w:name w:val="Hyperlink"/>
    <w:rPr>
      <w:color w:val="0000FF"/>
      <w:u w:val="single"/>
    </w:rPr>
  </w:style>
  <w:style w:type="paragraph" w:styleId="BalloonText">
    <w:name w:val="Balloon Text"/>
    <w:basedOn w:val="Normal"/>
    <w:semiHidden/>
    <w:rsid w:val="00EE4293"/>
    <w:rPr>
      <w:rFonts w:ascii="Tahoma" w:hAnsi="Tahoma" w:cs="Tahoma"/>
      <w:sz w:val="16"/>
      <w:szCs w:val="16"/>
    </w:rPr>
  </w:style>
  <w:style w:type="paragraph" w:customStyle="1" w:styleId="Body">
    <w:name w:val="Body"/>
    <w:aliases w:val="b"/>
    <w:basedOn w:val="Normal"/>
    <w:rsid w:val="00D73B43"/>
    <w:rPr>
      <w:szCs w:val="20"/>
    </w:rPr>
  </w:style>
  <w:style w:type="paragraph" w:customStyle="1" w:styleId="orpara0">
    <w:name w:val="orpara"/>
    <w:basedOn w:val="Normal"/>
    <w:rsid w:val="00CF0DCE"/>
    <w:pPr>
      <w:spacing w:after="120"/>
    </w:pPr>
    <w:rPr>
      <w:lang w:val="en-US"/>
    </w:rPr>
  </w:style>
  <w:style w:type="paragraph" w:styleId="DocumentMap">
    <w:name w:val="Document Map"/>
    <w:basedOn w:val="Normal"/>
    <w:semiHidden/>
    <w:rsid w:val="00160B8F"/>
    <w:pPr>
      <w:shd w:val="clear" w:color="auto" w:fill="000080"/>
    </w:pPr>
    <w:rPr>
      <w:rFonts w:ascii="Tahoma" w:hAnsi="Tahoma" w:cs="Tahoma"/>
      <w:sz w:val="20"/>
      <w:szCs w:val="20"/>
    </w:rPr>
  </w:style>
  <w:style w:type="character" w:customStyle="1" w:styleId="ORParaChar">
    <w:name w:val="ORPara Char"/>
    <w:aliases w:val="P Char,Para Char"/>
    <w:link w:val="ORPara"/>
    <w:rsid w:val="00C4473D"/>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hyperlink" Target="http://www.eurogasinternationa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da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sx.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ar.com" TargetMode="External"/><Relationship Id="rId4" Type="http://schemas.openxmlformats.org/officeDocument/2006/relationships/settings" Target="settings.xml"/><Relationship Id="rId9" Type="http://schemas.openxmlformats.org/officeDocument/2006/relationships/hyperlink" Target="http://www.eurogasinternational.com" TargetMode="External"/><Relationship Id="rId14" Type="http://schemas.openxmlformats.org/officeDocument/2006/relationships/hyperlink" Target="http://www.eurogas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3155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DundeeWealth</Company>
  <LinksUpToDate>false</LinksUpToDate>
  <CharactersWithSpaces>3590</CharactersWithSpaces>
  <SharedDoc>false</SharedDoc>
  <HLinks>
    <vt:vector size="42" baseType="variant">
      <vt:variant>
        <vt:i4>5832768</vt:i4>
      </vt:variant>
      <vt:variant>
        <vt:i4>18</vt:i4>
      </vt:variant>
      <vt:variant>
        <vt:i4>0</vt:i4>
      </vt:variant>
      <vt:variant>
        <vt:i4>5</vt:i4>
      </vt:variant>
      <vt:variant>
        <vt:lpwstr>http://www.eurogasinternational.com/</vt:lpwstr>
      </vt:variant>
      <vt:variant>
        <vt:lpwstr/>
      </vt:variant>
      <vt:variant>
        <vt:i4>5832768</vt:i4>
      </vt:variant>
      <vt:variant>
        <vt:i4>15</vt:i4>
      </vt:variant>
      <vt:variant>
        <vt:i4>0</vt:i4>
      </vt:variant>
      <vt:variant>
        <vt:i4>5</vt:i4>
      </vt:variant>
      <vt:variant>
        <vt:lpwstr>http://www.eurogasinternational.com/</vt:lpwstr>
      </vt:variant>
      <vt:variant>
        <vt:lpwstr/>
      </vt:variant>
      <vt:variant>
        <vt:i4>4194325</vt:i4>
      </vt:variant>
      <vt:variant>
        <vt:i4>12</vt:i4>
      </vt:variant>
      <vt:variant>
        <vt:i4>0</vt:i4>
      </vt:variant>
      <vt:variant>
        <vt:i4>5</vt:i4>
      </vt:variant>
      <vt:variant>
        <vt:lpwstr>http://www.sedar.com/</vt:lpwstr>
      </vt:variant>
      <vt:variant>
        <vt:lpwstr/>
      </vt:variant>
      <vt:variant>
        <vt:i4>7602213</vt:i4>
      </vt:variant>
      <vt:variant>
        <vt:i4>9</vt:i4>
      </vt:variant>
      <vt:variant>
        <vt:i4>0</vt:i4>
      </vt:variant>
      <vt:variant>
        <vt:i4>5</vt:i4>
      </vt:variant>
      <vt:variant>
        <vt:lpwstr>http://www.cnsx.ca/</vt:lpwstr>
      </vt:variant>
      <vt:variant>
        <vt:lpwstr/>
      </vt:variant>
      <vt:variant>
        <vt:i4>4194325</vt:i4>
      </vt:variant>
      <vt:variant>
        <vt:i4>6</vt:i4>
      </vt:variant>
      <vt:variant>
        <vt:i4>0</vt:i4>
      </vt:variant>
      <vt:variant>
        <vt:i4>5</vt:i4>
      </vt:variant>
      <vt:variant>
        <vt:lpwstr>http://www.sedar.com/</vt:lpwstr>
      </vt:variant>
      <vt:variant>
        <vt:lpwstr/>
      </vt:variant>
      <vt:variant>
        <vt:i4>5832768</vt:i4>
      </vt:variant>
      <vt:variant>
        <vt:i4>3</vt:i4>
      </vt:variant>
      <vt:variant>
        <vt:i4>0</vt:i4>
      </vt:variant>
      <vt:variant>
        <vt:i4>5</vt:i4>
      </vt:variant>
      <vt:variant>
        <vt:lpwstr>http://www.eurogasinternational.com/</vt:lpwstr>
      </vt:variant>
      <vt:variant>
        <vt:lpwstr/>
      </vt: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Presot</dc:creator>
  <cp:lastModifiedBy>Windows User</cp:lastModifiedBy>
  <cp:revision>2</cp:revision>
  <cp:lastPrinted>2019-10-31T14:58:00Z</cp:lastPrinted>
  <dcterms:created xsi:type="dcterms:W3CDTF">2020-10-30T14:59:00Z</dcterms:created>
  <dcterms:modified xsi:type="dcterms:W3CDTF">2020-10-30T14:59:00Z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D">
    <vt:lpwstr>DOCSTOR: 1664610\1</vt:lpwstr>
  </property>
  <property fmtid="{D5CDD505-2E9C-101B-9397-08002B2CF9AE}" pid="3" name="Draft Number">
    <vt:i4>1</vt:i4>
  </property>
  <property fmtid="{D5CDD505-2E9C-101B-9397-08002B2CF9AE}" pid="4" name="MAIL_MSG_ID1">
    <vt:lpwstr>ABAAVOAfoSrQoywx1BCjDND3CY1DJMVlEGlAZyik1fDvYPjadORsD02+H5voq8n71YFL</vt:lpwstr>
  </property>
  <property fmtid="{D5CDD505-2E9C-101B-9397-08002B2CF9AE}" pid="5" name="RESPONSE_SENDER_NAME">
    <vt:lpwstr>gAAAdya76B99d4hLGUR1rQ+8TxTv0GGEPdix</vt:lpwstr>
  </property>
  <property fmtid="{D5CDD505-2E9C-101B-9397-08002B2CF9AE}" pid="6" name="EMAIL_OWNER_ADDRESS">
    <vt:lpwstr>ABAAMV6B7YzPbaKC1KICeUkJXilz33kuS6/IXlS0BT+RoSBvTk8ki2FLuiHKEDuZi7WL</vt:lpwstr>
  </property>
</Properties>
</file>