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CD8F2" w14:textId="77777777" w:rsidR="00707A5B" w:rsidRPr="003A6549" w:rsidRDefault="00707A5B" w:rsidP="00707A5B">
      <w:pPr>
        <w:pStyle w:val="NormalWeb"/>
        <w:spacing w:before="0" w:beforeAutospacing="0" w:after="120" w:afterAutospacing="0"/>
        <w:jc w:val="center"/>
        <w:rPr>
          <w:rFonts w:ascii="Arial" w:hAnsi="Arial" w:cs="Arial"/>
          <w:b/>
          <w:i/>
          <w:color w:val="373737"/>
          <w:sz w:val="16"/>
          <w:szCs w:val="16"/>
        </w:rPr>
      </w:pPr>
      <w:r>
        <w:rPr>
          <w:noProof/>
          <w:lang w:val="en-US" w:eastAsia="en-US"/>
        </w:rPr>
        <w:drawing>
          <wp:anchor distT="0" distB="0" distL="114300" distR="114300" simplePos="0" relativeHeight="251659264" behindDoc="0" locked="0" layoutInCell="1" allowOverlap="1" wp14:anchorId="120D1651" wp14:editId="1B1DEF0E">
            <wp:simplePos x="0" y="0"/>
            <wp:positionH relativeFrom="margin">
              <wp:posOffset>1750301</wp:posOffset>
            </wp:positionH>
            <wp:positionV relativeFrom="paragraph">
              <wp:posOffset>273704</wp:posOffset>
            </wp:positionV>
            <wp:extent cx="2443219" cy="673477"/>
            <wp:effectExtent l="0" t="0" r="0" b="0"/>
            <wp:wrapNone/>
            <wp:docPr id="3" name="Picture 3" descr="BetterLife Pharma Inc. | CSE - Canadian Securities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tterLife Pharma Inc. | CSE - Canadian Securities Exchan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3219" cy="6734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549">
        <w:rPr>
          <w:rFonts w:ascii="Arial" w:hAnsi="Arial" w:cs="Arial"/>
          <w:b/>
          <w:i/>
          <w:color w:val="373737"/>
          <w:sz w:val="16"/>
          <w:szCs w:val="16"/>
        </w:rPr>
        <w:t>NOT FOR DISTRIBUTION TO U.S. NEWSWIRE SERVICES OR FOR RELEASE, PUBLICATION, DISTRIBUTION OR DISSEMINATION DIRECTLY, OR INDIRECTLY, IN WHOLE OR IN PART, IN OR INTO THE UNITED STATES</w:t>
      </w:r>
    </w:p>
    <w:p w14:paraId="709B6EB6" w14:textId="77777777" w:rsidR="00707A5B" w:rsidRPr="003A6549" w:rsidRDefault="00707A5B" w:rsidP="00707A5B">
      <w:pPr>
        <w:pStyle w:val="NormalWeb"/>
        <w:spacing w:before="0" w:beforeAutospacing="0" w:after="120" w:afterAutospacing="0"/>
        <w:jc w:val="both"/>
        <w:rPr>
          <w:rFonts w:ascii="Arial" w:hAnsi="Arial" w:cs="Arial"/>
          <w:color w:val="373737"/>
          <w:sz w:val="22"/>
          <w:szCs w:val="22"/>
          <w:lang w:val="en-US"/>
        </w:rPr>
      </w:pPr>
    </w:p>
    <w:p w14:paraId="15F3422B" w14:textId="77777777" w:rsidR="00707A5B" w:rsidRPr="003A6549" w:rsidRDefault="00707A5B" w:rsidP="00707A5B">
      <w:pPr>
        <w:pStyle w:val="NormalWeb"/>
        <w:spacing w:before="0" w:beforeAutospacing="0" w:after="120" w:afterAutospacing="0"/>
        <w:jc w:val="both"/>
        <w:rPr>
          <w:rFonts w:ascii="Arial" w:hAnsi="Arial" w:cs="Arial"/>
          <w:b/>
          <w:color w:val="373737"/>
          <w:sz w:val="22"/>
          <w:szCs w:val="22"/>
          <w:lang w:val="en-US"/>
        </w:rPr>
      </w:pPr>
    </w:p>
    <w:p w14:paraId="303E1D73" w14:textId="77777777" w:rsidR="00707A5B" w:rsidRDefault="00707A5B" w:rsidP="00707A5B">
      <w:pPr>
        <w:pStyle w:val="NormalWeb"/>
        <w:spacing w:before="0" w:beforeAutospacing="0" w:after="120" w:afterAutospacing="0"/>
        <w:jc w:val="both"/>
        <w:rPr>
          <w:rFonts w:ascii="Arial" w:hAnsi="Arial" w:cs="Arial"/>
          <w:b/>
          <w:sz w:val="22"/>
          <w:szCs w:val="22"/>
          <w:lang w:val="en-US"/>
        </w:rPr>
      </w:pPr>
    </w:p>
    <w:p w14:paraId="59FC9699" w14:textId="77777777" w:rsidR="00707A5B" w:rsidRPr="003A6549" w:rsidRDefault="00707A5B" w:rsidP="00707A5B">
      <w:pPr>
        <w:pStyle w:val="NormalWeb"/>
        <w:spacing w:before="0" w:beforeAutospacing="0" w:after="120" w:afterAutospacing="0"/>
        <w:jc w:val="center"/>
        <w:rPr>
          <w:rFonts w:ascii="Arial" w:hAnsi="Arial" w:cs="Arial"/>
          <w:b/>
          <w:sz w:val="22"/>
          <w:szCs w:val="22"/>
          <w:lang w:val="en-US"/>
        </w:rPr>
      </w:pPr>
      <w:r>
        <w:rPr>
          <w:rFonts w:ascii="Arial" w:hAnsi="Arial" w:cs="Arial"/>
          <w:b/>
          <w:sz w:val="22"/>
          <w:szCs w:val="22"/>
          <w:lang w:val="en-US"/>
        </w:rPr>
        <w:t>BETTERLIFE PHARMA</w:t>
      </w:r>
      <w:r w:rsidRPr="003A6549">
        <w:rPr>
          <w:rFonts w:ascii="Arial" w:hAnsi="Arial" w:cs="Arial"/>
          <w:b/>
          <w:sz w:val="22"/>
          <w:szCs w:val="22"/>
          <w:lang w:val="en-US"/>
        </w:rPr>
        <w:t xml:space="preserve"> ANNOUNCES UP TO $5.0 MILLION PRIVATE PLACEMENT OFFERING OF SPECIAL WARRANTS</w:t>
      </w:r>
    </w:p>
    <w:p w14:paraId="4A2A52E8" w14:textId="77777777" w:rsidR="00707A5B" w:rsidRPr="003A6549" w:rsidRDefault="00707A5B" w:rsidP="00707A5B">
      <w:pPr>
        <w:pStyle w:val="NormalWeb"/>
        <w:spacing w:before="0" w:beforeAutospacing="0" w:after="120" w:afterAutospacing="0"/>
        <w:jc w:val="both"/>
        <w:rPr>
          <w:rFonts w:ascii="Arial" w:hAnsi="Arial" w:cs="Arial"/>
          <w:sz w:val="22"/>
          <w:szCs w:val="22"/>
          <w:lang w:val="en-US"/>
        </w:rPr>
      </w:pPr>
      <w:r w:rsidRPr="003A6549">
        <w:rPr>
          <w:rFonts w:ascii="Arial" w:hAnsi="Arial" w:cs="Arial"/>
          <w:sz w:val="22"/>
          <w:szCs w:val="22"/>
          <w:lang w:val="en-US"/>
        </w:rPr>
        <w:t xml:space="preserve">VANCOUVER, BC </w:t>
      </w:r>
      <w:r w:rsidRPr="003A6549">
        <w:rPr>
          <w:rFonts w:ascii="Arial" w:hAnsi="Arial" w:cs="Arial"/>
          <w:bCs/>
          <w:sz w:val="22"/>
          <w:szCs w:val="22"/>
        </w:rPr>
        <w:t>–</w:t>
      </w:r>
      <w:r w:rsidRPr="003A6549">
        <w:rPr>
          <w:rFonts w:ascii="Arial" w:hAnsi="Arial" w:cs="Arial"/>
          <w:sz w:val="22"/>
          <w:szCs w:val="22"/>
        </w:rPr>
        <w:t xml:space="preserve"> </w:t>
      </w:r>
      <w:r>
        <w:rPr>
          <w:rFonts w:ascii="Arial" w:hAnsi="Arial" w:cs="Arial"/>
          <w:sz w:val="22"/>
          <w:szCs w:val="22"/>
        </w:rPr>
        <w:t xml:space="preserve">October </w:t>
      </w:r>
      <w:r w:rsidRPr="00F758A1">
        <w:rPr>
          <w:rFonts w:ascii="Arial" w:hAnsi="Arial" w:cs="Arial"/>
          <w:sz w:val="22"/>
          <w:szCs w:val="22"/>
        </w:rPr>
        <w:t>1</w:t>
      </w:r>
      <w:r>
        <w:rPr>
          <w:rFonts w:ascii="Arial" w:hAnsi="Arial" w:cs="Arial"/>
          <w:sz w:val="22"/>
          <w:szCs w:val="22"/>
        </w:rPr>
        <w:t>9</w:t>
      </w:r>
      <w:r w:rsidRPr="003A6549">
        <w:rPr>
          <w:rFonts w:ascii="Arial" w:hAnsi="Arial" w:cs="Arial"/>
          <w:sz w:val="22"/>
          <w:szCs w:val="22"/>
        </w:rPr>
        <w:t>, 2020</w:t>
      </w:r>
      <w:r w:rsidRPr="003A6549">
        <w:rPr>
          <w:rFonts w:ascii="Arial" w:hAnsi="Arial" w:cs="Arial"/>
          <w:sz w:val="22"/>
          <w:szCs w:val="22"/>
          <w:lang w:val="en-US"/>
        </w:rPr>
        <w:t xml:space="preserve"> – </w:t>
      </w:r>
      <w:r>
        <w:rPr>
          <w:rFonts w:ascii="Arial" w:hAnsi="Arial" w:cs="Arial"/>
          <w:sz w:val="22"/>
          <w:szCs w:val="22"/>
          <w:lang w:val="en-US"/>
        </w:rPr>
        <w:t>BetterLife Pharma</w:t>
      </w:r>
      <w:r w:rsidRPr="003A6549">
        <w:rPr>
          <w:rFonts w:ascii="Arial" w:hAnsi="Arial" w:cs="Arial"/>
          <w:sz w:val="22"/>
          <w:szCs w:val="22"/>
          <w:lang w:val="en-US"/>
        </w:rPr>
        <w:t xml:space="preserve"> Inc.</w:t>
      </w:r>
      <w:r>
        <w:rPr>
          <w:rFonts w:ascii="Arial" w:hAnsi="Arial" w:cs="Arial"/>
          <w:sz w:val="22"/>
          <w:szCs w:val="22"/>
          <w:lang w:val="en-US"/>
        </w:rPr>
        <w:t xml:space="preserve"> </w:t>
      </w:r>
      <w:r w:rsidRPr="003A6549">
        <w:rPr>
          <w:rFonts w:ascii="Arial" w:hAnsi="Arial" w:cs="Arial"/>
          <w:sz w:val="22"/>
          <w:szCs w:val="22"/>
          <w:lang w:val="en-US"/>
        </w:rPr>
        <w:t>(“</w:t>
      </w:r>
      <w:r>
        <w:rPr>
          <w:rFonts w:ascii="Arial" w:hAnsi="Arial" w:cs="Arial"/>
          <w:b/>
          <w:sz w:val="22"/>
          <w:szCs w:val="22"/>
          <w:lang w:val="en-US"/>
        </w:rPr>
        <w:t>BetterLife</w:t>
      </w:r>
      <w:r w:rsidRPr="003A6549">
        <w:rPr>
          <w:rFonts w:ascii="Arial" w:hAnsi="Arial" w:cs="Arial"/>
          <w:sz w:val="22"/>
          <w:szCs w:val="22"/>
          <w:lang w:val="en-US"/>
        </w:rPr>
        <w:t>” or the “</w:t>
      </w:r>
      <w:r w:rsidRPr="003A6549">
        <w:rPr>
          <w:rFonts w:ascii="Arial" w:hAnsi="Arial" w:cs="Arial"/>
          <w:b/>
          <w:sz w:val="22"/>
          <w:szCs w:val="22"/>
          <w:lang w:val="en-US"/>
        </w:rPr>
        <w:t>Company</w:t>
      </w:r>
      <w:r w:rsidRPr="003A6549">
        <w:rPr>
          <w:rFonts w:ascii="Arial" w:hAnsi="Arial" w:cs="Arial"/>
          <w:sz w:val="22"/>
          <w:szCs w:val="22"/>
          <w:lang w:val="en-US"/>
        </w:rPr>
        <w:t xml:space="preserve">”) (CSE: </w:t>
      </w:r>
      <w:r>
        <w:rPr>
          <w:rFonts w:ascii="Arial" w:hAnsi="Arial" w:cs="Arial"/>
          <w:sz w:val="22"/>
          <w:szCs w:val="22"/>
          <w:lang w:val="en-US"/>
        </w:rPr>
        <w:t>BETR</w:t>
      </w:r>
      <w:r w:rsidRPr="003A6549">
        <w:rPr>
          <w:rFonts w:ascii="Arial" w:hAnsi="Arial" w:cs="Arial"/>
          <w:sz w:val="22"/>
          <w:szCs w:val="22"/>
          <w:lang w:val="en-US"/>
        </w:rPr>
        <w:t>) (</w:t>
      </w:r>
      <w:r>
        <w:rPr>
          <w:rFonts w:ascii="Arial" w:hAnsi="Arial" w:cs="Arial"/>
          <w:sz w:val="22"/>
          <w:szCs w:val="22"/>
          <w:lang w:val="en-US"/>
        </w:rPr>
        <w:t>OTCQB</w:t>
      </w:r>
      <w:r w:rsidRPr="003A6549">
        <w:rPr>
          <w:rFonts w:ascii="Arial" w:hAnsi="Arial" w:cs="Arial"/>
          <w:sz w:val="22"/>
          <w:szCs w:val="22"/>
          <w:lang w:val="en-US"/>
        </w:rPr>
        <w:t xml:space="preserve">: </w:t>
      </w:r>
      <w:r>
        <w:rPr>
          <w:rFonts w:ascii="Arial" w:hAnsi="Arial" w:cs="Arial"/>
          <w:sz w:val="22"/>
          <w:szCs w:val="22"/>
          <w:lang w:val="en-US"/>
        </w:rPr>
        <w:t>BETRF</w:t>
      </w:r>
      <w:r w:rsidRPr="003A6549">
        <w:rPr>
          <w:rFonts w:ascii="Arial" w:hAnsi="Arial" w:cs="Arial"/>
          <w:sz w:val="22"/>
          <w:szCs w:val="22"/>
          <w:lang w:val="en-US"/>
        </w:rPr>
        <w:t>) (</w:t>
      </w:r>
      <w:r>
        <w:rPr>
          <w:rFonts w:ascii="Arial" w:hAnsi="Arial" w:cs="Arial"/>
          <w:sz w:val="22"/>
          <w:szCs w:val="22"/>
          <w:lang w:val="en-US"/>
        </w:rPr>
        <w:t>FRA</w:t>
      </w:r>
      <w:r w:rsidRPr="003A6549">
        <w:rPr>
          <w:rFonts w:ascii="Arial" w:hAnsi="Arial" w:cs="Arial"/>
          <w:sz w:val="22"/>
          <w:szCs w:val="22"/>
          <w:lang w:val="en-US"/>
        </w:rPr>
        <w:t xml:space="preserve">: </w:t>
      </w:r>
      <w:r>
        <w:rPr>
          <w:rFonts w:ascii="Arial" w:hAnsi="Arial" w:cs="Arial"/>
          <w:sz w:val="22"/>
          <w:szCs w:val="22"/>
          <w:lang w:val="en-US"/>
        </w:rPr>
        <w:t>NPAT</w:t>
      </w:r>
      <w:r w:rsidRPr="003A6549">
        <w:rPr>
          <w:rFonts w:ascii="Arial" w:hAnsi="Arial" w:cs="Arial"/>
          <w:sz w:val="22"/>
          <w:szCs w:val="22"/>
          <w:lang w:val="en-US"/>
        </w:rPr>
        <w:t xml:space="preserve">), </w:t>
      </w:r>
      <w:r>
        <w:rPr>
          <w:rFonts w:ascii="Arial" w:hAnsi="Arial" w:cs="Arial"/>
          <w:sz w:val="22"/>
          <w:szCs w:val="22"/>
          <w:lang w:val="en-US"/>
        </w:rPr>
        <w:t>an emerging biotech company</w:t>
      </w:r>
      <w:r w:rsidRPr="003A6549">
        <w:rPr>
          <w:rFonts w:ascii="Arial" w:hAnsi="Arial" w:cs="Arial"/>
          <w:sz w:val="22"/>
          <w:szCs w:val="22"/>
          <w:lang w:val="en-US"/>
        </w:rPr>
        <w:t xml:space="preserve">, is pleased to announce that it has entered into an agreement with Mackie Research Capital Corporation, as </w:t>
      </w:r>
      <w:r>
        <w:rPr>
          <w:rFonts w:ascii="Arial" w:hAnsi="Arial" w:cs="Arial"/>
          <w:sz w:val="22"/>
          <w:szCs w:val="22"/>
          <w:lang w:val="en-US"/>
        </w:rPr>
        <w:t>lead</w:t>
      </w:r>
      <w:r w:rsidRPr="003A6549">
        <w:rPr>
          <w:rFonts w:ascii="Arial" w:hAnsi="Arial" w:cs="Arial"/>
          <w:sz w:val="22"/>
          <w:szCs w:val="22"/>
          <w:lang w:val="en-US"/>
        </w:rPr>
        <w:t xml:space="preserve"> agent and sole bookrunner (the "</w:t>
      </w:r>
      <w:r w:rsidRPr="0040627B">
        <w:rPr>
          <w:rFonts w:ascii="Arial" w:hAnsi="Arial" w:cs="Arial"/>
          <w:b/>
          <w:sz w:val="22"/>
          <w:szCs w:val="22"/>
          <w:lang w:val="en-US"/>
        </w:rPr>
        <w:t>Lead</w:t>
      </w:r>
      <w:r>
        <w:rPr>
          <w:rFonts w:ascii="Arial" w:hAnsi="Arial" w:cs="Arial"/>
          <w:sz w:val="22"/>
          <w:szCs w:val="22"/>
          <w:lang w:val="en-US"/>
        </w:rPr>
        <w:t xml:space="preserve"> </w:t>
      </w:r>
      <w:r w:rsidRPr="003A6549">
        <w:rPr>
          <w:rFonts w:ascii="Arial" w:hAnsi="Arial" w:cs="Arial"/>
          <w:b/>
          <w:sz w:val="22"/>
          <w:szCs w:val="22"/>
          <w:lang w:val="en-US"/>
        </w:rPr>
        <w:t>Agent</w:t>
      </w:r>
      <w:r w:rsidRPr="003A6549">
        <w:rPr>
          <w:rFonts w:ascii="Arial" w:hAnsi="Arial" w:cs="Arial"/>
          <w:sz w:val="22"/>
          <w:szCs w:val="22"/>
          <w:lang w:val="en-US"/>
        </w:rPr>
        <w:t>"),</w:t>
      </w:r>
      <w:r>
        <w:rPr>
          <w:rFonts w:ascii="Arial" w:hAnsi="Arial" w:cs="Arial"/>
          <w:sz w:val="22"/>
          <w:szCs w:val="22"/>
          <w:lang w:val="en-US"/>
        </w:rPr>
        <w:t xml:space="preserve"> on behalf of a syndicate, including Haywood Securities Inc. (collectively, the “</w:t>
      </w:r>
      <w:r w:rsidRPr="0040627B">
        <w:rPr>
          <w:rFonts w:ascii="Arial" w:hAnsi="Arial" w:cs="Arial"/>
          <w:b/>
          <w:sz w:val="22"/>
          <w:szCs w:val="22"/>
          <w:lang w:val="en-US"/>
        </w:rPr>
        <w:t>Agents</w:t>
      </w:r>
      <w:r>
        <w:rPr>
          <w:rFonts w:ascii="Arial" w:hAnsi="Arial" w:cs="Arial"/>
          <w:sz w:val="22"/>
          <w:szCs w:val="22"/>
          <w:lang w:val="en-US"/>
        </w:rPr>
        <w:t>”),</w:t>
      </w:r>
      <w:r w:rsidRPr="003A6549">
        <w:rPr>
          <w:rFonts w:ascii="Arial" w:hAnsi="Arial" w:cs="Arial"/>
          <w:sz w:val="22"/>
          <w:szCs w:val="22"/>
          <w:lang w:val="en-US"/>
        </w:rPr>
        <w:t xml:space="preserve"> in connection with a marketed </w:t>
      </w:r>
      <w:r>
        <w:rPr>
          <w:rFonts w:ascii="Arial" w:hAnsi="Arial" w:cs="Arial"/>
          <w:sz w:val="22"/>
          <w:szCs w:val="22"/>
          <w:lang w:val="en-US"/>
        </w:rPr>
        <w:t>private placement offering</w:t>
      </w:r>
      <w:r w:rsidRPr="003A6549">
        <w:rPr>
          <w:rFonts w:ascii="Arial" w:hAnsi="Arial" w:cs="Arial"/>
          <w:sz w:val="22"/>
          <w:szCs w:val="22"/>
          <w:lang w:val="en-US"/>
        </w:rPr>
        <w:t xml:space="preserve"> (the “</w:t>
      </w:r>
      <w:r w:rsidRPr="003A6549">
        <w:rPr>
          <w:rFonts w:ascii="Arial" w:hAnsi="Arial" w:cs="Arial"/>
          <w:b/>
          <w:sz w:val="22"/>
          <w:szCs w:val="22"/>
          <w:lang w:val="en-US"/>
        </w:rPr>
        <w:t>Offering</w:t>
      </w:r>
      <w:r w:rsidRPr="003A6549">
        <w:rPr>
          <w:rFonts w:ascii="Arial" w:hAnsi="Arial" w:cs="Arial"/>
          <w:sz w:val="22"/>
          <w:szCs w:val="22"/>
          <w:lang w:val="en-US"/>
        </w:rPr>
        <w:t>”) of special warrants of the Company (“</w:t>
      </w:r>
      <w:r w:rsidRPr="003A6549">
        <w:rPr>
          <w:rFonts w:ascii="Arial" w:hAnsi="Arial" w:cs="Arial"/>
          <w:b/>
          <w:sz w:val="22"/>
          <w:szCs w:val="22"/>
          <w:lang w:val="en-US"/>
        </w:rPr>
        <w:t>Special Warrants</w:t>
      </w:r>
      <w:r w:rsidRPr="003A6549">
        <w:rPr>
          <w:rFonts w:ascii="Arial" w:hAnsi="Arial" w:cs="Arial"/>
          <w:sz w:val="22"/>
          <w:szCs w:val="22"/>
          <w:lang w:val="en-US"/>
        </w:rPr>
        <w:t>”)</w:t>
      </w:r>
      <w:r>
        <w:rPr>
          <w:rFonts w:ascii="Arial" w:hAnsi="Arial" w:cs="Arial"/>
          <w:sz w:val="22"/>
          <w:szCs w:val="22"/>
          <w:lang w:val="en-US"/>
        </w:rPr>
        <w:t xml:space="preserve"> priced in the context of the market, at an indicative price of $0.90 per Special Warrant,</w:t>
      </w:r>
      <w:r w:rsidRPr="003A6549">
        <w:rPr>
          <w:rFonts w:ascii="Arial" w:hAnsi="Arial" w:cs="Arial"/>
          <w:sz w:val="22"/>
          <w:szCs w:val="22"/>
          <w:lang w:val="en-US"/>
        </w:rPr>
        <w:t xml:space="preserve"> for gross proceeds of up to $5,000,000.</w:t>
      </w:r>
    </w:p>
    <w:p w14:paraId="54BB7AA0" w14:textId="77777777" w:rsidR="00707A5B" w:rsidRDefault="00707A5B" w:rsidP="00707A5B">
      <w:pPr>
        <w:pStyle w:val="NormalWeb"/>
        <w:spacing w:before="0" w:beforeAutospacing="0" w:after="120" w:afterAutospacing="0"/>
        <w:jc w:val="both"/>
        <w:rPr>
          <w:rFonts w:ascii="Arial" w:hAnsi="Arial" w:cs="Arial"/>
          <w:sz w:val="22"/>
          <w:szCs w:val="22"/>
        </w:rPr>
      </w:pPr>
      <w:r w:rsidRPr="0040627B">
        <w:rPr>
          <w:rFonts w:ascii="Arial" w:hAnsi="Arial" w:cs="Arial"/>
          <w:sz w:val="22"/>
          <w:szCs w:val="22"/>
        </w:rPr>
        <w:t>Each Special Warrant shall be exercisable, for no additional consideration at the option of the holder, into one unit of the Company</w:t>
      </w:r>
      <w:r>
        <w:rPr>
          <w:rFonts w:ascii="Arial" w:hAnsi="Arial" w:cs="Arial"/>
          <w:sz w:val="22"/>
          <w:szCs w:val="22"/>
        </w:rPr>
        <w:t xml:space="preserve"> (each, a “</w:t>
      </w:r>
      <w:r w:rsidRPr="00097E76">
        <w:rPr>
          <w:rFonts w:ascii="Arial" w:hAnsi="Arial" w:cs="Arial"/>
          <w:b/>
          <w:sz w:val="22"/>
          <w:szCs w:val="22"/>
        </w:rPr>
        <w:t>Unit</w:t>
      </w:r>
      <w:r>
        <w:rPr>
          <w:rFonts w:ascii="Arial" w:hAnsi="Arial" w:cs="Arial"/>
          <w:sz w:val="22"/>
          <w:szCs w:val="22"/>
        </w:rPr>
        <w:t xml:space="preserve">”) with each Unit being comprised of </w:t>
      </w:r>
      <w:r w:rsidRPr="003A6549">
        <w:rPr>
          <w:rFonts w:ascii="Arial" w:hAnsi="Arial" w:cs="Arial"/>
          <w:sz w:val="22"/>
          <w:szCs w:val="22"/>
        </w:rPr>
        <w:t>one common share of the Company (a “</w:t>
      </w:r>
      <w:r w:rsidRPr="003A6549">
        <w:rPr>
          <w:rFonts w:ascii="Arial" w:hAnsi="Arial" w:cs="Arial"/>
          <w:b/>
          <w:sz w:val="22"/>
          <w:szCs w:val="22"/>
        </w:rPr>
        <w:t>Common Share</w:t>
      </w:r>
      <w:r w:rsidRPr="003A6549">
        <w:rPr>
          <w:rFonts w:ascii="Arial" w:hAnsi="Arial" w:cs="Arial"/>
          <w:sz w:val="22"/>
          <w:szCs w:val="22"/>
        </w:rPr>
        <w:t xml:space="preserve">”) and </w:t>
      </w:r>
      <w:r>
        <w:rPr>
          <w:rFonts w:ascii="Arial" w:hAnsi="Arial" w:cs="Arial"/>
          <w:sz w:val="22"/>
          <w:szCs w:val="22"/>
        </w:rPr>
        <w:t>one-half of one Common Share</w:t>
      </w:r>
      <w:r w:rsidRPr="003A6549">
        <w:rPr>
          <w:rFonts w:ascii="Arial" w:hAnsi="Arial" w:cs="Arial"/>
          <w:sz w:val="22"/>
          <w:szCs w:val="22"/>
        </w:rPr>
        <w:t xml:space="preserve"> purchase warrant (</w:t>
      </w:r>
      <w:r>
        <w:rPr>
          <w:rFonts w:ascii="Arial" w:hAnsi="Arial" w:cs="Arial"/>
          <w:sz w:val="22"/>
          <w:szCs w:val="22"/>
        </w:rPr>
        <w:t xml:space="preserve">each whole warrant, </w:t>
      </w:r>
      <w:r w:rsidRPr="003A6549">
        <w:rPr>
          <w:rFonts w:ascii="Arial" w:hAnsi="Arial" w:cs="Arial"/>
          <w:sz w:val="22"/>
          <w:szCs w:val="22"/>
        </w:rPr>
        <w:t>a “</w:t>
      </w:r>
      <w:r w:rsidRPr="003A6549">
        <w:rPr>
          <w:rFonts w:ascii="Arial" w:hAnsi="Arial" w:cs="Arial"/>
          <w:b/>
          <w:sz w:val="22"/>
          <w:szCs w:val="22"/>
        </w:rPr>
        <w:t>Warrant</w:t>
      </w:r>
      <w:r w:rsidRPr="003A6549">
        <w:rPr>
          <w:rFonts w:ascii="Arial" w:hAnsi="Arial" w:cs="Arial"/>
          <w:sz w:val="22"/>
          <w:szCs w:val="22"/>
        </w:rPr>
        <w:t xml:space="preserve">”). </w:t>
      </w:r>
      <w:r w:rsidRPr="004B7332">
        <w:rPr>
          <w:rFonts w:ascii="Arial" w:hAnsi="Arial" w:cs="Arial"/>
          <w:sz w:val="22"/>
          <w:szCs w:val="22"/>
        </w:rPr>
        <w:t>Each Warrant will entitle the holder thereof to acquire one Common Share (each, a “</w:t>
      </w:r>
      <w:r w:rsidRPr="003D46AA">
        <w:rPr>
          <w:rFonts w:ascii="Arial" w:hAnsi="Arial" w:cs="Arial"/>
          <w:b/>
          <w:sz w:val="22"/>
          <w:szCs w:val="22"/>
        </w:rPr>
        <w:t>Warrant Share</w:t>
      </w:r>
      <w:r w:rsidRPr="004B7332">
        <w:rPr>
          <w:rFonts w:ascii="Arial" w:hAnsi="Arial" w:cs="Arial"/>
          <w:sz w:val="22"/>
          <w:szCs w:val="22"/>
        </w:rPr>
        <w:t xml:space="preserve">”) at an </w:t>
      </w:r>
      <w:r>
        <w:rPr>
          <w:rFonts w:ascii="Arial" w:hAnsi="Arial" w:cs="Arial"/>
          <w:sz w:val="22"/>
          <w:szCs w:val="22"/>
        </w:rPr>
        <w:t xml:space="preserve">indicative </w:t>
      </w:r>
      <w:r w:rsidRPr="004B7332">
        <w:rPr>
          <w:rFonts w:ascii="Arial" w:hAnsi="Arial" w:cs="Arial"/>
          <w:sz w:val="22"/>
          <w:szCs w:val="22"/>
        </w:rPr>
        <w:t>exercise price of $</w:t>
      </w:r>
      <w:r>
        <w:rPr>
          <w:rFonts w:ascii="Arial" w:hAnsi="Arial" w:cs="Arial"/>
          <w:sz w:val="22"/>
          <w:szCs w:val="22"/>
        </w:rPr>
        <w:t>1.10</w:t>
      </w:r>
      <w:r w:rsidRPr="004B7332">
        <w:rPr>
          <w:rFonts w:ascii="Arial" w:hAnsi="Arial" w:cs="Arial"/>
          <w:sz w:val="22"/>
          <w:szCs w:val="22"/>
        </w:rPr>
        <w:t xml:space="preserve"> per Warrant Share</w:t>
      </w:r>
      <w:r>
        <w:rPr>
          <w:rFonts w:ascii="Arial" w:hAnsi="Arial" w:cs="Arial"/>
          <w:sz w:val="22"/>
          <w:szCs w:val="22"/>
        </w:rPr>
        <w:t xml:space="preserve">, </w:t>
      </w:r>
      <w:r w:rsidRPr="004B7332">
        <w:rPr>
          <w:rFonts w:ascii="Arial" w:hAnsi="Arial" w:cs="Arial"/>
          <w:sz w:val="22"/>
          <w:szCs w:val="22"/>
        </w:rPr>
        <w:t>for a period of 24 months after</w:t>
      </w:r>
      <w:r>
        <w:rPr>
          <w:rFonts w:ascii="Arial" w:hAnsi="Arial" w:cs="Arial"/>
          <w:sz w:val="22"/>
          <w:szCs w:val="22"/>
        </w:rPr>
        <w:t xml:space="preserve"> the c</w:t>
      </w:r>
      <w:r w:rsidRPr="004B7332">
        <w:rPr>
          <w:rFonts w:ascii="Arial" w:hAnsi="Arial" w:cs="Arial"/>
          <w:sz w:val="22"/>
          <w:szCs w:val="22"/>
        </w:rPr>
        <w:t>losing</w:t>
      </w:r>
      <w:r>
        <w:rPr>
          <w:rFonts w:ascii="Arial" w:hAnsi="Arial" w:cs="Arial"/>
          <w:sz w:val="22"/>
          <w:szCs w:val="22"/>
        </w:rPr>
        <w:t xml:space="preserve"> of the Offering.</w:t>
      </w:r>
    </w:p>
    <w:p w14:paraId="375C3EFE"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The Company has granted the Agent</w:t>
      </w:r>
      <w:r>
        <w:rPr>
          <w:rFonts w:ascii="Arial" w:hAnsi="Arial" w:cs="Arial"/>
          <w:sz w:val="22"/>
          <w:szCs w:val="22"/>
        </w:rPr>
        <w:t>s</w:t>
      </w:r>
      <w:r w:rsidRPr="003A6549">
        <w:rPr>
          <w:rFonts w:ascii="Arial" w:hAnsi="Arial" w:cs="Arial"/>
          <w:sz w:val="22"/>
          <w:szCs w:val="22"/>
        </w:rPr>
        <w:t xml:space="preserve"> an option (the "</w:t>
      </w:r>
      <w:r w:rsidRPr="003A6549">
        <w:rPr>
          <w:rFonts w:ascii="Arial" w:hAnsi="Arial" w:cs="Arial"/>
          <w:b/>
          <w:sz w:val="22"/>
          <w:szCs w:val="22"/>
        </w:rPr>
        <w:t>Over-Allotment Option</w:t>
      </w:r>
      <w:r w:rsidRPr="003A6549">
        <w:rPr>
          <w:rFonts w:ascii="Arial" w:hAnsi="Arial" w:cs="Arial"/>
          <w:sz w:val="22"/>
          <w:szCs w:val="22"/>
        </w:rPr>
        <w:t xml:space="preserve">") to purchase up to 15% of the number of Special Warrants issued pursuant to the Offering to cover any over-allotments, exercisable at any time 48 hours prior to the Closing (as defined herein) of the Offering. </w:t>
      </w:r>
    </w:p>
    <w:p w14:paraId="68E95B35"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 xml:space="preserve">The net proceeds raised under the Offering will be used for working capital and general corporate purposes. </w:t>
      </w:r>
    </w:p>
    <w:p w14:paraId="5B5CDE4A"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As soon as reasonably practicable after the Closing (as defined herein), the Company will use its reasonable commercial efforts to prepare and file with each of the securities regulatory authorities in each of the provinces of Canada in which the of Special Warrants are sold (the “</w:t>
      </w:r>
      <w:r w:rsidRPr="003A6549">
        <w:rPr>
          <w:rFonts w:ascii="Arial" w:hAnsi="Arial" w:cs="Arial"/>
          <w:b/>
          <w:sz w:val="22"/>
          <w:szCs w:val="22"/>
        </w:rPr>
        <w:t>Jurisdictions</w:t>
      </w:r>
      <w:r w:rsidRPr="003A6549">
        <w:rPr>
          <w:rFonts w:ascii="Arial" w:hAnsi="Arial" w:cs="Arial"/>
          <w:sz w:val="22"/>
          <w:szCs w:val="22"/>
        </w:rPr>
        <w:t>”) and obtain a receipt for, a preliminary short form prospectus and a final short form prospectus (the “</w:t>
      </w:r>
      <w:r w:rsidRPr="003A6549">
        <w:rPr>
          <w:rFonts w:ascii="Arial" w:hAnsi="Arial" w:cs="Arial"/>
          <w:b/>
          <w:sz w:val="22"/>
          <w:szCs w:val="22"/>
        </w:rPr>
        <w:t>Final Prospectus</w:t>
      </w:r>
      <w:r w:rsidRPr="003A6549">
        <w:rPr>
          <w:rFonts w:ascii="Arial" w:hAnsi="Arial" w:cs="Arial"/>
          <w:sz w:val="22"/>
          <w:szCs w:val="22"/>
        </w:rPr>
        <w:t xml:space="preserve">”), qualifying the distribution of the Units underlying the Special Warrants, in compliance with applicable securities law, within </w:t>
      </w:r>
      <w:r>
        <w:rPr>
          <w:rFonts w:ascii="Arial" w:hAnsi="Arial" w:cs="Arial"/>
          <w:sz w:val="22"/>
          <w:szCs w:val="22"/>
        </w:rPr>
        <w:t>forty (40)</w:t>
      </w:r>
      <w:r w:rsidRPr="003A6549">
        <w:rPr>
          <w:rFonts w:ascii="Arial" w:hAnsi="Arial" w:cs="Arial"/>
          <w:sz w:val="22"/>
          <w:szCs w:val="22"/>
        </w:rPr>
        <w:t xml:space="preserve"> days from the Closing of the Offering.</w:t>
      </w:r>
    </w:p>
    <w:p w14:paraId="14C89527"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In the event that the Company has not received a receipt for the Fina</w:t>
      </w:r>
      <w:r w:rsidRPr="00230845">
        <w:rPr>
          <w:rFonts w:ascii="Arial" w:hAnsi="Arial" w:cs="Arial"/>
          <w:sz w:val="22"/>
          <w:szCs w:val="22"/>
        </w:rPr>
        <w:t xml:space="preserve">l Prospectus within </w:t>
      </w:r>
      <w:r>
        <w:rPr>
          <w:rFonts w:ascii="Arial" w:hAnsi="Arial" w:cs="Arial"/>
          <w:sz w:val="22"/>
          <w:szCs w:val="22"/>
        </w:rPr>
        <w:t>forty</w:t>
      </w:r>
      <w:r w:rsidRPr="00230845">
        <w:rPr>
          <w:rFonts w:ascii="Arial" w:hAnsi="Arial" w:cs="Arial"/>
          <w:sz w:val="22"/>
          <w:szCs w:val="22"/>
        </w:rPr>
        <w:t xml:space="preserve"> (</w:t>
      </w:r>
      <w:r>
        <w:rPr>
          <w:rFonts w:ascii="Arial" w:hAnsi="Arial" w:cs="Arial"/>
          <w:sz w:val="22"/>
          <w:szCs w:val="22"/>
        </w:rPr>
        <w:t>40</w:t>
      </w:r>
      <w:r w:rsidRPr="00230845">
        <w:rPr>
          <w:rFonts w:ascii="Arial" w:hAnsi="Arial" w:cs="Arial"/>
          <w:sz w:val="22"/>
          <w:szCs w:val="22"/>
        </w:rPr>
        <w:t>) days following the Closing, each unexercised Special Warrant will thereafter entitle the holder thereof to receive upon the exercise thereof, at no additional con</w:t>
      </w:r>
      <w:r w:rsidRPr="00C3722F">
        <w:rPr>
          <w:rFonts w:ascii="Arial" w:hAnsi="Arial" w:cs="Arial"/>
          <w:sz w:val="22"/>
          <w:szCs w:val="22"/>
        </w:rPr>
        <w:t xml:space="preserve">sideration, one-and-one-tenth (1.10) Unit (instead of one Unit) and thereafter at the end of each additional </w:t>
      </w:r>
      <w:r w:rsidRPr="00230845">
        <w:rPr>
          <w:rFonts w:ascii="Arial" w:hAnsi="Arial" w:cs="Arial"/>
          <w:sz w:val="22"/>
          <w:szCs w:val="22"/>
        </w:rPr>
        <w:t>thirty (30)</w:t>
      </w:r>
      <w:r w:rsidRPr="003A6549">
        <w:rPr>
          <w:rFonts w:ascii="Arial" w:hAnsi="Arial" w:cs="Arial"/>
          <w:sz w:val="22"/>
          <w:szCs w:val="22"/>
        </w:rPr>
        <w:t xml:space="preserve"> day period prior to the Qualification Date (as defined below), each Special Warrant will be exercisable for an additional 0.02 of a Unit.</w:t>
      </w:r>
    </w:p>
    <w:p w14:paraId="6E0EAB98"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All unexercised Special Warrants will automatically be exercised on the day (the “</w:t>
      </w:r>
      <w:r w:rsidRPr="003A6549">
        <w:rPr>
          <w:rFonts w:ascii="Arial" w:hAnsi="Arial" w:cs="Arial"/>
          <w:b/>
          <w:sz w:val="22"/>
          <w:szCs w:val="22"/>
        </w:rPr>
        <w:t>Qualification Date</w:t>
      </w:r>
      <w:r w:rsidRPr="003A6549">
        <w:rPr>
          <w:rFonts w:ascii="Arial" w:hAnsi="Arial" w:cs="Arial"/>
          <w:sz w:val="22"/>
          <w:szCs w:val="22"/>
        </w:rPr>
        <w:t xml:space="preserve">”) that is the earlier of (i) four (4) months and a day following Closing of the Offering, and (ii) </w:t>
      </w:r>
      <w:r w:rsidRPr="003F1AB7">
        <w:rPr>
          <w:rFonts w:ascii="Arial" w:hAnsi="Arial" w:cs="Arial"/>
          <w:sz w:val="22"/>
          <w:szCs w:val="22"/>
        </w:rPr>
        <w:t xml:space="preserve">as soon as reasonably practicable </w:t>
      </w:r>
      <w:r w:rsidRPr="003A6549">
        <w:rPr>
          <w:rFonts w:ascii="Arial" w:hAnsi="Arial" w:cs="Arial"/>
          <w:sz w:val="22"/>
          <w:szCs w:val="22"/>
        </w:rPr>
        <w:t>after a receipt is issued for the Final Prospectus.</w:t>
      </w:r>
    </w:p>
    <w:p w14:paraId="43D9C96D"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The Agent</w:t>
      </w:r>
      <w:r>
        <w:rPr>
          <w:rFonts w:ascii="Arial" w:hAnsi="Arial" w:cs="Arial"/>
          <w:sz w:val="22"/>
          <w:szCs w:val="22"/>
        </w:rPr>
        <w:t>s</w:t>
      </w:r>
      <w:r w:rsidRPr="003A6549">
        <w:rPr>
          <w:rFonts w:ascii="Arial" w:hAnsi="Arial" w:cs="Arial"/>
          <w:sz w:val="22"/>
          <w:szCs w:val="22"/>
        </w:rPr>
        <w:t xml:space="preserve"> will receive an aggregate cash fee equal to 8.0% of the gross proceeds from the Offering, including in respect of any exercise of the Over-Allotment Option. In addition, the Company will grant the Agent</w:t>
      </w:r>
      <w:r>
        <w:rPr>
          <w:rFonts w:ascii="Arial" w:hAnsi="Arial" w:cs="Arial"/>
          <w:sz w:val="22"/>
          <w:szCs w:val="22"/>
        </w:rPr>
        <w:t>s</w:t>
      </w:r>
      <w:r w:rsidRPr="003A6549">
        <w:rPr>
          <w:rFonts w:ascii="Arial" w:hAnsi="Arial" w:cs="Arial"/>
          <w:sz w:val="22"/>
          <w:szCs w:val="22"/>
        </w:rPr>
        <w:t>, on date of Closing, non-transferable compensation options (the “</w:t>
      </w:r>
      <w:r w:rsidRPr="003A6549">
        <w:rPr>
          <w:rFonts w:ascii="Arial" w:hAnsi="Arial" w:cs="Arial"/>
          <w:b/>
          <w:sz w:val="22"/>
          <w:szCs w:val="22"/>
        </w:rPr>
        <w:t>Compensation Options</w:t>
      </w:r>
      <w:r w:rsidRPr="003A6549">
        <w:rPr>
          <w:rFonts w:ascii="Arial" w:hAnsi="Arial" w:cs="Arial"/>
          <w:sz w:val="22"/>
          <w:szCs w:val="22"/>
        </w:rPr>
        <w:t>”) equal to 8</w:t>
      </w:r>
      <w:r>
        <w:rPr>
          <w:rFonts w:ascii="Arial" w:hAnsi="Arial" w:cs="Arial"/>
          <w:sz w:val="22"/>
          <w:szCs w:val="22"/>
        </w:rPr>
        <w:t>.0</w:t>
      </w:r>
      <w:r w:rsidRPr="003A6549">
        <w:rPr>
          <w:rFonts w:ascii="Arial" w:hAnsi="Arial" w:cs="Arial"/>
          <w:sz w:val="22"/>
          <w:szCs w:val="22"/>
        </w:rPr>
        <w:t xml:space="preserve">% of the total number of Special Warrants under the </w:t>
      </w:r>
      <w:r w:rsidRPr="003A6549">
        <w:rPr>
          <w:rFonts w:ascii="Arial" w:hAnsi="Arial" w:cs="Arial"/>
          <w:sz w:val="22"/>
          <w:szCs w:val="22"/>
        </w:rPr>
        <w:lastRenderedPageBreak/>
        <w:t>Offering (including in respect of any exercise of the Over-Allotment Option). Each Compensation Option will entitle the holder thereof to purchase one Unit (a “</w:t>
      </w:r>
      <w:r w:rsidRPr="003A6549">
        <w:rPr>
          <w:rFonts w:ascii="Arial" w:hAnsi="Arial" w:cs="Arial"/>
          <w:b/>
          <w:sz w:val="22"/>
          <w:szCs w:val="22"/>
        </w:rPr>
        <w:t>Compensation Option Unit</w:t>
      </w:r>
      <w:r w:rsidRPr="003A6549">
        <w:rPr>
          <w:rFonts w:ascii="Arial" w:hAnsi="Arial" w:cs="Arial"/>
          <w:sz w:val="22"/>
          <w:szCs w:val="22"/>
        </w:rPr>
        <w:t xml:space="preserve">”) at an exercise price per Compensation Option Unit equal to the </w:t>
      </w:r>
      <w:r>
        <w:rPr>
          <w:rFonts w:ascii="Arial" w:hAnsi="Arial" w:cs="Arial"/>
          <w:sz w:val="22"/>
          <w:szCs w:val="22"/>
        </w:rPr>
        <w:t>issue price of the Special Warrants</w:t>
      </w:r>
      <w:r w:rsidRPr="003A6549">
        <w:rPr>
          <w:rFonts w:ascii="Arial" w:hAnsi="Arial" w:cs="Arial"/>
          <w:sz w:val="22"/>
          <w:szCs w:val="22"/>
        </w:rPr>
        <w:t xml:space="preserve"> for a period </w:t>
      </w:r>
      <w:r>
        <w:rPr>
          <w:rFonts w:ascii="Arial" w:hAnsi="Arial" w:cs="Arial"/>
          <w:sz w:val="22"/>
          <w:szCs w:val="22"/>
        </w:rPr>
        <w:t>to be determined in the context of the market</w:t>
      </w:r>
      <w:r w:rsidRPr="003A6549">
        <w:rPr>
          <w:rFonts w:ascii="Arial" w:hAnsi="Arial" w:cs="Arial"/>
          <w:sz w:val="22"/>
          <w:szCs w:val="22"/>
        </w:rPr>
        <w:t>.</w:t>
      </w:r>
    </w:p>
    <w:p w14:paraId="151120F5"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lang w:val="en-US"/>
        </w:rPr>
        <w:t xml:space="preserve">The Company will use commercial reasonable efforts to obtain the necessary approvals to list the Common Shares, and Common Shares issuable on the exercise of the </w:t>
      </w:r>
      <w:r>
        <w:rPr>
          <w:rFonts w:ascii="Arial" w:hAnsi="Arial" w:cs="Arial"/>
          <w:sz w:val="22"/>
          <w:szCs w:val="22"/>
          <w:lang w:val="en-US"/>
        </w:rPr>
        <w:t xml:space="preserve">Warrants and </w:t>
      </w:r>
      <w:r w:rsidRPr="003A6549">
        <w:rPr>
          <w:rFonts w:ascii="Arial" w:hAnsi="Arial" w:cs="Arial"/>
          <w:sz w:val="22"/>
          <w:szCs w:val="22"/>
          <w:lang w:val="en-US"/>
        </w:rPr>
        <w:t xml:space="preserve">Compensation Option Units on the </w:t>
      </w:r>
      <w:r>
        <w:rPr>
          <w:rFonts w:ascii="Arial" w:hAnsi="Arial" w:cs="Arial"/>
          <w:sz w:val="22"/>
          <w:szCs w:val="22"/>
          <w:lang w:val="en-US"/>
        </w:rPr>
        <w:t xml:space="preserve">Canadian Securities </w:t>
      </w:r>
      <w:r w:rsidRPr="003A6549">
        <w:rPr>
          <w:rFonts w:ascii="Arial" w:hAnsi="Arial" w:cs="Arial"/>
          <w:sz w:val="22"/>
          <w:szCs w:val="22"/>
          <w:lang w:val="en-US"/>
        </w:rPr>
        <w:t>Exchange on the Closing Date and the date of the issuance of the underlying Warrant Shares, respectively.</w:t>
      </w:r>
    </w:p>
    <w:p w14:paraId="4D2A1FFC"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 xml:space="preserve">The Offering is subject to certain conditions including, but not limited to, the receipt of all necessary regulatory and stock exchange approvals, including the approval of the Exchange, and the entering into of an agency agreement between the Company and the Agents. Closing of the Offering is expected to be on or about </w:t>
      </w:r>
      <w:r>
        <w:rPr>
          <w:rFonts w:ascii="Arial" w:hAnsi="Arial" w:cs="Arial"/>
          <w:sz w:val="22"/>
          <w:szCs w:val="22"/>
        </w:rPr>
        <w:t xml:space="preserve">the week </w:t>
      </w:r>
      <w:r w:rsidRPr="00F758A1">
        <w:rPr>
          <w:rFonts w:ascii="Arial" w:hAnsi="Arial" w:cs="Arial"/>
          <w:sz w:val="22"/>
          <w:szCs w:val="22"/>
        </w:rPr>
        <w:t>of November 16, 2020</w:t>
      </w:r>
      <w:r w:rsidRPr="003A6549">
        <w:rPr>
          <w:rFonts w:ascii="Arial" w:hAnsi="Arial" w:cs="Arial"/>
          <w:sz w:val="22"/>
          <w:szCs w:val="22"/>
        </w:rPr>
        <w:t xml:space="preserve"> (the "</w:t>
      </w:r>
      <w:r w:rsidRPr="003A6549">
        <w:rPr>
          <w:rFonts w:ascii="Arial" w:hAnsi="Arial" w:cs="Arial"/>
          <w:b/>
          <w:bCs/>
          <w:sz w:val="22"/>
          <w:szCs w:val="22"/>
        </w:rPr>
        <w:t>Closing Date</w:t>
      </w:r>
      <w:r w:rsidRPr="003A6549">
        <w:rPr>
          <w:rFonts w:ascii="Arial" w:hAnsi="Arial" w:cs="Arial"/>
          <w:sz w:val="22"/>
          <w:szCs w:val="22"/>
        </w:rPr>
        <w:t>" or “</w:t>
      </w:r>
      <w:r w:rsidRPr="003A6549">
        <w:rPr>
          <w:rFonts w:ascii="Arial" w:hAnsi="Arial" w:cs="Arial"/>
          <w:b/>
          <w:sz w:val="22"/>
          <w:szCs w:val="22"/>
        </w:rPr>
        <w:t>Closing</w:t>
      </w:r>
      <w:r w:rsidRPr="003A6549">
        <w:rPr>
          <w:rFonts w:ascii="Arial" w:hAnsi="Arial" w:cs="Arial"/>
          <w:sz w:val="22"/>
          <w:szCs w:val="22"/>
        </w:rPr>
        <w:t>”).</w:t>
      </w:r>
    </w:p>
    <w:p w14:paraId="6419DD3D" w14:textId="77777777" w:rsidR="00707A5B" w:rsidRPr="003A6549" w:rsidRDefault="00707A5B" w:rsidP="00707A5B">
      <w:pPr>
        <w:pStyle w:val="NormalWeb"/>
        <w:spacing w:before="0" w:beforeAutospacing="0" w:after="120" w:afterAutospacing="0"/>
        <w:jc w:val="both"/>
        <w:rPr>
          <w:rFonts w:ascii="Arial" w:hAnsi="Arial" w:cs="Arial"/>
          <w:sz w:val="22"/>
          <w:szCs w:val="22"/>
        </w:rPr>
      </w:pPr>
      <w:r w:rsidRPr="003A6549">
        <w:rPr>
          <w:rFonts w:ascii="Arial" w:hAnsi="Arial" w:cs="Arial"/>
          <w:sz w:val="22"/>
          <w:szCs w:val="22"/>
        </w:rPr>
        <w:t>This press release is not an offer to sell or the solicitation of an offer to buy the securities in the United States or in any jurisdiction in which such offer, solicitation or sale would be unlawful prior to qualification</w:t>
      </w:r>
      <w:r>
        <w:rPr>
          <w:rFonts w:ascii="Arial" w:hAnsi="Arial" w:cs="Arial"/>
          <w:sz w:val="22"/>
          <w:szCs w:val="22"/>
        </w:rPr>
        <w:t xml:space="preserve"> </w:t>
      </w:r>
      <w:r w:rsidRPr="003A6549">
        <w:rPr>
          <w:rFonts w:ascii="Arial" w:hAnsi="Arial" w:cs="Arial"/>
          <w:sz w:val="22"/>
          <w:szCs w:val="22"/>
        </w:rPr>
        <w:t>or registration under the securities laws of such jurisdiction. The securities being offered have not been, nor will they be, registered under the United States Securities Act of 1933, as amended, and such securities may not be offered or sold within the United States or to, or for the account or benefit of, U.S. persons absent registration or an applicable exemption from U.S. registration requirements and applicable U.S. state securities laws.</w:t>
      </w:r>
    </w:p>
    <w:p w14:paraId="4F494D11" w14:textId="77777777" w:rsidR="00707A5B" w:rsidRPr="003A6549" w:rsidRDefault="00707A5B" w:rsidP="00707A5B">
      <w:pPr>
        <w:spacing w:after="120" w:line="240" w:lineRule="auto"/>
        <w:jc w:val="both"/>
        <w:rPr>
          <w:rFonts w:ascii="Arial" w:hAnsi="Arial" w:cs="Arial"/>
          <w:b/>
          <w:lang w:val="en-US"/>
        </w:rPr>
      </w:pPr>
      <w:r w:rsidRPr="003A6549">
        <w:rPr>
          <w:rFonts w:ascii="Arial" w:hAnsi="Arial" w:cs="Arial"/>
          <w:b/>
          <w:lang w:val="en-US"/>
        </w:rPr>
        <w:t xml:space="preserve">About </w:t>
      </w:r>
      <w:r>
        <w:rPr>
          <w:rFonts w:ascii="Arial" w:hAnsi="Arial" w:cs="Arial"/>
          <w:b/>
          <w:lang w:val="en-US"/>
        </w:rPr>
        <w:t>BetterLife Pharma</w:t>
      </w:r>
      <w:r w:rsidRPr="003A6549">
        <w:rPr>
          <w:rFonts w:ascii="Arial" w:hAnsi="Arial" w:cs="Arial"/>
          <w:b/>
          <w:lang w:val="en-US"/>
        </w:rPr>
        <w:t xml:space="preserve"> Inc.</w:t>
      </w:r>
    </w:p>
    <w:p w14:paraId="4A1E7232" w14:textId="77777777" w:rsidR="00707A5B" w:rsidRPr="008E306F" w:rsidRDefault="00707A5B" w:rsidP="00707A5B">
      <w:pPr>
        <w:pStyle w:val="NormalWeb"/>
        <w:spacing w:before="0" w:beforeAutospacing="0" w:after="120" w:afterAutospacing="0"/>
        <w:jc w:val="both"/>
        <w:rPr>
          <w:rFonts w:ascii="Arial" w:hAnsi="Arial" w:cs="Arial"/>
          <w:sz w:val="22"/>
          <w:szCs w:val="22"/>
        </w:rPr>
      </w:pPr>
      <w:r w:rsidRPr="008E306F">
        <w:rPr>
          <w:rFonts w:ascii="Arial" w:hAnsi="Arial" w:cs="Arial"/>
          <w:sz w:val="22"/>
          <w:szCs w:val="22"/>
        </w:rPr>
        <w:t xml:space="preserve">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 (HPV), and/or to directly inhibit tumours to treat specific types of cancer. </w:t>
      </w:r>
    </w:p>
    <w:p w14:paraId="0D0FCD05" w14:textId="77777777" w:rsidR="00707A5B" w:rsidRDefault="00707A5B" w:rsidP="00707A5B">
      <w:pPr>
        <w:spacing w:after="120" w:line="240" w:lineRule="auto"/>
        <w:jc w:val="both"/>
        <w:rPr>
          <w:rFonts w:ascii="Arial" w:eastAsia="Times New Roman" w:hAnsi="Arial" w:cs="Arial"/>
          <w:sz w:val="24"/>
          <w:szCs w:val="24"/>
          <w:lang w:eastAsia="en-CA"/>
        </w:rPr>
      </w:pPr>
      <w:r w:rsidRPr="008E306F">
        <w:rPr>
          <w:rFonts w:ascii="Arial" w:eastAsia="Times New Roman" w:hAnsi="Arial" w:cs="Arial"/>
          <w:sz w:val="24"/>
          <w:szCs w:val="24"/>
          <w:lang w:eastAsia="en-CA"/>
        </w:rPr>
        <w:t xml:space="preserve">For further information please visit </w:t>
      </w:r>
      <w:hyperlink r:id="rId5" w:history="1">
        <w:r w:rsidRPr="00336042">
          <w:rPr>
            <w:rStyle w:val="Hyperlink"/>
            <w:rFonts w:ascii="Arial" w:eastAsia="Times New Roman" w:hAnsi="Arial" w:cs="Arial"/>
            <w:sz w:val="24"/>
            <w:szCs w:val="24"/>
            <w:lang w:eastAsia="en-CA"/>
          </w:rPr>
          <w:t>www.blifetherapeutics.com</w:t>
        </w:r>
      </w:hyperlink>
      <w:r w:rsidRPr="008E306F">
        <w:rPr>
          <w:rFonts w:ascii="Arial" w:eastAsia="Times New Roman" w:hAnsi="Arial" w:cs="Arial"/>
          <w:sz w:val="24"/>
          <w:szCs w:val="24"/>
          <w:lang w:eastAsia="en-CA"/>
        </w:rPr>
        <w:t xml:space="preserve">. </w:t>
      </w:r>
    </w:p>
    <w:p w14:paraId="3238FF06" w14:textId="77777777" w:rsidR="00707A5B" w:rsidRDefault="00707A5B" w:rsidP="00707A5B">
      <w:pPr>
        <w:spacing w:after="120" w:line="240" w:lineRule="auto"/>
        <w:jc w:val="both"/>
        <w:rPr>
          <w:rFonts w:ascii="Arial" w:hAnsi="Arial" w:cs="Arial"/>
          <w:b/>
          <w:lang w:val="en-US"/>
        </w:rPr>
      </w:pPr>
      <w:r w:rsidRPr="003A6549">
        <w:rPr>
          <w:rFonts w:ascii="Arial" w:hAnsi="Arial" w:cs="Arial"/>
          <w:b/>
          <w:lang w:val="en-US"/>
        </w:rPr>
        <w:t>Contact Information:</w:t>
      </w:r>
    </w:p>
    <w:p w14:paraId="4F9C6A96" w14:textId="77777777" w:rsidR="00707A5B" w:rsidRPr="008E306F" w:rsidRDefault="00707A5B" w:rsidP="00707A5B">
      <w:pPr>
        <w:spacing w:after="120" w:line="240" w:lineRule="auto"/>
        <w:rPr>
          <w:rFonts w:ascii="Arial" w:eastAsia="Times New Roman" w:hAnsi="Arial" w:cs="Arial"/>
          <w:lang w:eastAsia="en-CA"/>
        </w:rPr>
      </w:pPr>
      <w:r w:rsidRPr="008E306F">
        <w:rPr>
          <w:rFonts w:ascii="Arial" w:eastAsia="Times New Roman" w:hAnsi="Arial" w:cs="Arial"/>
          <w:b/>
          <w:lang w:eastAsia="en-CA"/>
        </w:rPr>
        <w:t>Ahmad Doroudian</w:t>
      </w:r>
      <w:r>
        <w:rPr>
          <w:rFonts w:ascii="Arial" w:eastAsia="Times New Roman" w:hAnsi="Arial" w:cs="Arial"/>
          <w:lang w:eastAsia="en-CA"/>
        </w:rPr>
        <w:t>, Chief Executive Officer</w:t>
      </w:r>
      <w:r>
        <w:rPr>
          <w:rFonts w:ascii="Arial" w:eastAsia="Times New Roman" w:hAnsi="Arial" w:cs="Arial"/>
          <w:lang w:eastAsia="en-CA"/>
        </w:rPr>
        <w:br/>
      </w:r>
      <w:r w:rsidRPr="008E306F">
        <w:rPr>
          <w:rFonts w:ascii="Arial" w:eastAsia="Times New Roman" w:hAnsi="Arial" w:cs="Arial"/>
          <w:lang w:eastAsia="en-CA"/>
        </w:rPr>
        <w:t xml:space="preserve">Email: </w:t>
      </w:r>
      <w:hyperlink r:id="rId6" w:history="1">
        <w:r w:rsidRPr="00336042">
          <w:rPr>
            <w:rStyle w:val="Hyperlink"/>
            <w:rFonts w:ascii="Arial" w:eastAsia="Times New Roman" w:hAnsi="Arial" w:cs="Arial"/>
            <w:lang w:eastAsia="en-CA"/>
          </w:rPr>
          <w:t>Ahmad.Doroudian@blifepharma.com</w:t>
        </w:r>
      </w:hyperlink>
      <w:r>
        <w:rPr>
          <w:rFonts w:ascii="Arial" w:eastAsia="Times New Roman" w:hAnsi="Arial" w:cs="Arial"/>
          <w:lang w:eastAsia="en-CA"/>
        </w:rPr>
        <w:br/>
      </w:r>
      <w:r w:rsidRPr="008E306F">
        <w:rPr>
          <w:rFonts w:ascii="Arial" w:eastAsia="Times New Roman" w:hAnsi="Arial" w:cs="Arial"/>
          <w:lang w:eastAsia="en-CA"/>
        </w:rPr>
        <w:t xml:space="preserve">Phone: 604-221-0595 </w:t>
      </w:r>
      <w:r>
        <w:rPr>
          <w:rFonts w:ascii="Arial" w:eastAsia="Times New Roman" w:hAnsi="Arial" w:cs="Arial"/>
          <w:lang w:eastAsia="en-CA"/>
        </w:rPr>
        <w:br/>
      </w:r>
      <w:r>
        <w:rPr>
          <w:rFonts w:ascii="Arial" w:eastAsia="Times New Roman" w:hAnsi="Arial" w:cs="Arial"/>
          <w:lang w:eastAsia="en-CA"/>
        </w:rPr>
        <w:br/>
      </w:r>
      <w:r w:rsidRPr="008E306F">
        <w:rPr>
          <w:rFonts w:ascii="Arial" w:eastAsia="Times New Roman" w:hAnsi="Arial" w:cs="Arial"/>
          <w:b/>
          <w:lang w:eastAsia="en-CA"/>
        </w:rPr>
        <w:t>Dost Mustaq</w:t>
      </w:r>
      <w:r w:rsidRPr="008E306F">
        <w:rPr>
          <w:rFonts w:ascii="Arial" w:eastAsia="Times New Roman" w:hAnsi="Arial" w:cs="Arial"/>
          <w:lang w:eastAsia="en-CA"/>
        </w:rPr>
        <w:t xml:space="preserve">, BDA International Investor Relations Contact </w:t>
      </w:r>
      <w:r>
        <w:rPr>
          <w:rFonts w:ascii="Arial" w:eastAsia="Times New Roman" w:hAnsi="Arial" w:cs="Arial"/>
          <w:lang w:eastAsia="en-CA"/>
        </w:rPr>
        <w:br/>
      </w:r>
      <w:r w:rsidRPr="008E306F">
        <w:rPr>
          <w:rFonts w:ascii="Arial" w:eastAsia="Times New Roman" w:hAnsi="Arial" w:cs="Arial"/>
          <w:lang w:eastAsia="en-CA"/>
        </w:rPr>
        <w:t xml:space="preserve">Email: ir@blifepharma.com </w:t>
      </w:r>
      <w:r>
        <w:rPr>
          <w:rFonts w:ascii="Arial" w:eastAsia="Times New Roman" w:hAnsi="Arial" w:cs="Arial"/>
          <w:lang w:eastAsia="en-CA"/>
        </w:rPr>
        <w:br/>
      </w:r>
      <w:r w:rsidRPr="008E306F">
        <w:rPr>
          <w:rFonts w:ascii="Arial" w:eastAsia="Times New Roman" w:hAnsi="Arial" w:cs="Arial"/>
          <w:lang w:eastAsia="en-CA"/>
        </w:rPr>
        <w:t>Phone: 646-679-4321</w:t>
      </w:r>
    </w:p>
    <w:p w14:paraId="3EB1DB6D" w14:textId="77777777" w:rsidR="00707A5B" w:rsidRPr="003A6549" w:rsidRDefault="00707A5B" w:rsidP="00707A5B">
      <w:pPr>
        <w:spacing w:after="120" w:line="240" w:lineRule="auto"/>
        <w:jc w:val="both"/>
        <w:rPr>
          <w:rFonts w:ascii="Arial" w:hAnsi="Arial" w:cs="Arial"/>
          <w:lang w:val="en-US"/>
        </w:rPr>
      </w:pPr>
      <w:r w:rsidRPr="003A6549">
        <w:rPr>
          <w:rFonts w:ascii="Arial" w:hAnsi="Arial" w:cs="Arial"/>
          <w:b/>
          <w:lang w:val="en-US"/>
        </w:rPr>
        <w:t>The Canadian Securities Exchange does not accept responsibility for the adequacy or accuracy of this release.</w:t>
      </w:r>
    </w:p>
    <w:p w14:paraId="483BC3C2" w14:textId="77777777" w:rsidR="00707A5B" w:rsidRPr="003A6549" w:rsidRDefault="00707A5B" w:rsidP="00707A5B">
      <w:pPr>
        <w:spacing w:after="120" w:line="240" w:lineRule="auto"/>
        <w:jc w:val="both"/>
        <w:rPr>
          <w:rFonts w:ascii="Arial" w:hAnsi="Arial" w:cs="Arial"/>
          <w:b/>
          <w:lang w:val="en-US"/>
        </w:rPr>
      </w:pPr>
      <w:r w:rsidRPr="003A6549">
        <w:rPr>
          <w:rFonts w:ascii="Arial" w:hAnsi="Arial" w:cs="Arial"/>
          <w:b/>
          <w:lang w:val="en-US"/>
        </w:rPr>
        <w:t>Neither the Canadian Securities Exchange nor its Market Regulator (as that term is defined in the policies of the Canadian Securities Exchange) accepts responsibility for the adequacy or accuracy of this release. The Canadian Securities Exchange has not in any way passed upon the merits of the proposed transaction and has neither approved nor disapproved the contents of this press release.</w:t>
      </w:r>
    </w:p>
    <w:p w14:paraId="37D1B72E" w14:textId="77777777" w:rsidR="00707A5B" w:rsidRDefault="00707A5B" w:rsidP="00707A5B">
      <w:pPr>
        <w:spacing w:after="120" w:line="240" w:lineRule="auto"/>
        <w:jc w:val="both"/>
        <w:rPr>
          <w:rFonts w:ascii="Arial" w:hAnsi="Arial" w:cs="Arial"/>
          <w:b/>
          <w:lang w:val="en-US"/>
        </w:rPr>
      </w:pPr>
    </w:p>
    <w:p w14:paraId="036D210D" w14:textId="77777777" w:rsidR="00707A5B" w:rsidRPr="003A6549" w:rsidRDefault="00707A5B" w:rsidP="00707A5B">
      <w:pPr>
        <w:spacing w:after="120" w:line="240" w:lineRule="auto"/>
        <w:jc w:val="both"/>
        <w:rPr>
          <w:rFonts w:ascii="Arial" w:hAnsi="Arial" w:cs="Arial"/>
          <w:b/>
          <w:lang w:val="en-US"/>
        </w:rPr>
      </w:pPr>
    </w:p>
    <w:p w14:paraId="0C99B230" w14:textId="77777777" w:rsidR="00707A5B" w:rsidRPr="003A6549" w:rsidRDefault="00707A5B" w:rsidP="00707A5B">
      <w:pPr>
        <w:spacing w:after="120" w:line="240" w:lineRule="auto"/>
        <w:jc w:val="both"/>
        <w:rPr>
          <w:rFonts w:ascii="Arial" w:hAnsi="Arial" w:cs="Arial"/>
          <w:lang w:val="en-US"/>
        </w:rPr>
      </w:pPr>
      <w:r w:rsidRPr="003A6549">
        <w:rPr>
          <w:rFonts w:ascii="Arial" w:hAnsi="Arial" w:cs="Arial"/>
          <w:b/>
        </w:rPr>
        <w:lastRenderedPageBreak/>
        <w:t>CAUTIONARY NOTE REGARDING FORWARD-LOOKING STATEMENTS</w:t>
      </w:r>
    </w:p>
    <w:p w14:paraId="7F559355" w14:textId="77777777" w:rsidR="00707A5B" w:rsidRPr="003A6549" w:rsidRDefault="00707A5B" w:rsidP="00707A5B">
      <w:pPr>
        <w:spacing w:after="120" w:line="240" w:lineRule="auto"/>
        <w:jc w:val="both"/>
        <w:rPr>
          <w:rFonts w:ascii="Arial" w:hAnsi="Arial" w:cs="Arial"/>
          <w:lang w:val="en-US"/>
        </w:rPr>
      </w:pPr>
      <w:r w:rsidRPr="003A6549">
        <w:rPr>
          <w:rFonts w:ascii="Arial" w:hAnsi="Arial" w:cs="Arial"/>
          <w:lang w:val="en-US"/>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3A6549">
        <w:rPr>
          <w:rFonts w:ascii="Arial" w:hAnsi="Arial" w:cs="Arial"/>
          <w:lang w:val="en-US"/>
        </w:rPr>
        <w:t>as a result of</w:t>
      </w:r>
      <w:proofErr w:type="gramEnd"/>
      <w:r w:rsidRPr="003A6549">
        <w:rPr>
          <w:rFonts w:ascii="Arial" w:hAnsi="Arial" w:cs="Arial"/>
          <w:lang w:val="en-US"/>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1102110D" w14:textId="77777777" w:rsidR="006708A4" w:rsidRDefault="006708A4"/>
    <w:sectPr w:rsidR="006708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98E2" w14:textId="77777777" w:rsidR="0071685F" w:rsidRDefault="00707A5B" w:rsidP="00157DEC">
    <w:r w:rsidRPr="0095097F">
      <w:fldChar w:fldCharType="begin"/>
    </w:r>
    <w:r>
      <w:instrText xml:space="preserve"> DOCPROPERTY DMDocID </w:instrText>
    </w:r>
    <w:r w:rsidRPr="0095097F">
      <w:fldChar w:fldCharType="separate"/>
    </w:r>
    <w:r>
      <w:t>264476.00032/104216867.3</w:t>
    </w:r>
    <w:r w:rsidRPr="0095097F">
      <w:rPr>
        <w:rStyle w:val="DocID"/>
        <w:rFonts w:eastAsia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DA22" w14:textId="77777777" w:rsidR="003A6549" w:rsidRDefault="00707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D7DB" w14:textId="77777777" w:rsidR="0071685F" w:rsidRDefault="00707A5B" w:rsidP="00157DEC">
    <w:r w:rsidRPr="0095097F">
      <w:fldChar w:fldCharType="begin"/>
    </w:r>
    <w:r>
      <w:instrText xml:space="preserve"> DOCPROPERTY DMDocID </w:instrText>
    </w:r>
    <w:r w:rsidRPr="0095097F">
      <w:fldChar w:fldCharType="separate"/>
    </w:r>
    <w:r>
      <w:t>264476.00032/104216867.3</w:t>
    </w:r>
    <w:r w:rsidRPr="0095097F">
      <w:rPr>
        <w:rStyle w:val="DocID"/>
        <w:rFonts w:eastAsiaTheme="minorHAnsi"/>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AC12" w14:textId="77777777" w:rsidR="007F5E07" w:rsidRDefault="00707A5B">
    <w:pPr>
      <w:pStyle w:val="Header"/>
    </w:pPr>
    <w:r>
      <w:rPr>
        <w:noProof/>
      </w:rPr>
      <mc:AlternateContent>
        <mc:Choice Requires="wps">
          <w:drawing>
            <wp:anchor distT="0" distB="0" distL="114300" distR="114300" simplePos="0" relativeHeight="251660288" behindDoc="1" locked="0" layoutInCell="0" allowOverlap="1" wp14:anchorId="7301CAD6" wp14:editId="26CF56F3">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848965" w14:textId="77777777" w:rsidR="00707A5B" w:rsidRDefault="00707A5B" w:rsidP="00707A5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01CAD6"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7D848965" w14:textId="77777777" w:rsidR="00707A5B" w:rsidRDefault="00707A5B" w:rsidP="00707A5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78B7" w14:textId="77777777" w:rsidR="0071685F" w:rsidRDefault="00707A5B">
    <w:pPr>
      <w:pStyle w:val="Header"/>
    </w:pPr>
    <w:r>
      <w:rPr>
        <w:noProof/>
      </w:rPr>
      <mc:AlternateContent>
        <mc:Choice Requires="wps">
          <w:drawing>
            <wp:anchor distT="0" distB="0" distL="114300" distR="114300" simplePos="0" relativeHeight="251661312" behindDoc="1" locked="0" layoutInCell="0" allowOverlap="1" wp14:anchorId="7B476EA2" wp14:editId="7E6C2C3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788148" w14:textId="77777777" w:rsidR="00707A5B" w:rsidRDefault="00707A5B" w:rsidP="00707A5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476EA2"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AU74T4BwIAAPE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69788148" w14:textId="77777777" w:rsidR="00707A5B" w:rsidRDefault="00707A5B" w:rsidP="00707A5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522A" w14:textId="77777777" w:rsidR="007F5E07" w:rsidRDefault="00707A5B">
    <w:pPr>
      <w:pStyle w:val="Header"/>
    </w:pPr>
    <w:r>
      <w:rPr>
        <w:noProof/>
      </w:rPr>
      <w:pict w14:anchorId="16E85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5B"/>
    <w:rsid w:val="006708A4"/>
    <w:rsid w:val="0070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0D1BB8"/>
  <w15:chartTrackingRefBased/>
  <w15:docId w15:val="{015D35A6-8276-49F2-840C-9E813F78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5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07A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07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5B"/>
    <w:rPr>
      <w:lang w:val="en-CA"/>
    </w:rPr>
  </w:style>
  <w:style w:type="paragraph" w:styleId="Footer">
    <w:name w:val="footer"/>
    <w:basedOn w:val="Normal"/>
    <w:link w:val="FooterChar"/>
    <w:uiPriority w:val="99"/>
    <w:unhideWhenUsed/>
    <w:rsid w:val="0070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5B"/>
    <w:rPr>
      <w:lang w:val="en-CA"/>
    </w:rPr>
  </w:style>
  <w:style w:type="character" w:styleId="Hyperlink">
    <w:name w:val="Hyperlink"/>
    <w:basedOn w:val="DefaultParagraphFont"/>
    <w:uiPriority w:val="99"/>
    <w:unhideWhenUsed/>
    <w:rsid w:val="00707A5B"/>
    <w:rPr>
      <w:color w:val="0563C1" w:themeColor="hyperlink"/>
      <w:u w:val="single"/>
    </w:rPr>
  </w:style>
  <w:style w:type="character" w:customStyle="1" w:styleId="DocID">
    <w:name w:val="DocID"/>
    <w:basedOn w:val="DefaultParagraphFont"/>
    <w:rsid w:val="00707A5B"/>
    <w:rPr>
      <w:rFonts w:ascii="Verdana" w:eastAsia="Times New Roman" w:hAnsi="Verdana" w:cs="Arial"/>
      <w:b w:val="0"/>
      <w:i w:val="0"/>
      <w:caps w:val="0"/>
      <w:vanish w:val="0"/>
      <w:color w:val="000000"/>
      <w:sz w:val="14"/>
      <w:szCs w:val="16"/>
      <w:u w:val="none"/>
      <w:lang w:eastAsia="en-CA"/>
    </w:rPr>
  </w:style>
  <w:style w:type="character" w:customStyle="1" w:styleId="NormalWebChar">
    <w:name w:val="Normal (Web) Char"/>
    <w:basedOn w:val="DefaultParagraphFont"/>
    <w:link w:val="NormalWeb"/>
    <w:uiPriority w:val="99"/>
    <w:rsid w:val="00707A5B"/>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mad.Doroudian@blifepharma.com" TargetMode="External"/><Relationship Id="rId11" Type="http://schemas.openxmlformats.org/officeDocument/2006/relationships/header" Target="header3.xml"/><Relationship Id="rId5" Type="http://schemas.openxmlformats.org/officeDocument/2006/relationships/hyperlink" Target="http://www.blifetherapeutics.com" TargetMode="External"/><Relationship Id="rId10" Type="http://schemas.openxmlformats.org/officeDocument/2006/relationships/footer" Target="footer2.xml"/><Relationship Id="rId4" Type="http://schemas.openxmlformats.org/officeDocument/2006/relationships/image" Target="media/image1.png"/><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Ong</dc:creator>
  <cp:keywords/>
  <dc:description/>
  <cp:lastModifiedBy>Moira Ong</cp:lastModifiedBy>
  <cp:revision>1</cp:revision>
  <dcterms:created xsi:type="dcterms:W3CDTF">2020-10-19T14:14:00Z</dcterms:created>
  <dcterms:modified xsi:type="dcterms:W3CDTF">2020-10-19T14:15:00Z</dcterms:modified>
</cp:coreProperties>
</file>