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FAAA" w14:textId="77777777" w:rsidR="00EA4133" w:rsidRPr="0001060A" w:rsidRDefault="00EA4133">
      <w:pPr>
        <w:pStyle w:val="Title"/>
        <w:spacing w:before="0"/>
        <w:rPr>
          <w:sz w:val="28"/>
          <w:lang w:val="en-CA"/>
        </w:rPr>
      </w:pPr>
      <w:r w:rsidRPr="0001060A">
        <w:rPr>
          <w:sz w:val="28"/>
          <w:lang w:val="en-CA"/>
        </w:rPr>
        <w:t>FORM 9</w:t>
      </w:r>
    </w:p>
    <w:p w14:paraId="0BF51198"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3B0B2C8"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3CC79632"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14:paraId="5B4257A1" w14:textId="77777777" w:rsidTr="00840B45">
        <w:tc>
          <w:tcPr>
            <w:tcW w:w="6487" w:type="dxa"/>
          </w:tcPr>
          <w:p w14:paraId="4FD9D973" w14:textId="689D1AA1" w:rsidR="00840B45" w:rsidRDefault="002B699E" w:rsidP="00840B45">
            <w:pPr>
              <w:pStyle w:val="BodyText"/>
              <w:jc w:val="right"/>
              <w:rPr>
                <w:rFonts w:ascii="Arial" w:hAnsi="Arial"/>
                <w:lang w:val="en-CA"/>
              </w:rPr>
            </w:pPr>
            <w:proofErr w:type="spellStart"/>
            <w:r>
              <w:rPr>
                <w:rFonts w:ascii="Arial" w:hAnsi="Arial"/>
                <w:lang w:val="en-CA"/>
              </w:rPr>
              <w:t>BetterLife</w:t>
            </w:r>
            <w:proofErr w:type="spellEnd"/>
            <w:r>
              <w:rPr>
                <w:rFonts w:ascii="Arial" w:hAnsi="Arial"/>
                <w:lang w:val="en-CA"/>
              </w:rPr>
              <w:t xml:space="preserve"> Pharma</w:t>
            </w:r>
            <w:r w:rsidR="0037241D">
              <w:rPr>
                <w:rFonts w:ascii="Arial" w:hAnsi="Arial"/>
                <w:lang w:val="en-CA"/>
              </w:rPr>
              <w:t xml:space="preserve"> Inc. </w:t>
            </w:r>
            <w:r w:rsidR="00840B45">
              <w:rPr>
                <w:rFonts w:ascii="Arial" w:hAnsi="Arial"/>
                <w:lang w:val="en-CA"/>
              </w:rPr>
              <w:t xml:space="preserve">(the “Issuer”).  </w:t>
            </w:r>
          </w:p>
        </w:tc>
        <w:tc>
          <w:tcPr>
            <w:tcW w:w="3089" w:type="dxa"/>
          </w:tcPr>
          <w:p w14:paraId="7377F015" w14:textId="27201812" w:rsidR="00840B45" w:rsidRDefault="002B699E">
            <w:pPr>
              <w:pStyle w:val="BodyText"/>
              <w:rPr>
                <w:rFonts w:ascii="Arial" w:hAnsi="Arial"/>
                <w:lang w:val="en-CA"/>
              </w:rPr>
            </w:pPr>
            <w:r>
              <w:rPr>
                <w:rFonts w:ascii="Arial" w:hAnsi="Arial"/>
                <w:lang w:val="en-CA"/>
              </w:rPr>
              <w:t>BETR</w:t>
            </w:r>
          </w:p>
        </w:tc>
      </w:tr>
    </w:tbl>
    <w:p w14:paraId="36D8AE76" w14:textId="37493492" w:rsidR="0037241D" w:rsidRDefault="00EA4133" w:rsidP="00840B45">
      <w:pPr>
        <w:pStyle w:val="BodyText"/>
        <w:spacing w:after="240"/>
        <w:rPr>
          <w:rFonts w:ascii="Arial" w:hAnsi="Arial"/>
          <w:u w:val="single"/>
          <w:lang w:val="en-CA"/>
        </w:rPr>
      </w:pPr>
      <w:r>
        <w:rPr>
          <w:rFonts w:ascii="Arial" w:hAnsi="Arial"/>
          <w:lang w:val="en-CA"/>
        </w:rPr>
        <w:t xml:space="preserve">Date:  </w:t>
      </w:r>
      <w:r w:rsidR="002B699E">
        <w:rPr>
          <w:rFonts w:ascii="Arial" w:hAnsi="Arial"/>
          <w:u w:val="single"/>
          <w:lang w:val="en-CA"/>
        </w:rPr>
        <w:t>May 15, 2020</w:t>
      </w:r>
      <w:r>
        <w:rPr>
          <w:rFonts w:ascii="Arial" w:hAnsi="Arial"/>
          <w:u w:val="single"/>
          <w:lang w:val="en-CA"/>
        </w:rPr>
        <w:tab/>
      </w:r>
    </w:p>
    <w:p w14:paraId="1B289B06" w14:textId="54E3FB82"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37241D">
        <w:rPr>
          <w:rFonts w:ascii="Arial" w:hAnsi="Arial"/>
          <w:lang w:val="en-CA"/>
        </w:rPr>
        <w:sym w:font="Symbol" w:char="F0C4"/>
      </w:r>
      <w:proofErr w:type="gramStart"/>
      <w:r>
        <w:rPr>
          <w:rFonts w:ascii="Arial" w:hAnsi="Arial"/>
          <w:lang w:val="en-CA"/>
        </w:rPr>
        <w:t>No</w:t>
      </w:r>
      <w:proofErr w:type="gramEnd"/>
      <w:r>
        <w:rPr>
          <w:rFonts w:ascii="Arial" w:hAnsi="Arial"/>
          <w:sz w:val="32"/>
          <w:lang w:val="en-CA"/>
        </w:rPr>
        <w:tab/>
      </w:r>
    </w:p>
    <w:p w14:paraId="7FCFFF5B"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69843F84" w14:textId="508DB45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2B699E" w:rsidRPr="002B699E">
        <w:rPr>
          <w:rFonts w:ascii="Arial" w:hAnsi="Arial"/>
          <w:u w:val="single"/>
          <w:lang w:val="en-CA"/>
        </w:rPr>
        <w:t xml:space="preserve">172,109,851 </w:t>
      </w:r>
      <w:r w:rsidR="0037241D">
        <w:rPr>
          <w:rFonts w:ascii="Arial" w:hAnsi="Arial"/>
          <w:u w:val="single"/>
          <w:lang w:val="en-CA"/>
        </w:rPr>
        <w:t>common shares</w:t>
      </w:r>
      <w:r w:rsidR="002B699E">
        <w:rPr>
          <w:rFonts w:ascii="Arial" w:hAnsi="Arial"/>
          <w:u w:val="single"/>
          <w:lang w:val="en-CA"/>
        </w:rPr>
        <w:t>, 2,750,000 restricted share units and 750,000 performance share units</w:t>
      </w:r>
    </w:p>
    <w:p w14:paraId="118595BB"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CCDD431" w14:textId="38D75419"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37241D">
        <w:rPr>
          <w:rFonts w:ascii="Arial" w:hAnsi="Arial"/>
          <w:u w:val="single"/>
          <w:lang w:val="en-CA"/>
        </w:rPr>
        <w:t>N/A</w:t>
      </w:r>
      <w:r w:rsidR="00840B45">
        <w:rPr>
          <w:rFonts w:ascii="Arial" w:hAnsi="Arial"/>
          <w:u w:val="single"/>
          <w:lang w:val="en-CA"/>
        </w:rPr>
        <w:t xml:space="preserve">___________  </w:t>
      </w:r>
      <w:r w:rsidR="00840B45">
        <w:rPr>
          <w:rFonts w:ascii="Arial" w:hAnsi="Arial"/>
          <w:lang w:val="en-CA"/>
        </w:rPr>
        <w:t xml:space="preserve"> or</w:t>
      </w:r>
    </w:p>
    <w:p w14:paraId="0F522A8E" w14:textId="59F0452E"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37241D" w:rsidRPr="0037241D">
        <w:rPr>
          <w:rFonts w:ascii="Arial" w:hAnsi="Arial"/>
          <w:u w:val="single"/>
          <w:lang w:val="en-CA"/>
        </w:rPr>
        <w:t>N/A</w:t>
      </w:r>
      <w:r>
        <w:rPr>
          <w:rFonts w:ascii="Arial" w:hAnsi="Arial"/>
          <w:lang w:val="en-CA"/>
        </w:rPr>
        <w:t>_______________</w:t>
      </w:r>
    </w:p>
    <w:p w14:paraId="5E373964" w14:textId="762CF19F"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37241D">
        <w:rPr>
          <w:rFonts w:ascii="Arial" w:hAnsi="Arial"/>
          <w:u w:val="single"/>
          <w:lang w:val="en-CA"/>
        </w:rPr>
        <w:t>N/A</w:t>
      </w:r>
      <w:r>
        <w:rPr>
          <w:rFonts w:ascii="Arial" w:hAnsi="Arial"/>
          <w:lang w:val="en-CA"/>
        </w:rPr>
        <w:t>________</w:t>
      </w:r>
      <w:r w:rsidR="00840B45">
        <w:rPr>
          <w:rFonts w:ascii="Arial" w:hAnsi="Arial"/>
          <w:lang w:val="en-CA"/>
        </w:rPr>
        <w:t xml:space="preserve"> or</w:t>
      </w:r>
    </w:p>
    <w:p w14:paraId="07A186D3" w14:textId="166902A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37241D">
        <w:rPr>
          <w:rFonts w:ascii="Arial" w:hAnsi="Arial"/>
          <w:u w:val="single"/>
          <w:lang w:val="en-CA"/>
        </w:rPr>
        <w:t>N/A</w:t>
      </w:r>
      <w:r>
        <w:rPr>
          <w:rFonts w:ascii="Arial" w:hAnsi="Arial"/>
          <w:lang w:val="en-CA"/>
        </w:rPr>
        <w:t>_________________</w:t>
      </w:r>
    </w:p>
    <w:p w14:paraId="5ABE09CB"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78A92FA" w14:textId="79223591"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2B699E">
        <w:rPr>
          <w:rFonts w:ascii="Arial" w:hAnsi="Arial"/>
          <w:u w:val="single"/>
          <w:lang w:val="en-CA"/>
        </w:rPr>
        <w:t>200</w:t>
      </w:r>
      <w:r w:rsidR="00353AE6">
        <w:rPr>
          <w:rFonts w:ascii="Arial" w:hAnsi="Arial"/>
          <w:u w:val="single"/>
          <w:lang w:val="en-CA"/>
        </w:rPr>
        <w:t xml:space="preserve">,000 restricted share units </w:t>
      </w:r>
      <w:r>
        <w:rPr>
          <w:rFonts w:ascii="Arial" w:hAnsi="Arial"/>
          <w:lang w:val="en-CA"/>
        </w:rPr>
        <w:t>______</w:t>
      </w:r>
    </w:p>
    <w:p w14:paraId="2A355FAE" w14:textId="6C734FA0"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353AE6">
        <w:rPr>
          <w:rFonts w:ascii="Arial" w:hAnsi="Arial"/>
          <w:u w:val="single"/>
          <w:lang w:val="en-CA"/>
        </w:rPr>
        <w:t>2,</w:t>
      </w:r>
      <w:r w:rsidR="002B699E">
        <w:rPr>
          <w:rFonts w:ascii="Arial" w:hAnsi="Arial"/>
          <w:u w:val="single"/>
          <w:lang w:val="en-CA"/>
        </w:rPr>
        <w:t>9</w:t>
      </w:r>
      <w:r w:rsidR="00353AE6">
        <w:rPr>
          <w:rFonts w:ascii="Arial" w:hAnsi="Arial"/>
          <w:u w:val="single"/>
          <w:lang w:val="en-CA"/>
        </w:rPr>
        <w:t xml:space="preserve">50,000 restricted share units </w:t>
      </w:r>
    </w:p>
    <w:p w14:paraId="5CA46E66" w14:textId="77777777" w:rsidR="00C10A32" w:rsidRDefault="00C10A32" w:rsidP="00C10A32">
      <w:pPr>
        <w:pStyle w:val="BodyText"/>
        <w:tabs>
          <w:tab w:val="left" w:pos="9180"/>
        </w:tabs>
        <w:spacing w:before="0" w:after="120"/>
        <w:rPr>
          <w:rFonts w:ascii="Arial" w:hAnsi="Arial"/>
          <w:b/>
          <w:lang w:val="en-CA"/>
        </w:rPr>
      </w:pPr>
    </w:p>
    <w:p w14:paraId="2B2C373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5A50067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4B15AF6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19F6823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20ED7D1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1E5061E"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5A28852A" w14:textId="189EAEEA" w:rsidR="00C10A32" w:rsidRPr="002B699E"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lastRenderedPageBreak/>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p>
    <w:p w14:paraId="1AA907AC" w14:textId="77777777" w:rsidR="002B699E" w:rsidRPr="00BE2894" w:rsidRDefault="002B699E" w:rsidP="002B699E">
      <w:pPr>
        <w:pStyle w:val="BodyText"/>
        <w:tabs>
          <w:tab w:val="left" w:pos="9180"/>
        </w:tabs>
        <w:spacing w:before="0" w:after="120"/>
        <w:ind w:left="426"/>
        <w:rPr>
          <w:rFonts w:ascii="Arial" w:hAnsi="Arial"/>
          <w:b/>
          <w:lang w:val="en-CA"/>
        </w:rPr>
      </w:pPr>
    </w:p>
    <w:p w14:paraId="5F89750C" w14:textId="77777777" w:rsidR="00A90670" w:rsidRDefault="00544BCF">
      <w:pPr>
        <w:pStyle w:val="BodyText"/>
        <w:spacing w:before="0" w:after="240"/>
        <w:rPr>
          <w:rFonts w:ascii="Arial" w:hAnsi="Arial"/>
          <w:b/>
          <w:lang w:val="en-CA"/>
        </w:rPr>
      </w:pPr>
      <w:r>
        <w:rPr>
          <w:rFonts w:ascii="Arial" w:hAnsi="Arial"/>
          <w:b/>
          <w:lang w:val="en-CA"/>
        </w:rPr>
        <w:t xml:space="preserve">Part </w:t>
      </w:r>
      <w:r w:rsidR="00EA4133">
        <w:rPr>
          <w:rFonts w:ascii="Arial" w:hAnsi="Arial"/>
          <w:b/>
          <w:lang w:val="en-CA"/>
        </w:rPr>
        <w:t>1.</w:t>
      </w:r>
      <w:r w:rsidR="00EA4133">
        <w:rPr>
          <w:rFonts w:ascii="Arial" w:hAnsi="Arial"/>
          <w:b/>
          <w:lang w:val="en-CA"/>
        </w:rPr>
        <w:tab/>
        <w:t xml:space="preserve">Private Placement </w:t>
      </w:r>
    </w:p>
    <w:p w14:paraId="375C309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3C113E65" w14:textId="77777777" w:rsidTr="0064019D">
        <w:tc>
          <w:tcPr>
            <w:tcW w:w="3652" w:type="dxa"/>
          </w:tcPr>
          <w:p w14:paraId="66BFF108"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C8EAF3F"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8E600F1"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6ABEFD88"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1A0D175" w14:textId="77777777" w:rsidTr="0064019D">
        <w:tc>
          <w:tcPr>
            <w:tcW w:w="3652" w:type="dxa"/>
          </w:tcPr>
          <w:p w14:paraId="7C93896C" w14:textId="30A2829C" w:rsidR="00C536D3" w:rsidRPr="00C536D3" w:rsidRDefault="0037241D" w:rsidP="00C536D3">
            <w:pPr>
              <w:pStyle w:val="BodyText"/>
              <w:rPr>
                <w:rFonts w:ascii="Arial" w:hAnsi="Arial"/>
                <w:lang w:val="en-CA"/>
              </w:rPr>
            </w:pPr>
            <w:r>
              <w:rPr>
                <w:rFonts w:ascii="Arial" w:hAnsi="Arial"/>
                <w:lang w:val="en-CA"/>
              </w:rPr>
              <w:t>Ontario, Canada</w:t>
            </w:r>
          </w:p>
        </w:tc>
        <w:tc>
          <w:tcPr>
            <w:tcW w:w="1701" w:type="dxa"/>
          </w:tcPr>
          <w:p w14:paraId="430BE12E" w14:textId="50BFCC4F" w:rsidR="00C536D3" w:rsidRPr="00C536D3" w:rsidRDefault="002B699E" w:rsidP="00C536D3">
            <w:pPr>
              <w:pStyle w:val="BodyText"/>
              <w:rPr>
                <w:rFonts w:ascii="Arial" w:hAnsi="Arial"/>
                <w:lang w:val="en-CA"/>
              </w:rPr>
            </w:pPr>
            <w:r>
              <w:rPr>
                <w:rFonts w:ascii="Arial" w:hAnsi="Arial"/>
                <w:lang w:val="en-CA"/>
              </w:rPr>
              <w:t>1</w:t>
            </w:r>
          </w:p>
        </w:tc>
        <w:tc>
          <w:tcPr>
            <w:tcW w:w="1829" w:type="dxa"/>
          </w:tcPr>
          <w:p w14:paraId="39CA7FBF" w14:textId="6A1E6AAD" w:rsidR="00C536D3" w:rsidRPr="00C536D3" w:rsidRDefault="00353AE6" w:rsidP="00C536D3">
            <w:pPr>
              <w:pStyle w:val="BodyText"/>
              <w:rPr>
                <w:rFonts w:ascii="Arial" w:hAnsi="Arial"/>
                <w:lang w:val="en-CA"/>
              </w:rPr>
            </w:pPr>
            <w:r>
              <w:rPr>
                <w:rFonts w:ascii="Arial" w:hAnsi="Arial"/>
                <w:lang w:val="en-CA"/>
              </w:rPr>
              <w:t>N/A</w:t>
            </w:r>
          </w:p>
        </w:tc>
        <w:tc>
          <w:tcPr>
            <w:tcW w:w="2394" w:type="dxa"/>
          </w:tcPr>
          <w:p w14:paraId="28939AA7" w14:textId="40AC5488" w:rsidR="00C536D3" w:rsidRPr="00C536D3" w:rsidRDefault="00353AE6" w:rsidP="00C536D3">
            <w:pPr>
              <w:pStyle w:val="BodyText"/>
              <w:rPr>
                <w:rFonts w:ascii="Arial" w:hAnsi="Arial"/>
                <w:lang w:val="en-CA"/>
              </w:rPr>
            </w:pPr>
            <w:r>
              <w:rPr>
                <w:rFonts w:ascii="Arial" w:hAnsi="Arial"/>
                <w:lang w:val="en-CA"/>
              </w:rPr>
              <w:t>N/A</w:t>
            </w:r>
          </w:p>
        </w:tc>
      </w:tr>
      <w:tr w:rsidR="00C536D3" w:rsidRPr="00C536D3" w14:paraId="5A9AA6AA" w14:textId="77777777" w:rsidTr="0064019D">
        <w:tc>
          <w:tcPr>
            <w:tcW w:w="3652" w:type="dxa"/>
          </w:tcPr>
          <w:p w14:paraId="519058B5" w14:textId="77777777" w:rsidR="00C536D3" w:rsidRPr="00C536D3" w:rsidRDefault="00C536D3" w:rsidP="00C536D3">
            <w:pPr>
              <w:pStyle w:val="BodyText"/>
              <w:rPr>
                <w:rFonts w:ascii="Arial" w:hAnsi="Arial"/>
                <w:lang w:val="en-CA"/>
              </w:rPr>
            </w:pPr>
          </w:p>
        </w:tc>
        <w:tc>
          <w:tcPr>
            <w:tcW w:w="1701" w:type="dxa"/>
          </w:tcPr>
          <w:p w14:paraId="29A8047A" w14:textId="77777777" w:rsidR="00C536D3" w:rsidRPr="00C536D3" w:rsidRDefault="00C536D3" w:rsidP="00C536D3">
            <w:pPr>
              <w:pStyle w:val="BodyText"/>
              <w:rPr>
                <w:rFonts w:ascii="Arial" w:hAnsi="Arial"/>
                <w:lang w:val="en-CA"/>
              </w:rPr>
            </w:pPr>
          </w:p>
        </w:tc>
        <w:tc>
          <w:tcPr>
            <w:tcW w:w="1829" w:type="dxa"/>
          </w:tcPr>
          <w:p w14:paraId="2DC0854D" w14:textId="77777777" w:rsidR="00C536D3" w:rsidRPr="00C536D3" w:rsidRDefault="00C536D3" w:rsidP="00C536D3">
            <w:pPr>
              <w:pStyle w:val="BodyText"/>
              <w:rPr>
                <w:rFonts w:ascii="Arial" w:hAnsi="Arial"/>
                <w:lang w:val="en-CA"/>
              </w:rPr>
            </w:pPr>
          </w:p>
        </w:tc>
        <w:tc>
          <w:tcPr>
            <w:tcW w:w="2394" w:type="dxa"/>
          </w:tcPr>
          <w:p w14:paraId="4DC6B1AA" w14:textId="77777777" w:rsidR="00C536D3" w:rsidRPr="00C536D3" w:rsidRDefault="00C536D3" w:rsidP="00C536D3">
            <w:pPr>
              <w:pStyle w:val="BodyText"/>
              <w:rPr>
                <w:rFonts w:ascii="Arial" w:hAnsi="Arial"/>
                <w:lang w:val="en-CA"/>
              </w:rPr>
            </w:pPr>
          </w:p>
        </w:tc>
      </w:tr>
      <w:tr w:rsidR="00C536D3" w:rsidRPr="00C536D3" w14:paraId="1258FE01" w14:textId="77777777" w:rsidTr="0064019D">
        <w:tc>
          <w:tcPr>
            <w:tcW w:w="3652" w:type="dxa"/>
          </w:tcPr>
          <w:p w14:paraId="79F8B4C6"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553C1B25" w14:textId="4FDFEDA7" w:rsidR="00C536D3" w:rsidRPr="00C536D3" w:rsidRDefault="002B699E" w:rsidP="00C536D3">
            <w:pPr>
              <w:pStyle w:val="BodyText"/>
              <w:rPr>
                <w:rFonts w:ascii="Arial" w:hAnsi="Arial"/>
                <w:lang w:val="en-CA"/>
              </w:rPr>
            </w:pPr>
            <w:r>
              <w:rPr>
                <w:rFonts w:ascii="Arial" w:hAnsi="Arial"/>
                <w:lang w:val="en-CA"/>
              </w:rPr>
              <w:t>1</w:t>
            </w:r>
          </w:p>
        </w:tc>
        <w:tc>
          <w:tcPr>
            <w:tcW w:w="1829" w:type="dxa"/>
          </w:tcPr>
          <w:p w14:paraId="7DEA4729" w14:textId="77777777" w:rsidR="00C536D3" w:rsidRPr="00C536D3" w:rsidRDefault="00C536D3" w:rsidP="00C536D3">
            <w:pPr>
              <w:pStyle w:val="BodyText"/>
              <w:rPr>
                <w:rFonts w:ascii="Arial" w:hAnsi="Arial"/>
                <w:lang w:val="en-CA"/>
              </w:rPr>
            </w:pPr>
          </w:p>
        </w:tc>
        <w:tc>
          <w:tcPr>
            <w:tcW w:w="2394" w:type="dxa"/>
          </w:tcPr>
          <w:p w14:paraId="1FB8DF3E" w14:textId="77777777" w:rsidR="00C536D3" w:rsidRPr="00C536D3" w:rsidRDefault="00C536D3" w:rsidP="00C536D3">
            <w:pPr>
              <w:pStyle w:val="BodyText"/>
              <w:rPr>
                <w:rFonts w:ascii="Arial" w:hAnsi="Arial"/>
                <w:lang w:val="en-CA"/>
              </w:rPr>
            </w:pPr>
          </w:p>
        </w:tc>
      </w:tr>
      <w:tr w:rsidR="00C536D3" w:rsidRPr="00C536D3" w14:paraId="09C5B891" w14:textId="77777777" w:rsidTr="0064019D">
        <w:tc>
          <w:tcPr>
            <w:tcW w:w="7182" w:type="dxa"/>
            <w:gridSpan w:val="3"/>
          </w:tcPr>
          <w:p w14:paraId="7B1533D7"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7772CA3F" w14:textId="29103652" w:rsidR="00C536D3" w:rsidRPr="00C536D3" w:rsidRDefault="00353AE6" w:rsidP="00C536D3">
            <w:pPr>
              <w:pStyle w:val="BodyText"/>
              <w:rPr>
                <w:rFonts w:ascii="Arial" w:hAnsi="Arial"/>
                <w:lang w:val="en-CA"/>
              </w:rPr>
            </w:pPr>
            <w:r>
              <w:rPr>
                <w:rFonts w:ascii="Arial" w:hAnsi="Arial"/>
                <w:lang w:val="en-CA"/>
              </w:rPr>
              <w:t>N/A</w:t>
            </w:r>
          </w:p>
        </w:tc>
      </w:tr>
    </w:tbl>
    <w:p w14:paraId="014658E3" w14:textId="77777777" w:rsidR="00C536D3" w:rsidRPr="00C536D3" w:rsidRDefault="00C536D3" w:rsidP="00C536D3">
      <w:pPr>
        <w:pStyle w:val="BodyText"/>
        <w:rPr>
          <w:rFonts w:ascii="Arial" w:hAnsi="Arial"/>
          <w:b/>
          <w:u w:val="single"/>
          <w:lang w:val="en-CA"/>
        </w:rPr>
      </w:pPr>
    </w:p>
    <w:p w14:paraId="02CCB783"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02A8D52A" w14:textId="77777777" w:rsidR="00544BCF" w:rsidRDefault="00544BCF">
      <w:pPr>
        <w:pStyle w:val="BodyText"/>
        <w:spacing w:before="0" w:after="240"/>
        <w:rPr>
          <w:rFonts w:ascii="Arial" w:hAnsi="Arial"/>
          <w:b/>
          <w:lang w:val="en-CA"/>
        </w:rPr>
      </w:pPr>
    </w:p>
    <w:tbl>
      <w:tblPr>
        <w:tblW w:w="1080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40"/>
        <w:gridCol w:w="1170"/>
        <w:gridCol w:w="1440"/>
        <w:gridCol w:w="1350"/>
        <w:gridCol w:w="1440"/>
        <w:gridCol w:w="1260"/>
        <w:gridCol w:w="1170"/>
      </w:tblGrid>
      <w:tr w:rsidR="00EA4133" w14:paraId="45DEC967" w14:textId="77777777" w:rsidTr="0037241D">
        <w:trPr>
          <w:trHeight w:val="1965"/>
        </w:trPr>
        <w:tc>
          <w:tcPr>
            <w:tcW w:w="1530" w:type="dxa"/>
          </w:tcPr>
          <w:p w14:paraId="2206708E" w14:textId="77777777" w:rsidR="00EA4133" w:rsidRDefault="00EA4133">
            <w:pPr>
              <w:pStyle w:val="BodyText"/>
              <w:spacing w:before="0" w:line="280" w:lineRule="exact"/>
              <w:jc w:val="center"/>
              <w:rPr>
                <w:rFonts w:ascii="Arial" w:hAnsi="Arial"/>
                <w:b/>
                <w:sz w:val="20"/>
                <w:lang w:val="en-CA"/>
              </w:rPr>
            </w:pPr>
          </w:p>
          <w:p w14:paraId="6C18BCF0"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440" w:type="dxa"/>
          </w:tcPr>
          <w:p w14:paraId="0C15439E" w14:textId="77777777" w:rsidR="00EA4133" w:rsidRDefault="00EA4133">
            <w:pPr>
              <w:pStyle w:val="BodyText"/>
              <w:spacing w:before="0" w:line="280" w:lineRule="exact"/>
              <w:jc w:val="center"/>
              <w:rPr>
                <w:rFonts w:ascii="Arial" w:hAnsi="Arial"/>
                <w:b/>
                <w:sz w:val="20"/>
                <w:lang w:val="en-CA"/>
              </w:rPr>
            </w:pPr>
          </w:p>
          <w:p w14:paraId="26CFC4C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0BBC47CE" w14:textId="77777777" w:rsidR="00EA4133" w:rsidRDefault="00EA4133">
            <w:pPr>
              <w:pStyle w:val="BodyText"/>
              <w:spacing w:before="0" w:line="280" w:lineRule="exact"/>
              <w:jc w:val="center"/>
              <w:rPr>
                <w:rFonts w:ascii="Arial" w:hAnsi="Arial"/>
                <w:b/>
                <w:sz w:val="20"/>
                <w:lang w:val="en-CA"/>
              </w:rPr>
            </w:pPr>
          </w:p>
          <w:p w14:paraId="511B70F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440" w:type="dxa"/>
          </w:tcPr>
          <w:p w14:paraId="24C8B5DA" w14:textId="77777777" w:rsidR="00EA4133" w:rsidRDefault="00EA4133">
            <w:pPr>
              <w:pStyle w:val="BodyText"/>
              <w:spacing w:before="0" w:line="280" w:lineRule="exact"/>
              <w:jc w:val="center"/>
              <w:rPr>
                <w:rFonts w:ascii="Arial" w:hAnsi="Arial"/>
                <w:b/>
                <w:sz w:val="20"/>
                <w:lang w:val="en-CA"/>
              </w:rPr>
            </w:pPr>
          </w:p>
          <w:p w14:paraId="42F5400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55A6A34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74D317A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6140918E"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051CCD88" w14:textId="77777777" w:rsidR="00EA4133" w:rsidRDefault="00EA4133">
            <w:pPr>
              <w:pStyle w:val="BodyText"/>
              <w:spacing w:before="0" w:line="280" w:lineRule="exact"/>
              <w:jc w:val="center"/>
              <w:rPr>
                <w:rFonts w:ascii="Arial" w:hAnsi="Arial"/>
                <w:b/>
                <w:sz w:val="20"/>
                <w:lang w:val="en-CA"/>
              </w:rPr>
            </w:pPr>
          </w:p>
          <w:p w14:paraId="3D057ED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440" w:type="dxa"/>
          </w:tcPr>
          <w:p w14:paraId="16DF22C5" w14:textId="77777777" w:rsidR="00C536D3" w:rsidRDefault="00C536D3" w:rsidP="00C536D3">
            <w:pPr>
              <w:pStyle w:val="BodyText"/>
              <w:spacing w:before="0" w:line="280" w:lineRule="exact"/>
              <w:jc w:val="center"/>
              <w:rPr>
                <w:rFonts w:ascii="Arial" w:hAnsi="Arial"/>
                <w:b/>
                <w:sz w:val="20"/>
              </w:rPr>
            </w:pPr>
          </w:p>
          <w:p w14:paraId="0945A94D" w14:textId="371FC758"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37241D">
              <w:rPr>
                <w:rFonts w:ascii="Arial" w:hAnsi="Arial"/>
                <w:b/>
                <w:sz w:val="20"/>
              </w:rPr>
              <w:t xml:space="preserve"> </w:t>
            </w:r>
            <w:r>
              <w:rPr>
                <w:rFonts w:ascii="Arial" w:hAnsi="Arial"/>
                <w:b/>
                <w:sz w:val="20"/>
              </w:rPr>
              <w:t>Securities</w:t>
            </w:r>
            <w:r w:rsidR="0037241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260" w:type="dxa"/>
          </w:tcPr>
          <w:p w14:paraId="507C9842" w14:textId="77777777" w:rsidR="00EA4133" w:rsidRDefault="00EA4133">
            <w:pPr>
              <w:pStyle w:val="BodyText"/>
              <w:spacing w:before="0" w:line="280" w:lineRule="exact"/>
              <w:jc w:val="center"/>
              <w:rPr>
                <w:rFonts w:ascii="Arial" w:hAnsi="Arial"/>
                <w:b/>
                <w:sz w:val="20"/>
                <w:lang w:val="en-CA"/>
              </w:rPr>
            </w:pPr>
          </w:p>
          <w:p w14:paraId="56E9F90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70" w:type="dxa"/>
          </w:tcPr>
          <w:p w14:paraId="6903BF09" w14:textId="77777777" w:rsidR="00EA4133" w:rsidRDefault="00EA4133">
            <w:pPr>
              <w:pStyle w:val="BodyText"/>
              <w:spacing w:before="0" w:line="280" w:lineRule="exact"/>
              <w:jc w:val="center"/>
              <w:rPr>
                <w:rFonts w:ascii="Arial" w:hAnsi="Arial"/>
                <w:b/>
                <w:color w:val="000000"/>
                <w:sz w:val="20"/>
                <w:lang w:val="en-CA"/>
              </w:rPr>
            </w:pPr>
          </w:p>
          <w:p w14:paraId="4FC4A445"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14:paraId="444A267B" w14:textId="77777777" w:rsidTr="0037241D">
        <w:trPr>
          <w:trHeight w:val="864"/>
        </w:trPr>
        <w:tc>
          <w:tcPr>
            <w:tcW w:w="1530" w:type="dxa"/>
          </w:tcPr>
          <w:p w14:paraId="0EE14232" w14:textId="4A0397C0" w:rsidR="0037241D" w:rsidRPr="00A90670" w:rsidRDefault="002B699E">
            <w:pPr>
              <w:pStyle w:val="BodyText"/>
              <w:spacing w:before="0" w:line="280" w:lineRule="exact"/>
              <w:jc w:val="center"/>
              <w:rPr>
                <w:rFonts w:ascii="Arial" w:hAnsi="Arial"/>
                <w:sz w:val="20"/>
                <w:lang w:val="en-CA"/>
              </w:rPr>
            </w:pPr>
            <w:r>
              <w:rPr>
                <w:rFonts w:ascii="Arial" w:hAnsi="Arial"/>
                <w:sz w:val="20"/>
                <w:lang w:val="en-CA"/>
              </w:rPr>
              <w:t>N/A</w:t>
            </w:r>
          </w:p>
        </w:tc>
        <w:tc>
          <w:tcPr>
            <w:tcW w:w="1440" w:type="dxa"/>
          </w:tcPr>
          <w:p w14:paraId="72B54078" w14:textId="06E16C48" w:rsidR="00A90670" w:rsidRPr="0037241D" w:rsidRDefault="00A90670">
            <w:pPr>
              <w:pStyle w:val="BodyText"/>
              <w:spacing w:before="0" w:line="280" w:lineRule="exact"/>
              <w:jc w:val="center"/>
              <w:rPr>
                <w:rFonts w:ascii="Arial" w:hAnsi="Arial"/>
                <w:bCs/>
                <w:sz w:val="20"/>
                <w:lang w:val="en-CA"/>
              </w:rPr>
            </w:pPr>
          </w:p>
        </w:tc>
        <w:tc>
          <w:tcPr>
            <w:tcW w:w="1170" w:type="dxa"/>
          </w:tcPr>
          <w:p w14:paraId="2E77204C" w14:textId="1103BD3B" w:rsidR="00A90670" w:rsidRPr="0037241D" w:rsidRDefault="00A90670">
            <w:pPr>
              <w:pStyle w:val="BodyText"/>
              <w:spacing w:before="0" w:line="280" w:lineRule="exact"/>
              <w:jc w:val="center"/>
              <w:rPr>
                <w:rFonts w:ascii="Arial" w:hAnsi="Arial"/>
                <w:bCs/>
                <w:sz w:val="20"/>
                <w:lang w:val="en-CA"/>
              </w:rPr>
            </w:pPr>
          </w:p>
        </w:tc>
        <w:tc>
          <w:tcPr>
            <w:tcW w:w="1440" w:type="dxa"/>
          </w:tcPr>
          <w:p w14:paraId="2B1EE23F" w14:textId="577F4751" w:rsidR="00A90670" w:rsidRPr="0037241D" w:rsidRDefault="00A90670">
            <w:pPr>
              <w:pStyle w:val="BodyText"/>
              <w:spacing w:before="0" w:line="280" w:lineRule="exact"/>
              <w:jc w:val="center"/>
              <w:rPr>
                <w:rFonts w:ascii="Arial" w:hAnsi="Arial"/>
                <w:bCs/>
                <w:sz w:val="20"/>
                <w:lang w:val="en-CA"/>
              </w:rPr>
            </w:pPr>
          </w:p>
        </w:tc>
        <w:tc>
          <w:tcPr>
            <w:tcW w:w="1350" w:type="dxa"/>
          </w:tcPr>
          <w:p w14:paraId="5ADA4E2C" w14:textId="48DFC1D2" w:rsidR="00A90670" w:rsidRPr="0037241D" w:rsidRDefault="00A90670">
            <w:pPr>
              <w:pStyle w:val="BodyText"/>
              <w:spacing w:before="0" w:line="280" w:lineRule="exact"/>
              <w:jc w:val="center"/>
              <w:rPr>
                <w:rFonts w:ascii="Arial" w:hAnsi="Arial"/>
                <w:bCs/>
                <w:sz w:val="20"/>
                <w:lang w:val="en-CA"/>
              </w:rPr>
            </w:pPr>
          </w:p>
        </w:tc>
        <w:tc>
          <w:tcPr>
            <w:tcW w:w="1440" w:type="dxa"/>
          </w:tcPr>
          <w:p w14:paraId="03F5CC2C" w14:textId="4B1B757F" w:rsidR="00A90670" w:rsidRPr="0037241D" w:rsidRDefault="00A90670">
            <w:pPr>
              <w:pStyle w:val="BodyText"/>
              <w:spacing w:before="0" w:line="280" w:lineRule="exact"/>
              <w:jc w:val="center"/>
              <w:rPr>
                <w:rFonts w:ascii="Arial" w:hAnsi="Arial"/>
                <w:bCs/>
                <w:sz w:val="20"/>
              </w:rPr>
            </w:pPr>
          </w:p>
        </w:tc>
        <w:tc>
          <w:tcPr>
            <w:tcW w:w="1260" w:type="dxa"/>
          </w:tcPr>
          <w:p w14:paraId="07A673D4" w14:textId="77776BAA" w:rsidR="00A90670" w:rsidRPr="0037241D" w:rsidRDefault="00A90670">
            <w:pPr>
              <w:pStyle w:val="BodyText"/>
              <w:spacing w:before="0" w:line="280" w:lineRule="exact"/>
              <w:jc w:val="center"/>
              <w:rPr>
                <w:rFonts w:ascii="Arial" w:hAnsi="Arial"/>
                <w:bCs/>
                <w:sz w:val="20"/>
                <w:lang w:val="en-CA"/>
              </w:rPr>
            </w:pPr>
          </w:p>
        </w:tc>
        <w:tc>
          <w:tcPr>
            <w:tcW w:w="1170" w:type="dxa"/>
          </w:tcPr>
          <w:p w14:paraId="17B63634" w14:textId="3B6A537E" w:rsidR="00A90670" w:rsidRPr="0037241D" w:rsidRDefault="00A90670">
            <w:pPr>
              <w:pStyle w:val="BodyText"/>
              <w:spacing w:before="0" w:line="280" w:lineRule="exact"/>
              <w:jc w:val="center"/>
              <w:rPr>
                <w:rFonts w:ascii="Arial" w:hAnsi="Arial"/>
                <w:bCs/>
                <w:color w:val="000000"/>
                <w:sz w:val="20"/>
                <w:lang w:val="en-CA"/>
              </w:rPr>
            </w:pPr>
          </w:p>
        </w:tc>
      </w:tr>
    </w:tbl>
    <w:p w14:paraId="24C36C97" w14:textId="77777777" w:rsidR="00EA4133" w:rsidRPr="008003B9" w:rsidRDefault="00EA4133">
      <w:pPr>
        <w:pStyle w:val="BodyText"/>
        <w:rPr>
          <w:rFonts w:ascii="Arial" w:hAnsi="Arial" w:cs="Arial"/>
          <w:sz w:val="20"/>
        </w:rPr>
      </w:pPr>
    </w:p>
    <w:p w14:paraId="78299B1E"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6F30CBED" w14:textId="7911D0A0"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37241D" w:rsidRPr="0037241D">
        <w:rPr>
          <w:rFonts w:ascii="Arial" w:hAnsi="Arial"/>
          <w:u w:val="single"/>
        </w:rPr>
        <w:t>N/A</w:t>
      </w:r>
      <w:r w:rsidR="0037241D">
        <w:rPr>
          <w:rFonts w:ascii="Arial" w:hAnsi="Arial"/>
          <w:u w:val="single"/>
        </w:rPr>
        <w:t xml:space="preserve">.  </w:t>
      </w:r>
      <w:r w:rsidR="00353AE6">
        <w:rPr>
          <w:rFonts w:ascii="Arial" w:hAnsi="Arial"/>
          <w:u w:val="single"/>
        </w:rPr>
        <w:t xml:space="preserve">Restricted share units </w:t>
      </w:r>
      <w:r w:rsidR="0037241D">
        <w:rPr>
          <w:rFonts w:ascii="Arial" w:hAnsi="Arial"/>
          <w:u w:val="single"/>
        </w:rPr>
        <w:t>issued for services</w:t>
      </w:r>
      <w:proofErr w:type="gramStart"/>
      <w:r>
        <w:rPr>
          <w:rFonts w:ascii="Arial" w:hAnsi="Arial"/>
          <w:u w:val="single"/>
        </w:rPr>
        <w:tab/>
      </w:r>
      <w:r>
        <w:rPr>
          <w:rFonts w:ascii="Arial" w:hAnsi="Arial"/>
        </w:rPr>
        <w:t xml:space="preserve"> .</w:t>
      </w:r>
      <w:proofErr w:type="gramEnd"/>
    </w:p>
    <w:p w14:paraId="3E0C3105" w14:textId="56E4EA06"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37241D">
        <w:rPr>
          <w:rFonts w:ascii="Arial" w:hAnsi="Arial"/>
        </w:rPr>
        <w:t xml:space="preserve">: </w:t>
      </w:r>
      <w:r w:rsidR="0037241D">
        <w:rPr>
          <w:rFonts w:ascii="Arial" w:hAnsi="Arial"/>
          <w:u w:val="single"/>
        </w:rPr>
        <w:t>N/A</w:t>
      </w:r>
      <w:proofErr w:type="gramStart"/>
      <w:r>
        <w:rPr>
          <w:rFonts w:ascii="Arial" w:hAnsi="Arial"/>
          <w:u w:val="single"/>
        </w:rPr>
        <w:tab/>
      </w:r>
      <w:r>
        <w:rPr>
          <w:rFonts w:ascii="Arial" w:hAnsi="Arial"/>
        </w:rPr>
        <w:t xml:space="preserve"> .</w:t>
      </w:r>
      <w:proofErr w:type="gramEnd"/>
    </w:p>
    <w:p w14:paraId="74C15246" w14:textId="09759C5B"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37241D" w:rsidRPr="0037241D">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77E2FE1"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7EFFACAB"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31900579" w14:textId="3B7D91BF"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353AE6">
        <w:rPr>
          <w:rFonts w:ascii="Arial" w:hAnsi="Arial"/>
          <w:u w:val="single"/>
        </w:rPr>
        <w:t>Restricted</w:t>
      </w:r>
      <w:proofErr w:type="gramEnd"/>
      <w:r w:rsidR="00353AE6">
        <w:rPr>
          <w:rFonts w:ascii="Arial" w:hAnsi="Arial"/>
          <w:u w:val="single"/>
        </w:rPr>
        <w:t xml:space="preserve"> share units</w:t>
      </w:r>
      <w:r>
        <w:rPr>
          <w:rFonts w:ascii="Arial" w:hAnsi="Arial"/>
          <w:u w:val="single"/>
        </w:rPr>
        <w:tab/>
      </w:r>
      <w:r>
        <w:rPr>
          <w:rFonts w:ascii="Arial" w:hAnsi="Arial"/>
        </w:rPr>
        <w:t xml:space="preserve"> .</w:t>
      </w:r>
    </w:p>
    <w:p w14:paraId="7D2EB56A" w14:textId="08104340"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2B699E">
        <w:rPr>
          <w:rFonts w:ascii="Arial" w:hAnsi="Arial"/>
          <w:u w:val="single"/>
          <w:lang w:val="en-CA"/>
        </w:rPr>
        <w:t>200</w:t>
      </w:r>
      <w:r w:rsidR="00353AE6">
        <w:rPr>
          <w:rFonts w:ascii="Arial" w:hAnsi="Arial"/>
          <w:u w:val="single"/>
          <w:lang w:val="en-CA"/>
        </w:rPr>
        <w:t>,000 restricted share units</w:t>
      </w:r>
      <w:proofErr w:type="gramStart"/>
      <w:r>
        <w:rPr>
          <w:rFonts w:ascii="Arial" w:hAnsi="Arial"/>
          <w:u w:val="single"/>
        </w:rPr>
        <w:tab/>
      </w:r>
      <w:r>
        <w:rPr>
          <w:rFonts w:ascii="Arial" w:hAnsi="Arial"/>
        </w:rPr>
        <w:t xml:space="preserve"> .</w:t>
      </w:r>
      <w:proofErr w:type="gramEnd"/>
    </w:p>
    <w:p w14:paraId="03F2A823" w14:textId="55BD51F5"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353AE6">
        <w:rPr>
          <w:rFonts w:ascii="Arial" w:hAnsi="Arial"/>
          <w:u w:val="single"/>
        </w:rPr>
        <w:t>N/A</w:t>
      </w:r>
      <w:proofErr w:type="gramStart"/>
      <w:r>
        <w:rPr>
          <w:rFonts w:ascii="Arial" w:hAnsi="Arial"/>
          <w:u w:val="single"/>
        </w:rPr>
        <w:tab/>
      </w:r>
      <w:r>
        <w:rPr>
          <w:rFonts w:ascii="Arial" w:hAnsi="Arial"/>
        </w:rPr>
        <w:t xml:space="preserve"> .</w:t>
      </w:r>
      <w:proofErr w:type="gramEnd"/>
    </w:p>
    <w:p w14:paraId="0F28E750" w14:textId="0A25D99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353AE6" w:rsidRPr="00353AE6">
        <w:rPr>
          <w:rFonts w:ascii="Arial" w:hAnsi="Arial"/>
          <w:u w:val="single"/>
        </w:rPr>
        <w:t>N/A until settled.  Once settled, v</w:t>
      </w:r>
      <w:r w:rsidR="0037241D" w:rsidRPr="00353AE6">
        <w:rPr>
          <w:rFonts w:ascii="Arial" w:hAnsi="Arial"/>
          <w:u w:val="single"/>
        </w:rPr>
        <w:t>oting</w:t>
      </w:r>
      <w:r w:rsidR="0037241D">
        <w:rPr>
          <w:rFonts w:ascii="Arial" w:hAnsi="Arial"/>
          <w:u w:val="single"/>
        </w:rPr>
        <w:t xml:space="preserve"> rights attributed to common shares</w:t>
      </w:r>
      <w:r>
        <w:rPr>
          <w:rFonts w:ascii="Arial" w:hAnsi="Arial"/>
          <w:u w:val="single"/>
        </w:rPr>
        <w:tab/>
      </w:r>
    </w:p>
    <w:p w14:paraId="2F3E9C10"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0FF5EDE7" w14:textId="76F9178B"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37241D">
        <w:rPr>
          <w:rFonts w:ascii="Arial" w:hAnsi="Arial"/>
          <w:u w:val="single"/>
        </w:rPr>
        <w:t>N/A</w:t>
      </w:r>
      <w:proofErr w:type="gramStart"/>
      <w:r>
        <w:rPr>
          <w:rFonts w:ascii="Arial" w:hAnsi="Arial"/>
          <w:u w:val="single"/>
        </w:rPr>
        <w:tab/>
      </w:r>
      <w:r>
        <w:rPr>
          <w:rFonts w:ascii="Arial" w:hAnsi="Arial"/>
        </w:rPr>
        <w:t xml:space="preserve"> .</w:t>
      </w:r>
      <w:proofErr w:type="gramEnd"/>
    </w:p>
    <w:p w14:paraId="68B47375" w14:textId="321362CD"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37241D">
        <w:rPr>
          <w:rFonts w:ascii="Arial" w:hAnsi="Arial"/>
          <w:u w:val="single"/>
        </w:rPr>
        <w:t>N</w:t>
      </w:r>
      <w:proofErr w:type="gramEnd"/>
      <w:r w:rsidR="0037241D">
        <w:rPr>
          <w:rFonts w:ascii="Arial" w:hAnsi="Arial"/>
          <w:u w:val="single"/>
        </w:rPr>
        <w:t>/A</w:t>
      </w:r>
      <w:r>
        <w:rPr>
          <w:rFonts w:ascii="Arial" w:hAnsi="Arial"/>
          <w:u w:val="single"/>
        </w:rPr>
        <w:tab/>
      </w:r>
    </w:p>
    <w:p w14:paraId="37ABB3F2" w14:textId="154BE82E"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37241D">
        <w:rPr>
          <w:rFonts w:ascii="Arial" w:hAnsi="Arial"/>
        </w:rPr>
        <w:t xml:space="preserv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51232042" w14:textId="76958BCA"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37241D" w:rsidRPr="0037241D">
        <w:rPr>
          <w:rFonts w:ascii="Arial" w:hAnsi="Arial"/>
          <w:u w:val="single"/>
        </w:rPr>
        <w:t>N/A</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4B99598B"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550D13F8" w14:textId="2AD99D6F"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71C3EF33" w14:textId="797971D4"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04BC7D21" w14:textId="4310CF4C"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E19095E" w14:textId="76ED650E"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7A43A2BD" w14:textId="0C4AD11C"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0FC72E24"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6741C9C2" w14:textId="2D44DEF0"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w:t>
      </w:r>
      <w:r>
        <w:rPr>
          <w:rFonts w:ascii="Arial" w:hAnsi="Arial"/>
        </w:rPr>
        <w:lastRenderedPageBreak/>
        <w:t xml:space="preserve">corporation, identify persons owning or exercising voting control over 20% or more of the voting shares if known to the Issuer): </w:t>
      </w:r>
      <w:r w:rsidR="0037241D" w:rsidRPr="0037241D">
        <w:rPr>
          <w:rFonts w:ascii="Arial" w:hAnsi="Arial"/>
          <w:u w:val="single"/>
        </w:rPr>
        <w:t>N/A</w:t>
      </w:r>
      <w:r>
        <w:rPr>
          <w:rFonts w:ascii="Arial" w:hAnsi="Arial"/>
          <w:u w:val="single"/>
        </w:rPr>
        <w:tab/>
      </w:r>
      <w:r>
        <w:rPr>
          <w:rFonts w:ascii="Arial" w:hAnsi="Arial"/>
        </w:rPr>
        <w:t xml:space="preserve"> .</w:t>
      </w:r>
    </w:p>
    <w:p w14:paraId="61E5F788" w14:textId="462966C4"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E56175D" w14:textId="3D58554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57CB2765" w14:textId="00CC6A1A"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7B33B03" w14:textId="3D0F0ABD"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1EBBC75" w14:textId="143B9F41"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37241D" w:rsidRPr="0037241D">
        <w:rPr>
          <w:rFonts w:ascii="Arial" w:hAnsi="Arial"/>
          <w:u w:val="single"/>
        </w:rPr>
        <w:t>N/</w:t>
      </w:r>
      <w:proofErr w:type="gramStart"/>
      <w:r w:rsidR="0037241D" w:rsidRPr="0037241D">
        <w:rPr>
          <w:rFonts w:ascii="Arial" w:hAnsi="Arial"/>
          <w:u w:val="single"/>
        </w:rPr>
        <w:t>A</w:t>
      </w:r>
      <w:r>
        <w:rPr>
          <w:rFonts w:ascii="Arial" w:hAnsi="Arial"/>
        </w:rPr>
        <w:t xml:space="preserve"> .</w:t>
      </w:r>
      <w:proofErr w:type="gramEnd"/>
    </w:p>
    <w:p w14:paraId="6BA98A3A"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6228B5F9" w14:textId="4E5942A0"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1D8B6197"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72B8CB0" w14:textId="515DCEF0"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CC10392"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03B2C465" w14:textId="16D8ACB9"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7C250DAF" w14:textId="77777777" w:rsidR="00EA4133" w:rsidRDefault="00EA4133">
      <w:pPr>
        <w:pStyle w:val="List"/>
        <w:tabs>
          <w:tab w:val="left" w:pos="9180"/>
        </w:tabs>
        <w:spacing w:before="0"/>
        <w:jc w:val="both"/>
        <w:rPr>
          <w:rFonts w:ascii="Arial" w:hAnsi="Arial"/>
        </w:rPr>
      </w:pPr>
    </w:p>
    <w:p w14:paraId="348AFF37" w14:textId="1166FF64"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37241D" w:rsidRPr="0037241D">
        <w:rPr>
          <w:rFonts w:ascii="Arial" w:hAnsi="Arial"/>
          <w:u w:val="single"/>
        </w:rPr>
        <w:t>N/A</w:t>
      </w:r>
      <w:r>
        <w:rPr>
          <w:rFonts w:ascii="Arial" w:hAnsi="Arial"/>
          <w:u w:val="single"/>
        </w:rPr>
        <w:tab/>
      </w:r>
    </w:p>
    <w:p w14:paraId="6A56DD09" w14:textId="69182122" w:rsidR="00EA4133" w:rsidRDefault="00EA4133">
      <w:pPr>
        <w:pStyle w:val="List"/>
        <w:tabs>
          <w:tab w:val="left" w:pos="1080"/>
          <w:tab w:val="left" w:pos="9180"/>
        </w:tabs>
        <w:spacing w:before="0"/>
        <w:ind w:left="0" w:firstLine="0"/>
        <w:jc w:val="both"/>
        <w:rPr>
          <w:rFonts w:ascii="Arial" w:hAnsi="Arial"/>
        </w:rPr>
      </w:pPr>
    </w:p>
    <w:p w14:paraId="216A8B9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7FE44A39" w14:textId="5DBBFB8D"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7400621E" w14:textId="77777777" w:rsidR="00EA4133" w:rsidRDefault="00EA4133">
      <w:pPr>
        <w:pStyle w:val="List"/>
        <w:tabs>
          <w:tab w:val="left" w:pos="9180"/>
        </w:tabs>
        <w:spacing w:before="0"/>
        <w:ind w:left="0" w:firstLine="0"/>
        <w:jc w:val="both"/>
        <w:rPr>
          <w:rFonts w:ascii="Arial" w:hAnsi="Arial"/>
          <w:color w:val="000000"/>
        </w:rPr>
      </w:pPr>
    </w:p>
    <w:p w14:paraId="4DC10B04" w14:textId="0452C62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37241D" w:rsidRPr="0037241D">
        <w:rPr>
          <w:rFonts w:ascii="Arial" w:hAnsi="Arial"/>
          <w:u w:val="single"/>
        </w:rPr>
        <w:t>N/A</w:t>
      </w:r>
      <w:r>
        <w:rPr>
          <w:rFonts w:ascii="Arial" w:hAnsi="Arial"/>
          <w:color w:val="000000"/>
          <w:u w:val="single"/>
        </w:rPr>
        <w:tab/>
      </w:r>
    </w:p>
    <w:p w14:paraId="01D0648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32AC90B7" w14:textId="76886C74"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lastRenderedPageBreak/>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sidR="0037241D" w:rsidRPr="0037241D">
        <w:rPr>
          <w:rFonts w:ascii="Arial" w:hAnsi="Arial"/>
          <w:u w:val="single"/>
        </w:rPr>
        <w:t>N/A</w:t>
      </w:r>
      <w:r>
        <w:rPr>
          <w:rFonts w:ascii="Arial" w:hAnsi="Arial"/>
          <w:color w:val="000000"/>
          <w:u w:val="single"/>
        </w:rPr>
        <w:tab/>
      </w:r>
    </w:p>
    <w:p w14:paraId="21388CE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118180C3"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30357755" w14:textId="6AB5975F"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0E2FBE17" w14:textId="537D13D1"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589C3366" w14:textId="006E1FE2"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37241D" w:rsidRPr="0037241D">
        <w:rPr>
          <w:rFonts w:ascii="Arial" w:hAnsi="Arial"/>
          <w:u w:val="single"/>
        </w:rPr>
        <w:t>N/A</w:t>
      </w:r>
      <w:r>
        <w:rPr>
          <w:rFonts w:ascii="Arial" w:hAnsi="Arial"/>
          <w:color w:val="000000"/>
          <w:u w:val="single"/>
        </w:rPr>
        <w:tab/>
      </w:r>
    </w:p>
    <w:p w14:paraId="7B6CAEFC"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1381FF12" w14:textId="1BC9C43F"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7D232363" w14:textId="267A5FA2"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4811829A" w14:textId="67EAF26F"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37241D" w:rsidRPr="0037241D">
        <w:rPr>
          <w:rFonts w:ascii="Arial" w:hAnsi="Arial"/>
          <w:u w:val="single"/>
        </w:rPr>
        <w:t>N/</w:t>
      </w:r>
      <w:proofErr w:type="gramStart"/>
      <w:r w:rsidR="0037241D" w:rsidRPr="0037241D">
        <w:rPr>
          <w:rFonts w:ascii="Arial" w:hAnsi="Arial"/>
          <w:u w:val="single"/>
        </w:rPr>
        <w:t>A</w:t>
      </w:r>
      <w:r>
        <w:rPr>
          <w:rFonts w:ascii="Arial" w:hAnsi="Arial"/>
          <w:color w:val="000000"/>
        </w:rPr>
        <w:t xml:space="preserve"> .</w:t>
      </w:r>
      <w:proofErr w:type="gramEnd"/>
    </w:p>
    <w:p w14:paraId="62CC2EAD" w14:textId="3B637F44"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4E278FCB" w14:textId="114F719B"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37241D">
        <w:rPr>
          <w:rFonts w:ascii="Arial" w:hAnsi="Arial"/>
          <w:color w:val="000000"/>
        </w:rPr>
        <w:t xml:space="preserve"> </w:t>
      </w:r>
      <w:r w:rsidR="0037241D" w:rsidRPr="0037241D">
        <w:rPr>
          <w:rFonts w:ascii="Arial" w:hAnsi="Arial"/>
          <w:u w:val="single"/>
        </w:rPr>
        <w:t>N/A</w:t>
      </w:r>
    </w:p>
    <w:p w14:paraId="5EC43CA1" w14:textId="32C75739"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37241D">
        <w:rPr>
          <w:rFonts w:ascii="Arial" w:hAnsi="Arial"/>
          <w:color w:val="000000"/>
        </w:rPr>
        <w:t xml:space="preserve"> </w:t>
      </w:r>
      <w:r w:rsidR="0037241D" w:rsidRPr="0037241D">
        <w:rPr>
          <w:rFonts w:ascii="Arial" w:hAnsi="Arial"/>
          <w:u w:val="single"/>
        </w:rPr>
        <w:t>N/A</w:t>
      </w:r>
      <w:r>
        <w:rPr>
          <w:rFonts w:ascii="Arial" w:hAnsi="Arial"/>
          <w:color w:val="000000"/>
          <w:u w:val="single"/>
        </w:rPr>
        <w:tab/>
      </w:r>
    </w:p>
    <w:p w14:paraId="2956DD2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04700EBF"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12001149" w14:textId="77777777">
        <w:tc>
          <w:tcPr>
            <w:tcW w:w="1440" w:type="dxa"/>
          </w:tcPr>
          <w:p w14:paraId="59F2717A" w14:textId="77777777" w:rsidR="00EA4133" w:rsidRDefault="00EA4133">
            <w:pPr>
              <w:pStyle w:val="BodyText"/>
              <w:keepNext/>
              <w:keepLines/>
              <w:spacing w:before="0" w:line="280" w:lineRule="exact"/>
              <w:jc w:val="center"/>
              <w:rPr>
                <w:rFonts w:ascii="Arial" w:hAnsi="Arial"/>
                <w:b/>
                <w:sz w:val="20"/>
                <w:lang w:val="en-CA"/>
              </w:rPr>
            </w:pPr>
          </w:p>
          <w:p w14:paraId="44F8491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04189CD3" w14:textId="77777777" w:rsidR="00EA4133" w:rsidRDefault="00EA4133">
            <w:pPr>
              <w:pStyle w:val="BodyText"/>
              <w:keepNext/>
              <w:keepLines/>
              <w:spacing w:before="0" w:line="280" w:lineRule="exact"/>
              <w:jc w:val="center"/>
              <w:rPr>
                <w:rFonts w:ascii="Arial" w:hAnsi="Arial"/>
                <w:b/>
                <w:sz w:val="20"/>
                <w:lang w:val="en-CA"/>
              </w:rPr>
            </w:pPr>
          </w:p>
          <w:p w14:paraId="3F44F73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3CD958F" w14:textId="77777777" w:rsidR="00EA4133" w:rsidRDefault="00EA4133">
            <w:pPr>
              <w:pStyle w:val="BodyText"/>
              <w:keepNext/>
              <w:keepLines/>
              <w:spacing w:before="0" w:line="280" w:lineRule="exact"/>
              <w:jc w:val="center"/>
              <w:rPr>
                <w:rFonts w:ascii="Arial" w:hAnsi="Arial"/>
                <w:b/>
                <w:sz w:val="20"/>
                <w:lang w:val="en-CA"/>
              </w:rPr>
            </w:pPr>
          </w:p>
          <w:p w14:paraId="10EF63D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AD62797" w14:textId="77777777" w:rsidR="00EA4133" w:rsidRDefault="00EA4133">
            <w:pPr>
              <w:pStyle w:val="BodyText"/>
              <w:keepNext/>
              <w:keepLines/>
              <w:spacing w:before="0" w:line="280" w:lineRule="exact"/>
              <w:jc w:val="center"/>
              <w:rPr>
                <w:rFonts w:ascii="Arial" w:hAnsi="Arial"/>
                <w:b/>
                <w:sz w:val="20"/>
                <w:lang w:val="en-CA"/>
              </w:rPr>
            </w:pPr>
          </w:p>
          <w:p w14:paraId="14B9A8B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31896A2A" w14:textId="77777777" w:rsidR="00EA4133" w:rsidRDefault="00EA4133">
            <w:pPr>
              <w:pStyle w:val="BodyText"/>
              <w:keepNext/>
              <w:keepLines/>
              <w:spacing w:before="0" w:line="280" w:lineRule="exact"/>
              <w:jc w:val="center"/>
              <w:rPr>
                <w:rFonts w:ascii="Arial" w:hAnsi="Arial"/>
                <w:b/>
                <w:sz w:val="20"/>
                <w:lang w:val="en-CA"/>
              </w:rPr>
            </w:pPr>
          </w:p>
          <w:p w14:paraId="7FBA9B4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4E31030" w14:textId="77777777" w:rsidR="00EA4133" w:rsidRDefault="00EA4133">
            <w:pPr>
              <w:pStyle w:val="BodyText"/>
              <w:keepNext/>
              <w:keepLines/>
              <w:spacing w:before="0" w:line="280" w:lineRule="exact"/>
              <w:jc w:val="center"/>
              <w:rPr>
                <w:rFonts w:ascii="Arial" w:hAnsi="Arial"/>
                <w:b/>
                <w:sz w:val="20"/>
              </w:rPr>
            </w:pPr>
          </w:p>
          <w:p w14:paraId="05F0D9C8"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03DF870E" w14:textId="77777777" w:rsidR="00EA4133" w:rsidRDefault="00EA4133">
            <w:pPr>
              <w:pStyle w:val="BodyText"/>
              <w:keepNext/>
              <w:keepLines/>
              <w:spacing w:before="0" w:line="280" w:lineRule="exact"/>
              <w:jc w:val="center"/>
              <w:rPr>
                <w:rFonts w:ascii="Arial" w:hAnsi="Arial"/>
                <w:b/>
                <w:color w:val="000000"/>
                <w:sz w:val="20"/>
                <w:lang w:val="en-CA"/>
              </w:rPr>
            </w:pPr>
          </w:p>
          <w:p w14:paraId="314CDC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CBFB7EE"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765F73C0" w14:textId="77777777">
        <w:trPr>
          <w:trHeight w:hRule="exact" w:val="280"/>
        </w:trPr>
        <w:tc>
          <w:tcPr>
            <w:tcW w:w="1440" w:type="dxa"/>
          </w:tcPr>
          <w:p w14:paraId="27A3DFAF" w14:textId="77777777" w:rsidR="00EA4133" w:rsidRDefault="00EA4133">
            <w:pPr>
              <w:pStyle w:val="BodyText"/>
              <w:keepNext/>
              <w:keepLines/>
              <w:rPr>
                <w:rFonts w:ascii="Arial" w:hAnsi="Arial"/>
                <w:lang w:val="en-CA"/>
              </w:rPr>
            </w:pPr>
          </w:p>
        </w:tc>
        <w:tc>
          <w:tcPr>
            <w:tcW w:w="1260" w:type="dxa"/>
          </w:tcPr>
          <w:p w14:paraId="54C8FEF6" w14:textId="77777777" w:rsidR="00EA4133" w:rsidRDefault="00EA4133">
            <w:pPr>
              <w:pStyle w:val="BodyText"/>
              <w:keepNext/>
              <w:keepLines/>
              <w:rPr>
                <w:rFonts w:ascii="Arial" w:hAnsi="Arial"/>
                <w:lang w:val="en-CA"/>
              </w:rPr>
            </w:pPr>
          </w:p>
        </w:tc>
        <w:tc>
          <w:tcPr>
            <w:tcW w:w="1260" w:type="dxa"/>
          </w:tcPr>
          <w:p w14:paraId="3DE9FAA9" w14:textId="77777777" w:rsidR="00EA4133" w:rsidRDefault="00EA4133">
            <w:pPr>
              <w:pStyle w:val="BodyText"/>
              <w:keepNext/>
              <w:keepLines/>
              <w:rPr>
                <w:rFonts w:ascii="Arial" w:hAnsi="Arial"/>
                <w:lang w:val="en-CA"/>
              </w:rPr>
            </w:pPr>
          </w:p>
        </w:tc>
        <w:tc>
          <w:tcPr>
            <w:tcW w:w="1440" w:type="dxa"/>
          </w:tcPr>
          <w:p w14:paraId="5441F052" w14:textId="77777777" w:rsidR="00EA4133" w:rsidRDefault="00EA4133">
            <w:pPr>
              <w:pStyle w:val="BodyText"/>
              <w:keepNext/>
              <w:keepLines/>
              <w:rPr>
                <w:rFonts w:ascii="Arial" w:hAnsi="Arial"/>
                <w:lang w:val="en-CA"/>
              </w:rPr>
            </w:pPr>
          </w:p>
        </w:tc>
        <w:tc>
          <w:tcPr>
            <w:tcW w:w="1440" w:type="dxa"/>
          </w:tcPr>
          <w:p w14:paraId="00AD6C35" w14:textId="77777777" w:rsidR="00EA4133" w:rsidRDefault="00EA4133">
            <w:pPr>
              <w:pStyle w:val="BodyText"/>
              <w:keepNext/>
              <w:keepLines/>
              <w:rPr>
                <w:rFonts w:ascii="Arial" w:hAnsi="Arial"/>
                <w:lang w:val="en-CA"/>
              </w:rPr>
            </w:pPr>
          </w:p>
        </w:tc>
        <w:tc>
          <w:tcPr>
            <w:tcW w:w="1620" w:type="dxa"/>
          </w:tcPr>
          <w:p w14:paraId="181CEEBE" w14:textId="77777777" w:rsidR="00EA4133" w:rsidRDefault="00EA4133">
            <w:pPr>
              <w:pStyle w:val="BodyText"/>
              <w:keepNext/>
              <w:keepLines/>
              <w:rPr>
                <w:rFonts w:ascii="Arial" w:hAnsi="Arial"/>
                <w:lang w:val="en-CA"/>
              </w:rPr>
            </w:pPr>
          </w:p>
        </w:tc>
        <w:tc>
          <w:tcPr>
            <w:tcW w:w="1530" w:type="dxa"/>
          </w:tcPr>
          <w:p w14:paraId="28FFBF6D" w14:textId="77777777" w:rsidR="00EA4133" w:rsidRDefault="00EA4133">
            <w:pPr>
              <w:pStyle w:val="BodyText"/>
              <w:keepNext/>
              <w:keepLines/>
              <w:rPr>
                <w:rFonts w:ascii="Arial" w:hAnsi="Arial"/>
                <w:lang w:val="en-CA"/>
              </w:rPr>
            </w:pPr>
          </w:p>
        </w:tc>
      </w:tr>
      <w:tr w:rsidR="00EA4133" w14:paraId="3CA9E6E2" w14:textId="77777777">
        <w:trPr>
          <w:trHeight w:hRule="exact" w:val="320"/>
        </w:trPr>
        <w:tc>
          <w:tcPr>
            <w:tcW w:w="1440" w:type="dxa"/>
          </w:tcPr>
          <w:p w14:paraId="46E88951" w14:textId="77777777" w:rsidR="00EA4133" w:rsidRDefault="00EA4133">
            <w:pPr>
              <w:pStyle w:val="BodyText"/>
              <w:keepNext/>
              <w:keepLines/>
              <w:rPr>
                <w:rFonts w:ascii="Arial" w:hAnsi="Arial"/>
                <w:lang w:val="en-CA"/>
              </w:rPr>
            </w:pPr>
          </w:p>
        </w:tc>
        <w:tc>
          <w:tcPr>
            <w:tcW w:w="1260" w:type="dxa"/>
          </w:tcPr>
          <w:p w14:paraId="61E8D4B2" w14:textId="77777777" w:rsidR="00EA4133" w:rsidRDefault="00EA4133">
            <w:pPr>
              <w:pStyle w:val="BodyText"/>
              <w:keepNext/>
              <w:keepLines/>
              <w:rPr>
                <w:rFonts w:ascii="Arial" w:hAnsi="Arial"/>
                <w:lang w:val="en-CA"/>
              </w:rPr>
            </w:pPr>
          </w:p>
        </w:tc>
        <w:tc>
          <w:tcPr>
            <w:tcW w:w="1260" w:type="dxa"/>
          </w:tcPr>
          <w:p w14:paraId="3C349C90" w14:textId="77777777" w:rsidR="00EA4133" w:rsidRDefault="00EA4133">
            <w:pPr>
              <w:pStyle w:val="BodyText"/>
              <w:keepNext/>
              <w:keepLines/>
              <w:rPr>
                <w:rFonts w:ascii="Arial" w:hAnsi="Arial"/>
                <w:lang w:val="en-CA"/>
              </w:rPr>
            </w:pPr>
          </w:p>
        </w:tc>
        <w:tc>
          <w:tcPr>
            <w:tcW w:w="1440" w:type="dxa"/>
          </w:tcPr>
          <w:p w14:paraId="4967095E" w14:textId="77777777" w:rsidR="00EA4133" w:rsidRDefault="00EA4133">
            <w:pPr>
              <w:pStyle w:val="BodyText"/>
              <w:keepNext/>
              <w:keepLines/>
              <w:rPr>
                <w:rFonts w:ascii="Arial" w:hAnsi="Arial"/>
                <w:lang w:val="en-CA"/>
              </w:rPr>
            </w:pPr>
          </w:p>
        </w:tc>
        <w:tc>
          <w:tcPr>
            <w:tcW w:w="1440" w:type="dxa"/>
          </w:tcPr>
          <w:p w14:paraId="10DF38D0" w14:textId="77777777" w:rsidR="00EA4133" w:rsidRDefault="00EA4133">
            <w:pPr>
              <w:pStyle w:val="BodyText"/>
              <w:keepNext/>
              <w:keepLines/>
              <w:rPr>
                <w:rFonts w:ascii="Arial" w:hAnsi="Arial"/>
                <w:lang w:val="en-CA"/>
              </w:rPr>
            </w:pPr>
          </w:p>
        </w:tc>
        <w:tc>
          <w:tcPr>
            <w:tcW w:w="1620" w:type="dxa"/>
          </w:tcPr>
          <w:p w14:paraId="5E9338FC" w14:textId="77777777" w:rsidR="00EA4133" w:rsidRDefault="00EA4133">
            <w:pPr>
              <w:pStyle w:val="BodyText"/>
              <w:keepNext/>
              <w:keepLines/>
              <w:rPr>
                <w:rFonts w:ascii="Arial" w:hAnsi="Arial"/>
                <w:lang w:val="en-CA"/>
              </w:rPr>
            </w:pPr>
          </w:p>
        </w:tc>
        <w:tc>
          <w:tcPr>
            <w:tcW w:w="1530" w:type="dxa"/>
          </w:tcPr>
          <w:p w14:paraId="50FE08F1" w14:textId="77777777" w:rsidR="00EA4133" w:rsidRDefault="00EA4133">
            <w:pPr>
              <w:pStyle w:val="BodyText"/>
              <w:keepNext/>
              <w:keepLines/>
              <w:rPr>
                <w:rFonts w:ascii="Arial" w:hAnsi="Arial"/>
                <w:lang w:val="en-CA"/>
              </w:rPr>
            </w:pPr>
          </w:p>
        </w:tc>
      </w:tr>
    </w:tbl>
    <w:p w14:paraId="5D0B441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43F2375" w14:textId="0D8948DE"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lastRenderedPageBreak/>
        <w:t xml:space="preserve">Details of the steps taken by the Issuer to ensure that the vendor has good title to the assets being acquired: </w:t>
      </w:r>
      <w:r w:rsidR="0037241D" w:rsidRPr="0037241D">
        <w:rPr>
          <w:rFonts w:ascii="Arial" w:hAnsi="Arial"/>
          <w:u w:val="single"/>
        </w:rPr>
        <w:t>N/A</w:t>
      </w:r>
      <w:r>
        <w:rPr>
          <w:rFonts w:ascii="Arial" w:hAnsi="Arial"/>
          <w:color w:val="000000"/>
          <w:u w:val="single"/>
        </w:rPr>
        <w:tab/>
      </w:r>
    </w:p>
    <w:p w14:paraId="55400CD4"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5390C3E"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4897573A" w14:textId="66BD12A3"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37241D" w:rsidRPr="0037241D">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70FA2874" w14:textId="7E80D49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7EEE8EB" w14:textId="2F67F1AE"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336A6619" w14:textId="41AF77CD"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13DBA80C" w14:textId="0393DA4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37241D" w:rsidRPr="0037241D">
        <w:rPr>
          <w:rFonts w:ascii="Arial" w:hAnsi="Arial"/>
          <w:u w:val="single"/>
        </w:rPr>
        <w:t>N/A</w:t>
      </w:r>
      <w:r>
        <w:rPr>
          <w:rFonts w:ascii="Arial" w:hAnsi="Arial"/>
          <w:u w:val="single"/>
        </w:rPr>
        <w:tab/>
      </w:r>
    </w:p>
    <w:p w14:paraId="6CCA9B77" w14:textId="07BA5FC6"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37241D" w:rsidRPr="0037241D">
        <w:rPr>
          <w:rFonts w:ascii="Arial" w:hAnsi="Arial"/>
          <w:u w:val="single"/>
        </w:rPr>
        <w:t>N/</w:t>
      </w:r>
      <w:proofErr w:type="gramStart"/>
      <w:r w:rsidR="0037241D" w:rsidRPr="0037241D">
        <w:rPr>
          <w:rFonts w:ascii="Arial" w:hAnsi="Arial"/>
          <w:u w:val="single"/>
        </w:rPr>
        <w:t>A</w:t>
      </w:r>
      <w:r>
        <w:rPr>
          <w:rFonts w:ascii="Arial" w:hAnsi="Arial"/>
        </w:rPr>
        <w:t xml:space="preserve"> .</w:t>
      </w:r>
      <w:proofErr w:type="gramEnd"/>
    </w:p>
    <w:p w14:paraId="29DC9141" w14:textId="13F8F13F"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37241D" w:rsidRPr="0037241D">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0DBD27E8" w14:textId="504BA7D9"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37241D" w:rsidRPr="0037241D">
        <w:rPr>
          <w:rFonts w:ascii="Arial" w:hAnsi="Arial"/>
          <w:u w:val="single"/>
        </w:rPr>
        <w:t>N/A</w:t>
      </w:r>
      <w:r>
        <w:rPr>
          <w:rFonts w:ascii="Arial" w:hAnsi="Arial"/>
          <w:color w:val="000000"/>
          <w:u w:val="single"/>
        </w:rPr>
        <w:tab/>
      </w:r>
    </w:p>
    <w:p w14:paraId="2CB0B916"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6B62D49C" w14:textId="379EE7A1" w:rsidR="00EA4133" w:rsidRDefault="00EA4133">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498355D0" w14:textId="77777777" w:rsidR="00EA4133" w:rsidRDefault="00EA4133">
      <w:pPr>
        <w:pStyle w:val="BodyText"/>
        <w:rPr>
          <w:rFonts w:ascii="Arial" w:hAnsi="Arial"/>
        </w:rPr>
      </w:pPr>
      <w:r>
        <w:rPr>
          <w:rFonts w:ascii="Arial" w:hAnsi="Arial"/>
        </w:rPr>
        <w:t>The undersigned hereby certifies that:</w:t>
      </w:r>
    </w:p>
    <w:p w14:paraId="4E7FF131"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D54BC78"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6CF0F00" w14:textId="77777777" w:rsidR="00C500F0" w:rsidRDefault="00C500F0" w:rsidP="00C500F0">
      <w:pPr>
        <w:pStyle w:val="List"/>
        <w:ind w:firstLine="0"/>
        <w:jc w:val="both"/>
        <w:rPr>
          <w:rFonts w:ascii="Arial" w:hAnsi="Arial"/>
        </w:rPr>
      </w:pPr>
    </w:p>
    <w:p w14:paraId="607F50CF" w14:textId="38745A1C" w:rsidR="00C500F0" w:rsidRDefault="002B699E" w:rsidP="00C500F0">
      <w:pPr>
        <w:pStyle w:val="ListParagraph"/>
        <w:numPr>
          <w:ilvl w:val="0"/>
          <w:numId w:val="7"/>
        </w:numPr>
        <w:rPr>
          <w:rFonts w:ascii="Arial" w:hAnsi="Arial" w:cs="Arial"/>
          <w:sz w:val="24"/>
          <w:szCs w:val="24"/>
        </w:rPr>
      </w:pPr>
      <w:r>
        <w:rPr>
          <w:rFonts w:ascii="Arial" w:hAnsi="Arial" w:cs="Arial"/>
          <w:sz w:val="24"/>
          <w:szCs w:val="24"/>
        </w:rPr>
        <w:lastRenderedPageBreak/>
        <w:t>T</w:t>
      </w:r>
      <w:r w:rsidR="00C500F0" w:rsidRPr="00C500F0">
        <w:rPr>
          <w:rFonts w:ascii="Arial" w:hAnsi="Arial" w:cs="Arial"/>
          <w:sz w:val="24"/>
          <w:szCs w:val="24"/>
        </w:rPr>
        <w:t>he Issuer has obtained the express written consent of each applicable individual to:</w:t>
      </w:r>
    </w:p>
    <w:p w14:paraId="0F4BFEED" w14:textId="77777777" w:rsidR="00C500F0" w:rsidRPr="00C500F0" w:rsidRDefault="00C500F0" w:rsidP="00C500F0">
      <w:pPr>
        <w:pStyle w:val="ListParagraph"/>
        <w:rPr>
          <w:rFonts w:ascii="Arial" w:hAnsi="Arial" w:cs="Arial"/>
          <w:sz w:val="24"/>
          <w:szCs w:val="24"/>
        </w:rPr>
      </w:pPr>
    </w:p>
    <w:p w14:paraId="717F88E3"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44B34E8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2DD921DC"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DF4B5F5"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2FF56B52" w14:textId="658C4A21"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2B699E">
        <w:rPr>
          <w:rFonts w:ascii="Arial" w:hAnsi="Arial"/>
          <w:u w:val="single"/>
        </w:rPr>
        <w:t>May 15, 2020</w:t>
      </w:r>
      <w:r>
        <w:rPr>
          <w:rFonts w:ascii="Arial" w:hAnsi="Arial"/>
          <w:u w:val="single"/>
        </w:rPr>
        <w:tab/>
      </w:r>
      <w:r>
        <w:rPr>
          <w:rFonts w:ascii="Arial" w:hAnsi="Arial"/>
        </w:rPr>
        <w:t>.</w:t>
      </w:r>
    </w:p>
    <w:p w14:paraId="7522F13E" w14:textId="1A407CB1" w:rsidR="00EA4133" w:rsidRDefault="00EA4133">
      <w:pPr>
        <w:pStyle w:val="List"/>
        <w:tabs>
          <w:tab w:val="left" w:pos="9180"/>
        </w:tabs>
        <w:ind w:left="5760" w:hanging="5760"/>
        <w:rPr>
          <w:rFonts w:ascii="Arial" w:hAnsi="Arial"/>
        </w:rPr>
      </w:pPr>
      <w:r>
        <w:rPr>
          <w:rFonts w:ascii="Arial" w:hAnsi="Arial"/>
        </w:rPr>
        <w:tab/>
      </w:r>
      <w:r w:rsidR="0037241D">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588DCA2A" w14:textId="1B4A7959" w:rsidR="00EA4133" w:rsidRDefault="00EA4133">
      <w:pPr>
        <w:pStyle w:val="List"/>
        <w:tabs>
          <w:tab w:val="left" w:pos="9180"/>
          <w:tab w:val="left" w:pos="9360"/>
        </w:tabs>
        <w:ind w:left="5760" w:hanging="5760"/>
        <w:rPr>
          <w:rFonts w:ascii="Arial" w:hAnsi="Arial"/>
        </w:rPr>
      </w:pPr>
      <w:r>
        <w:rPr>
          <w:rFonts w:ascii="Arial" w:hAnsi="Arial"/>
        </w:rPr>
        <w:tab/>
      </w:r>
      <w:r w:rsidR="0037241D">
        <w:rPr>
          <w:rFonts w:ascii="Arial" w:hAnsi="Arial"/>
          <w:i/>
          <w:iCs/>
          <w:u w:val="single"/>
        </w:rPr>
        <w:t>/s/ Moira Ong</w:t>
      </w:r>
      <w:r>
        <w:rPr>
          <w:rFonts w:ascii="Arial" w:hAnsi="Arial"/>
          <w:u w:val="single"/>
        </w:rPr>
        <w:tab/>
      </w:r>
      <w:r>
        <w:rPr>
          <w:rFonts w:ascii="Arial" w:hAnsi="Arial"/>
        </w:rPr>
        <w:br/>
        <w:t>Signature</w:t>
      </w:r>
    </w:p>
    <w:p w14:paraId="529183CD" w14:textId="3BBB3188" w:rsidR="00EA4133" w:rsidRDefault="00EA4133">
      <w:pPr>
        <w:pStyle w:val="List"/>
        <w:tabs>
          <w:tab w:val="left" w:pos="9180"/>
          <w:tab w:val="left" w:pos="9360"/>
        </w:tabs>
        <w:ind w:left="5760" w:hanging="5760"/>
        <w:rPr>
          <w:rFonts w:ascii="Arial" w:hAnsi="Arial"/>
        </w:rPr>
      </w:pPr>
      <w:r>
        <w:rPr>
          <w:rFonts w:ascii="Arial" w:hAnsi="Arial"/>
        </w:rPr>
        <w:tab/>
      </w:r>
      <w:r w:rsidR="0037241D">
        <w:rPr>
          <w:rFonts w:ascii="Arial" w:hAnsi="Arial"/>
          <w:u w:val="single"/>
        </w:rPr>
        <w:t>Chief Financial Officer</w:t>
      </w:r>
      <w:r>
        <w:rPr>
          <w:rFonts w:ascii="Arial" w:hAnsi="Arial"/>
          <w:u w:val="single"/>
        </w:rPr>
        <w:tab/>
      </w:r>
      <w:r>
        <w:rPr>
          <w:rFonts w:ascii="Arial" w:hAnsi="Arial"/>
        </w:rPr>
        <w:br/>
        <w:t>Official Capacity</w:t>
      </w:r>
    </w:p>
    <w:p w14:paraId="337A2172" w14:textId="77777777" w:rsidR="00C500F0" w:rsidRDefault="00C500F0">
      <w:pPr>
        <w:pStyle w:val="List"/>
        <w:tabs>
          <w:tab w:val="left" w:pos="9180"/>
          <w:tab w:val="left" w:pos="9360"/>
        </w:tabs>
        <w:ind w:left="5760" w:hanging="5760"/>
        <w:rPr>
          <w:rFonts w:ascii="Arial" w:hAnsi="Arial"/>
        </w:rPr>
      </w:pPr>
    </w:p>
    <w:p w14:paraId="6F61E150" w14:textId="77777777" w:rsidR="00C500F0" w:rsidRDefault="00C500F0">
      <w:pPr>
        <w:pStyle w:val="List"/>
        <w:tabs>
          <w:tab w:val="left" w:pos="9180"/>
          <w:tab w:val="left" w:pos="9360"/>
        </w:tabs>
        <w:ind w:left="5760" w:hanging="5760"/>
        <w:rPr>
          <w:rFonts w:ascii="Arial" w:hAnsi="Arial"/>
        </w:rPr>
      </w:pPr>
    </w:p>
    <w:p w14:paraId="0B64DDD5" w14:textId="77777777" w:rsidR="0037241D" w:rsidRDefault="0037241D">
      <w:pPr>
        <w:rPr>
          <w:rFonts w:ascii="Arial" w:eastAsia="Calibri" w:hAnsi="Arial" w:cs="Arial"/>
          <w:b/>
          <w:sz w:val="24"/>
          <w:szCs w:val="24"/>
        </w:rPr>
      </w:pPr>
      <w:r>
        <w:rPr>
          <w:rFonts w:ascii="Arial" w:eastAsia="Calibri" w:hAnsi="Arial" w:cs="Arial"/>
          <w:b/>
          <w:sz w:val="24"/>
          <w:szCs w:val="24"/>
        </w:rPr>
        <w:br w:type="page"/>
      </w:r>
    </w:p>
    <w:p w14:paraId="190D9E2B" w14:textId="1767FD15"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3A79A4DF"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7B6E34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6E3982E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2F5F40D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7447540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6F6FFEF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369522F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126B6AD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3DEDD54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681AE5B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AEBAC2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6E37DB4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6FE4633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7C05F1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1A0D1BA0"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E4E5" w14:textId="77777777" w:rsidR="00C90332" w:rsidRDefault="00C90332">
      <w:r>
        <w:separator/>
      </w:r>
    </w:p>
  </w:endnote>
  <w:endnote w:type="continuationSeparator" w:id="0">
    <w:p w14:paraId="1ED43BC1" w14:textId="77777777" w:rsidR="00C90332" w:rsidRDefault="00C9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FC03" w14:textId="579E46D5" w:rsidR="00EA4133" w:rsidRDefault="00E07779"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75BD6560" wp14:editId="7EA69490">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22B8"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2C49D6E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7C657A0"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F1C6AB1"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741E" w14:textId="77777777" w:rsidR="00EA4133" w:rsidRDefault="00AD1FE1">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D8FA7" w14:textId="77777777" w:rsidR="00C90332" w:rsidRDefault="00C90332">
      <w:r>
        <w:separator/>
      </w:r>
    </w:p>
  </w:footnote>
  <w:footnote w:type="continuationSeparator" w:id="0">
    <w:p w14:paraId="768C3992" w14:textId="77777777" w:rsidR="00C90332" w:rsidRDefault="00C90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B64EF"/>
    <w:rsid w:val="000C7CEC"/>
    <w:rsid w:val="00116314"/>
    <w:rsid w:val="00122D6D"/>
    <w:rsid w:val="00173F0B"/>
    <w:rsid w:val="00186DA5"/>
    <w:rsid w:val="002557FD"/>
    <w:rsid w:val="002560F1"/>
    <w:rsid w:val="002B699E"/>
    <w:rsid w:val="002F0416"/>
    <w:rsid w:val="00305EB6"/>
    <w:rsid w:val="00326D55"/>
    <w:rsid w:val="003431FD"/>
    <w:rsid w:val="0035331C"/>
    <w:rsid w:val="00353AE6"/>
    <w:rsid w:val="0037241D"/>
    <w:rsid w:val="003C6D7E"/>
    <w:rsid w:val="004112D6"/>
    <w:rsid w:val="00456624"/>
    <w:rsid w:val="004A1403"/>
    <w:rsid w:val="004B214D"/>
    <w:rsid w:val="00544BCF"/>
    <w:rsid w:val="00617A0E"/>
    <w:rsid w:val="0062717F"/>
    <w:rsid w:val="007568B3"/>
    <w:rsid w:val="007B0425"/>
    <w:rsid w:val="007C4F86"/>
    <w:rsid w:val="008003B9"/>
    <w:rsid w:val="00840B45"/>
    <w:rsid w:val="008F27FF"/>
    <w:rsid w:val="009136E7"/>
    <w:rsid w:val="009466F0"/>
    <w:rsid w:val="0097763E"/>
    <w:rsid w:val="009C1EC2"/>
    <w:rsid w:val="009F51C0"/>
    <w:rsid w:val="00A00C54"/>
    <w:rsid w:val="00A10285"/>
    <w:rsid w:val="00A90670"/>
    <w:rsid w:val="00A93530"/>
    <w:rsid w:val="00A9392C"/>
    <w:rsid w:val="00AD1FE1"/>
    <w:rsid w:val="00B21376"/>
    <w:rsid w:val="00B923F6"/>
    <w:rsid w:val="00BE2894"/>
    <w:rsid w:val="00C10A32"/>
    <w:rsid w:val="00C500F0"/>
    <w:rsid w:val="00C536D3"/>
    <w:rsid w:val="00C90332"/>
    <w:rsid w:val="00CC2519"/>
    <w:rsid w:val="00CF076A"/>
    <w:rsid w:val="00CF2A90"/>
    <w:rsid w:val="00CF5580"/>
    <w:rsid w:val="00CF72A4"/>
    <w:rsid w:val="00DA6830"/>
    <w:rsid w:val="00DB640C"/>
    <w:rsid w:val="00E07779"/>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869F7"/>
  <w15:docId w15:val="{79E9CE5F-9C21-41C5-A842-22B88D2C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2047</Words>
  <Characters>10261</Characters>
  <Application>Microsoft Office Word</Application>
  <DocSecurity>0</DocSecurity>
  <Lines>353</Lines>
  <Paragraphs>173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7</cp:revision>
  <cp:lastPrinted>2004-05-20T20:47:00Z</cp:lastPrinted>
  <dcterms:created xsi:type="dcterms:W3CDTF">2019-10-21T22:33:00Z</dcterms:created>
  <dcterms:modified xsi:type="dcterms:W3CDTF">2020-05-15T17:47:00Z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