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BFF3F" w14:textId="77777777" w:rsidR="00DB0A0E" w:rsidRDefault="00C87F2E">
      <w:pPr>
        <w:pStyle w:val="NormalWeb"/>
        <w:spacing w:before="0" w:beforeAutospacing="0" w:after="0" w:afterAutospacing="0"/>
        <w:jc w:val="both"/>
        <w:rPr>
          <w:b/>
          <w:bCs/>
          <w:sz w:val="20"/>
          <w:szCs w:val="20"/>
          <w:lang w:val="en-CA"/>
        </w:rPr>
      </w:pPr>
      <w:r>
        <w:rPr>
          <w:b/>
          <w:bCs/>
          <w:sz w:val="20"/>
          <w:szCs w:val="20"/>
          <w:lang w:val="en-CA"/>
        </w:rPr>
        <w:t>MANAGEMENT’S DISCUSSION AND ANALYSIS</w:t>
      </w:r>
    </w:p>
    <w:p w14:paraId="4B8BDD51" w14:textId="77777777" w:rsidR="00DB0A0E" w:rsidRDefault="00DB0A0E">
      <w:pPr>
        <w:pStyle w:val="NormalWeb"/>
        <w:spacing w:before="0" w:beforeAutospacing="0" w:after="0" w:afterAutospacing="0"/>
        <w:jc w:val="both"/>
        <w:rPr>
          <w:b/>
          <w:bCs/>
          <w:sz w:val="20"/>
          <w:szCs w:val="20"/>
          <w:lang w:val="en-CA"/>
        </w:rPr>
      </w:pPr>
    </w:p>
    <w:p w14:paraId="4FB64690" w14:textId="147324DC" w:rsidR="00DB0A0E" w:rsidRDefault="00C87F2E">
      <w:pPr>
        <w:pStyle w:val="NormalWeb"/>
        <w:spacing w:before="0" w:beforeAutospacing="0" w:after="0" w:afterAutospacing="0"/>
        <w:jc w:val="both"/>
        <w:rPr>
          <w:b/>
          <w:bCs/>
          <w:sz w:val="20"/>
          <w:szCs w:val="20"/>
          <w:lang w:val="en-CA"/>
        </w:rPr>
      </w:pPr>
      <w:r>
        <w:rPr>
          <w:b/>
          <w:bCs/>
          <w:sz w:val="20"/>
          <w:szCs w:val="20"/>
          <w:lang w:val="en-CA"/>
        </w:rPr>
        <w:t xml:space="preserve">Dated as at </w:t>
      </w:r>
      <w:r w:rsidR="001801C4">
        <w:rPr>
          <w:b/>
          <w:bCs/>
          <w:sz w:val="20"/>
          <w:szCs w:val="20"/>
          <w:lang w:val="en-CA"/>
        </w:rPr>
        <w:t>May 14</w:t>
      </w:r>
      <w:r>
        <w:rPr>
          <w:b/>
          <w:bCs/>
          <w:sz w:val="20"/>
          <w:szCs w:val="20"/>
          <w:lang w:val="en-CA"/>
        </w:rPr>
        <w:t>, 2020</w:t>
      </w:r>
    </w:p>
    <w:p w14:paraId="1EBDEFDC" w14:textId="77777777" w:rsidR="00DB0A0E" w:rsidRDefault="00C87F2E">
      <w:pPr>
        <w:pStyle w:val="NormalWeb"/>
        <w:spacing w:before="0" w:beforeAutospacing="0" w:after="0" w:afterAutospacing="0"/>
        <w:jc w:val="both"/>
        <w:rPr>
          <w:sz w:val="20"/>
          <w:szCs w:val="20"/>
        </w:rPr>
      </w:pPr>
      <w:r>
        <w:rPr>
          <w:sz w:val="20"/>
          <w:szCs w:val="20"/>
        </w:rPr>
        <w:t> </w:t>
      </w:r>
    </w:p>
    <w:p w14:paraId="77A793D3" w14:textId="77777777" w:rsidR="00DB0A0E" w:rsidRDefault="00C87F2E">
      <w:pPr>
        <w:pStyle w:val="NormalWeb"/>
        <w:spacing w:before="0" w:beforeAutospacing="0" w:after="0" w:afterAutospacing="0"/>
        <w:jc w:val="both"/>
        <w:rPr>
          <w:sz w:val="20"/>
          <w:szCs w:val="20"/>
        </w:rPr>
      </w:pPr>
      <w:r>
        <w:rPr>
          <w:sz w:val="20"/>
          <w:szCs w:val="20"/>
          <w:lang w:val="en-CA"/>
        </w:rPr>
        <w:t xml:space="preserve">The following Management’s Discussion and </w:t>
      </w:r>
      <w:proofErr w:type="spellStart"/>
      <w:r>
        <w:rPr>
          <w:sz w:val="20"/>
          <w:szCs w:val="20"/>
          <w:lang w:val="en-CA"/>
        </w:rPr>
        <w:t>Anaylsis</w:t>
      </w:r>
      <w:proofErr w:type="spellEnd"/>
      <w:r>
        <w:rPr>
          <w:sz w:val="20"/>
          <w:szCs w:val="20"/>
          <w:lang w:val="en-CA"/>
        </w:rPr>
        <w:t xml:space="preserve"> (“MD&amp;A”) is a review of the operations and current financial position for the year ended December 31, 2019 for Trillion International Inc. (“Trillion” or the “Company”) and should be read in conjunction wi</w:t>
      </w:r>
      <w:r>
        <w:rPr>
          <w:sz w:val="20"/>
          <w:szCs w:val="20"/>
          <w:lang w:val="en-CA"/>
        </w:rPr>
        <w:t>th the audited Annual Financial Statements and related notes as at and for the years ended December 31, 2019 and 2018. These documents and additional information relating to the Company, including the Company’s Annual information Form, are available on SED</w:t>
      </w:r>
      <w:r>
        <w:rPr>
          <w:sz w:val="20"/>
          <w:szCs w:val="20"/>
          <w:lang w:val="en-CA"/>
        </w:rPr>
        <w:t xml:space="preserve">AR at </w:t>
      </w:r>
      <w:hyperlink r:id="rId7" w:history="1">
        <w:r>
          <w:rPr>
            <w:rStyle w:val="Hyperlink"/>
            <w:sz w:val="20"/>
            <w:szCs w:val="20"/>
            <w:lang w:val="en-CA"/>
          </w:rPr>
          <w:t>www.sedar.com</w:t>
        </w:r>
      </w:hyperlink>
      <w:r>
        <w:rPr>
          <w:sz w:val="20"/>
          <w:szCs w:val="20"/>
          <w:lang w:val="en-CA"/>
        </w:rPr>
        <w:t xml:space="preserve"> or the Company’s website at </w:t>
      </w:r>
      <w:hyperlink r:id="rId8" w:history="1">
        <w:r>
          <w:rPr>
            <w:rStyle w:val="Hyperlink"/>
            <w:sz w:val="20"/>
            <w:szCs w:val="20"/>
            <w:lang w:val="en-CA"/>
          </w:rPr>
          <w:t>www.trillionenergy.com.</w:t>
        </w:r>
      </w:hyperlink>
    </w:p>
    <w:p w14:paraId="72DEFBBD" w14:textId="77777777" w:rsidR="00DB0A0E" w:rsidRDefault="00C87F2E">
      <w:pPr>
        <w:pStyle w:val="NormalWeb"/>
        <w:spacing w:before="0" w:beforeAutospacing="0" w:after="0" w:afterAutospacing="0"/>
        <w:ind w:hanging="360"/>
        <w:jc w:val="both"/>
        <w:rPr>
          <w:sz w:val="20"/>
          <w:szCs w:val="20"/>
        </w:rPr>
      </w:pPr>
      <w:r>
        <w:rPr>
          <w:sz w:val="20"/>
          <w:szCs w:val="20"/>
        </w:rPr>
        <w:t> </w:t>
      </w:r>
    </w:p>
    <w:p w14:paraId="6F6C65B0" w14:textId="77777777" w:rsidR="00DB0A0E" w:rsidRDefault="00C87F2E">
      <w:pPr>
        <w:pStyle w:val="NormalWeb"/>
        <w:spacing w:before="0" w:beforeAutospacing="0" w:after="0" w:afterAutospacing="0"/>
        <w:jc w:val="both"/>
        <w:rPr>
          <w:sz w:val="20"/>
          <w:szCs w:val="20"/>
          <w:lang w:val="en-CA"/>
        </w:rPr>
      </w:pPr>
      <w:r>
        <w:rPr>
          <w:sz w:val="20"/>
          <w:szCs w:val="20"/>
          <w:lang w:val="en-CA"/>
        </w:rPr>
        <w:t>The information in this MD&amp;A is based on the audited annual financial statements which were prepar</w:t>
      </w:r>
      <w:r>
        <w:rPr>
          <w:sz w:val="20"/>
          <w:szCs w:val="20"/>
          <w:lang w:val="en-CA"/>
        </w:rPr>
        <w:t>ed in accordance with international Financial Reporting Standards (“IFRS”), as issued by the International Accounting Standards Board (“IASB”).</w:t>
      </w:r>
    </w:p>
    <w:p w14:paraId="2C85FDA9" w14:textId="77777777" w:rsidR="00DB0A0E" w:rsidRDefault="00DB0A0E">
      <w:pPr>
        <w:pStyle w:val="NormalWeb"/>
        <w:spacing w:before="0" w:beforeAutospacing="0" w:after="0" w:afterAutospacing="0"/>
        <w:jc w:val="both"/>
        <w:rPr>
          <w:sz w:val="20"/>
          <w:szCs w:val="20"/>
          <w:lang w:val="en-CA"/>
        </w:rPr>
      </w:pPr>
    </w:p>
    <w:p w14:paraId="2B610574" w14:textId="77777777" w:rsidR="00DB0A0E" w:rsidRDefault="00C87F2E">
      <w:pPr>
        <w:pStyle w:val="NormalWeb"/>
        <w:spacing w:before="0" w:beforeAutospacing="0" w:after="0" w:afterAutospacing="0"/>
        <w:jc w:val="both"/>
        <w:rPr>
          <w:sz w:val="20"/>
          <w:szCs w:val="20"/>
          <w:lang w:val="en-CA"/>
        </w:rPr>
      </w:pPr>
      <w:r>
        <w:rPr>
          <w:sz w:val="20"/>
          <w:szCs w:val="20"/>
          <w:lang w:val="en-CA"/>
        </w:rPr>
        <w:t>This MD&amp;A contains non-IFRS measures and forward-looking statements. Readers are cautioned that this document s</w:t>
      </w:r>
      <w:r>
        <w:rPr>
          <w:sz w:val="20"/>
          <w:szCs w:val="20"/>
          <w:lang w:val="en-CA"/>
        </w:rPr>
        <w:t xml:space="preserve">hould be read in conjunction with Trillion’s disclosure under “Non-IFRS and additional IFRS Measures” </w:t>
      </w:r>
      <w:proofErr w:type="gramStart"/>
      <w:r>
        <w:rPr>
          <w:sz w:val="20"/>
          <w:szCs w:val="20"/>
          <w:lang w:val="en-CA"/>
        </w:rPr>
        <w:t>and ”Forward</w:t>
      </w:r>
      <w:proofErr w:type="gramEnd"/>
      <w:r>
        <w:rPr>
          <w:sz w:val="20"/>
          <w:szCs w:val="20"/>
          <w:lang w:val="en-CA"/>
        </w:rPr>
        <w:t xml:space="preserve">-Looking Statements” included at the end of this MD&amp;A. All figures are in </w:t>
      </w:r>
      <w:r>
        <w:rPr>
          <w:sz w:val="20"/>
          <w:szCs w:val="20"/>
          <w:lang w:val="en-CA"/>
        </w:rPr>
        <w:t>US</w:t>
      </w:r>
      <w:r>
        <w:rPr>
          <w:sz w:val="20"/>
          <w:szCs w:val="20"/>
          <w:lang w:val="en-CA"/>
        </w:rPr>
        <w:t xml:space="preserve"> dollars unless otherwise noted.</w:t>
      </w:r>
    </w:p>
    <w:p w14:paraId="441AEA70" w14:textId="77777777" w:rsidR="00DB0A0E" w:rsidRDefault="00C87F2E">
      <w:pPr>
        <w:pStyle w:val="NormalWeb"/>
        <w:spacing w:before="0" w:beforeAutospacing="0" w:after="0" w:afterAutospacing="0"/>
        <w:jc w:val="both"/>
        <w:rPr>
          <w:sz w:val="20"/>
          <w:szCs w:val="20"/>
        </w:rPr>
      </w:pPr>
      <w:r>
        <w:rPr>
          <w:sz w:val="20"/>
          <w:szCs w:val="20"/>
        </w:rPr>
        <w:t> </w:t>
      </w:r>
    </w:p>
    <w:p w14:paraId="57A0A679" w14:textId="77777777" w:rsidR="00DB0A0E" w:rsidRDefault="00C87F2E">
      <w:pPr>
        <w:pStyle w:val="NormalWeb"/>
        <w:spacing w:before="0" w:beforeAutospacing="0" w:after="0" w:afterAutospacing="0"/>
        <w:jc w:val="both"/>
        <w:rPr>
          <w:b/>
          <w:bCs/>
          <w:sz w:val="20"/>
          <w:szCs w:val="20"/>
          <w:lang w:val="en-CA"/>
        </w:rPr>
      </w:pPr>
      <w:r>
        <w:rPr>
          <w:b/>
          <w:bCs/>
          <w:sz w:val="20"/>
          <w:szCs w:val="20"/>
          <w:lang w:val="en-CA"/>
        </w:rPr>
        <w:t>Business Overview</w:t>
      </w:r>
    </w:p>
    <w:p w14:paraId="491F5D5A" w14:textId="77777777" w:rsidR="00DB0A0E" w:rsidRDefault="00C87F2E">
      <w:pPr>
        <w:pStyle w:val="NormalWeb"/>
        <w:spacing w:before="0" w:beforeAutospacing="0" w:after="0" w:afterAutospacing="0"/>
        <w:jc w:val="both"/>
        <w:rPr>
          <w:sz w:val="20"/>
          <w:szCs w:val="20"/>
        </w:rPr>
      </w:pPr>
      <w:r>
        <w:rPr>
          <w:sz w:val="20"/>
          <w:szCs w:val="20"/>
        </w:rPr>
        <w:t> </w:t>
      </w:r>
    </w:p>
    <w:p w14:paraId="534D2707" w14:textId="77777777" w:rsidR="00DB0A0E" w:rsidRDefault="00C87F2E">
      <w:pPr>
        <w:pStyle w:val="NormalWeb"/>
        <w:spacing w:before="0" w:beforeAutospacing="0" w:after="0" w:afterAutospacing="0"/>
        <w:jc w:val="both"/>
        <w:rPr>
          <w:sz w:val="20"/>
          <w:szCs w:val="20"/>
          <w:lang w:val="en-CA"/>
        </w:rPr>
      </w:pPr>
      <w:r>
        <w:rPr>
          <w:sz w:val="20"/>
          <w:szCs w:val="20"/>
          <w:lang w:val="en-CA"/>
        </w:rPr>
        <w:t>Trillion En</w:t>
      </w:r>
      <w:r>
        <w:rPr>
          <w:sz w:val="20"/>
          <w:szCs w:val="20"/>
          <w:lang w:val="en-CA"/>
        </w:rPr>
        <w:t xml:space="preserve">ergy International Inc. Is focused on </w:t>
      </w:r>
      <w:proofErr w:type="gramStart"/>
      <w:r>
        <w:rPr>
          <w:sz w:val="20"/>
          <w:szCs w:val="20"/>
          <w:lang w:val="en-CA"/>
        </w:rPr>
        <w:t>it’s</w:t>
      </w:r>
      <w:proofErr w:type="gramEnd"/>
      <w:r>
        <w:rPr>
          <w:sz w:val="20"/>
          <w:szCs w:val="20"/>
          <w:lang w:val="en-CA"/>
        </w:rPr>
        <w:t xml:space="preserve"> oil and gas producing assets in Turkey and a coal bed methane exploration license in Bulgaria.</w:t>
      </w:r>
    </w:p>
    <w:p w14:paraId="51DF0F82" w14:textId="77777777" w:rsidR="00DB0A0E" w:rsidRDefault="00DB0A0E">
      <w:pPr>
        <w:pStyle w:val="NormalWeb"/>
        <w:spacing w:before="0" w:beforeAutospacing="0" w:after="0" w:afterAutospacing="0"/>
        <w:jc w:val="both"/>
        <w:rPr>
          <w:sz w:val="20"/>
          <w:szCs w:val="20"/>
          <w:lang w:val="en-CA"/>
        </w:rPr>
      </w:pPr>
    </w:p>
    <w:p w14:paraId="7562D181" w14:textId="77777777" w:rsidR="00DB0A0E" w:rsidRDefault="00C87F2E">
      <w:pPr>
        <w:pStyle w:val="NormalWeb"/>
        <w:spacing w:before="0" w:beforeAutospacing="0" w:after="0" w:afterAutospacing="0"/>
        <w:jc w:val="both"/>
        <w:rPr>
          <w:sz w:val="20"/>
          <w:szCs w:val="20"/>
          <w:lang w:val="en-CA"/>
        </w:rPr>
      </w:pPr>
      <w:r>
        <w:rPr>
          <w:sz w:val="20"/>
          <w:szCs w:val="20"/>
          <w:lang w:val="en-CA"/>
        </w:rPr>
        <w:t>Effective April 1, 2019, the Company changed its name from Park Place Energy Inc. (</w:t>
      </w:r>
      <w:proofErr w:type="gramStart"/>
      <w:r>
        <w:rPr>
          <w:sz w:val="20"/>
          <w:szCs w:val="20"/>
          <w:lang w:val="en-CA"/>
        </w:rPr>
        <w:t>OTC:PKPL</w:t>
      </w:r>
      <w:proofErr w:type="gramEnd"/>
      <w:r>
        <w:rPr>
          <w:sz w:val="20"/>
          <w:szCs w:val="20"/>
          <w:lang w:val="en-CA"/>
        </w:rPr>
        <w:t>) to Trillion Energy Inter</w:t>
      </w:r>
      <w:r>
        <w:rPr>
          <w:sz w:val="20"/>
          <w:szCs w:val="20"/>
          <w:lang w:val="en-CA"/>
        </w:rPr>
        <w:t xml:space="preserve">national Inc. (OTC:TCFF). Subsequent to the </w:t>
      </w:r>
      <w:proofErr w:type="gramStart"/>
      <w:r>
        <w:rPr>
          <w:sz w:val="20"/>
          <w:szCs w:val="20"/>
          <w:lang w:val="en-CA"/>
        </w:rPr>
        <w:t>2019 year</w:t>
      </w:r>
      <w:proofErr w:type="gramEnd"/>
      <w:r>
        <w:rPr>
          <w:sz w:val="20"/>
          <w:szCs w:val="20"/>
          <w:lang w:val="en-CA"/>
        </w:rPr>
        <w:t xml:space="preserve"> end on </w:t>
      </w:r>
      <w:r>
        <w:rPr>
          <w:color w:val="FF0000"/>
          <w:sz w:val="20"/>
          <w:szCs w:val="20"/>
          <w:lang w:val="en-CA"/>
        </w:rPr>
        <w:t>Feb 11,</w:t>
      </w:r>
      <w:r>
        <w:rPr>
          <w:sz w:val="20"/>
          <w:szCs w:val="20"/>
          <w:lang w:val="en-CA"/>
        </w:rPr>
        <w:t xml:space="preserve"> 2020 Trillion started trading on the Canadian Security Exchange (CSE:TCF).</w:t>
      </w:r>
    </w:p>
    <w:p w14:paraId="6B0C358D" w14:textId="77777777" w:rsidR="00DB0A0E" w:rsidRDefault="00DB0A0E">
      <w:pPr>
        <w:pStyle w:val="NormalWeb"/>
        <w:spacing w:before="0" w:beforeAutospacing="0" w:after="0" w:afterAutospacing="0"/>
        <w:jc w:val="both"/>
        <w:rPr>
          <w:sz w:val="20"/>
          <w:szCs w:val="20"/>
        </w:rPr>
      </w:pPr>
    </w:p>
    <w:p w14:paraId="4E6F4D72" w14:textId="77777777" w:rsidR="00DB0A0E" w:rsidRDefault="00C87F2E">
      <w:pPr>
        <w:pStyle w:val="NormalWeb"/>
        <w:spacing w:before="0" w:beforeAutospacing="0" w:after="0" w:afterAutospacing="0"/>
        <w:jc w:val="both"/>
        <w:rPr>
          <w:sz w:val="20"/>
          <w:szCs w:val="20"/>
          <w:lang w:val="en-CA"/>
        </w:rPr>
      </w:pPr>
      <w:r>
        <w:rPr>
          <w:sz w:val="20"/>
          <w:szCs w:val="20"/>
          <w:lang w:val="en-CA"/>
        </w:rPr>
        <w:t>The Company is headquartered in Ankara, Turkey and is traded on the CSE under the symbol “TCF” and OTC under th</w:t>
      </w:r>
      <w:r>
        <w:rPr>
          <w:sz w:val="20"/>
          <w:szCs w:val="20"/>
          <w:lang w:val="en-CA"/>
        </w:rPr>
        <w:t>e symbol “TCFF”.</w:t>
      </w:r>
    </w:p>
    <w:p w14:paraId="1EFAE58F" w14:textId="77777777" w:rsidR="00DB0A0E" w:rsidRDefault="00DB0A0E">
      <w:pPr>
        <w:pStyle w:val="NormalWeb"/>
        <w:spacing w:before="0" w:beforeAutospacing="0" w:after="0" w:afterAutospacing="0"/>
        <w:jc w:val="both"/>
        <w:rPr>
          <w:sz w:val="20"/>
          <w:szCs w:val="20"/>
        </w:rPr>
      </w:pPr>
    </w:p>
    <w:p w14:paraId="1A455BF2" w14:textId="77777777" w:rsidR="00DB0A0E" w:rsidRDefault="00C87F2E">
      <w:pPr>
        <w:pStyle w:val="NormalWeb"/>
        <w:spacing w:before="0" w:beforeAutospacing="0" w:after="0" w:afterAutospacing="0"/>
        <w:jc w:val="both"/>
        <w:rPr>
          <w:iCs/>
          <w:sz w:val="20"/>
          <w:szCs w:val="20"/>
        </w:rPr>
      </w:pPr>
      <w:bookmarkStart w:id="0" w:name="_Hlk16085851"/>
      <w:r>
        <w:rPr>
          <w:iCs/>
          <w:sz w:val="20"/>
          <w:szCs w:val="20"/>
        </w:rPr>
        <w:t>Turkey</w:t>
      </w:r>
    </w:p>
    <w:p w14:paraId="71E500D8" w14:textId="77777777" w:rsidR="00DB0A0E" w:rsidRDefault="00DB0A0E">
      <w:pPr>
        <w:pStyle w:val="NormalWeb"/>
        <w:spacing w:before="0" w:beforeAutospacing="0" w:after="0" w:afterAutospacing="0"/>
        <w:jc w:val="both"/>
        <w:rPr>
          <w:iCs/>
          <w:sz w:val="20"/>
          <w:szCs w:val="20"/>
        </w:rPr>
      </w:pPr>
    </w:p>
    <w:p w14:paraId="795E4591" w14:textId="77777777" w:rsidR="00DB0A0E" w:rsidRDefault="00C87F2E">
      <w:pPr>
        <w:pStyle w:val="NormalWeb"/>
        <w:spacing w:before="0" w:beforeAutospacing="0" w:after="0" w:afterAutospacing="0"/>
        <w:jc w:val="both"/>
        <w:rPr>
          <w:iCs/>
          <w:sz w:val="20"/>
          <w:szCs w:val="20"/>
          <w:lang w:val="en-CA"/>
        </w:rPr>
      </w:pPr>
      <w:r>
        <w:rPr>
          <w:iCs/>
          <w:sz w:val="20"/>
          <w:szCs w:val="20"/>
          <w:lang w:val="en-CA"/>
        </w:rPr>
        <w:t xml:space="preserve">On January 18, </w:t>
      </w:r>
      <w:proofErr w:type="gramStart"/>
      <w:r>
        <w:rPr>
          <w:iCs/>
          <w:sz w:val="20"/>
          <w:szCs w:val="20"/>
          <w:lang w:val="en-CA"/>
        </w:rPr>
        <w:t>2017,  the</w:t>
      </w:r>
      <w:proofErr w:type="gramEnd"/>
      <w:r>
        <w:rPr>
          <w:iCs/>
          <w:sz w:val="20"/>
          <w:szCs w:val="20"/>
          <w:lang w:val="en-CA"/>
        </w:rPr>
        <w:t xml:space="preserve"> Company completed the acquisition of three oil and gas exploration and production companies operating in Turkey (the “</w:t>
      </w:r>
      <w:proofErr w:type="spellStart"/>
      <w:r>
        <w:rPr>
          <w:iCs/>
          <w:sz w:val="20"/>
          <w:szCs w:val="20"/>
          <w:lang w:val="en-CA"/>
        </w:rPr>
        <w:t>Tiway</w:t>
      </w:r>
      <w:proofErr w:type="spellEnd"/>
      <w:r>
        <w:rPr>
          <w:iCs/>
          <w:sz w:val="20"/>
          <w:szCs w:val="20"/>
          <w:lang w:val="en-CA"/>
        </w:rPr>
        <w:t xml:space="preserve"> Companies”). As a result of the acquisition of  the </w:t>
      </w:r>
      <w:proofErr w:type="spellStart"/>
      <w:r>
        <w:rPr>
          <w:iCs/>
          <w:sz w:val="20"/>
          <w:szCs w:val="20"/>
          <w:lang w:val="en-CA"/>
        </w:rPr>
        <w:t>Tiway</w:t>
      </w:r>
      <w:proofErr w:type="spellEnd"/>
      <w:r>
        <w:rPr>
          <w:iCs/>
          <w:sz w:val="20"/>
          <w:szCs w:val="20"/>
          <w:lang w:val="en-CA"/>
        </w:rPr>
        <w:t xml:space="preserve"> Companies Trillion now</w:t>
      </w:r>
      <w:r>
        <w:rPr>
          <w:iCs/>
          <w:sz w:val="20"/>
          <w:szCs w:val="20"/>
          <w:lang w:val="en-CA"/>
        </w:rPr>
        <w:t xml:space="preserve"> owns interests in the producing </w:t>
      </w:r>
      <w:proofErr w:type="spellStart"/>
      <w:r>
        <w:rPr>
          <w:iCs/>
          <w:sz w:val="20"/>
          <w:szCs w:val="20"/>
          <w:lang w:val="en-CA"/>
        </w:rPr>
        <w:t>Cendere</w:t>
      </w:r>
      <w:proofErr w:type="spellEnd"/>
      <w:r>
        <w:rPr>
          <w:iCs/>
          <w:sz w:val="20"/>
          <w:szCs w:val="20"/>
          <w:lang w:val="en-CA"/>
        </w:rPr>
        <w:t xml:space="preserve"> oil field, in the producing South </w:t>
      </w:r>
      <w:proofErr w:type="spellStart"/>
      <w:r>
        <w:rPr>
          <w:iCs/>
          <w:sz w:val="20"/>
          <w:szCs w:val="20"/>
          <w:lang w:val="en-CA"/>
        </w:rPr>
        <w:t>Akcakoca</w:t>
      </w:r>
      <w:proofErr w:type="spellEnd"/>
      <w:r>
        <w:rPr>
          <w:iCs/>
          <w:sz w:val="20"/>
          <w:szCs w:val="20"/>
          <w:lang w:val="en-CA"/>
        </w:rPr>
        <w:t xml:space="preserve"> Sub-Basin (“SASB”) gas field, and in the shut in </w:t>
      </w:r>
      <w:proofErr w:type="spellStart"/>
      <w:r>
        <w:rPr>
          <w:iCs/>
          <w:sz w:val="20"/>
          <w:szCs w:val="20"/>
          <w:lang w:val="en-CA"/>
        </w:rPr>
        <w:t>Bakuk</w:t>
      </w:r>
      <w:proofErr w:type="spellEnd"/>
      <w:r>
        <w:rPr>
          <w:iCs/>
          <w:sz w:val="20"/>
          <w:szCs w:val="20"/>
          <w:lang w:val="en-CA"/>
        </w:rPr>
        <w:t xml:space="preserve"> gas field all in Turkey. We have changed the name of the </w:t>
      </w:r>
      <w:proofErr w:type="spellStart"/>
      <w:r>
        <w:rPr>
          <w:iCs/>
          <w:sz w:val="20"/>
          <w:szCs w:val="20"/>
          <w:lang w:val="en-CA"/>
        </w:rPr>
        <w:t>Tiway</w:t>
      </w:r>
      <w:proofErr w:type="spellEnd"/>
      <w:r>
        <w:rPr>
          <w:iCs/>
          <w:sz w:val="20"/>
          <w:szCs w:val="20"/>
          <w:lang w:val="en-CA"/>
        </w:rPr>
        <w:t xml:space="preserve"> Companies to include Park Place in the name so hereina</w:t>
      </w:r>
      <w:r>
        <w:rPr>
          <w:iCs/>
          <w:sz w:val="20"/>
          <w:szCs w:val="20"/>
          <w:lang w:val="en-CA"/>
        </w:rPr>
        <w:t>fter we will refer to them as “PPE Turkey”.</w:t>
      </w:r>
    </w:p>
    <w:p w14:paraId="309FC97B" w14:textId="77777777" w:rsidR="00DB0A0E" w:rsidRDefault="00DB0A0E">
      <w:pPr>
        <w:pStyle w:val="NormalWeb"/>
        <w:spacing w:before="0" w:beforeAutospacing="0" w:after="0" w:afterAutospacing="0"/>
        <w:jc w:val="both"/>
        <w:rPr>
          <w:iCs/>
          <w:sz w:val="20"/>
          <w:szCs w:val="20"/>
          <w:lang w:val="en-CA"/>
        </w:rPr>
      </w:pPr>
    </w:p>
    <w:p w14:paraId="7D014C9F" w14:textId="77777777" w:rsidR="00DB0A0E" w:rsidRDefault="00C87F2E">
      <w:pPr>
        <w:pStyle w:val="NormalWeb"/>
        <w:spacing w:before="0" w:beforeAutospacing="0" w:after="0" w:afterAutospacing="0"/>
        <w:jc w:val="both"/>
        <w:rPr>
          <w:iCs/>
          <w:sz w:val="20"/>
          <w:szCs w:val="20"/>
          <w:lang w:val="en-CA"/>
        </w:rPr>
      </w:pPr>
      <w:r>
        <w:rPr>
          <w:iCs/>
          <w:sz w:val="20"/>
          <w:szCs w:val="20"/>
          <w:lang w:val="en-CA"/>
        </w:rPr>
        <w:t xml:space="preserve">PPE Turkey own 19.6% interest in the onshore </w:t>
      </w:r>
      <w:proofErr w:type="spellStart"/>
      <w:r>
        <w:rPr>
          <w:iCs/>
          <w:sz w:val="20"/>
          <w:szCs w:val="20"/>
          <w:lang w:val="en-CA"/>
        </w:rPr>
        <w:t>Cendere</w:t>
      </w:r>
      <w:proofErr w:type="spellEnd"/>
      <w:r>
        <w:rPr>
          <w:iCs/>
          <w:sz w:val="20"/>
          <w:szCs w:val="20"/>
          <w:lang w:val="en-CA"/>
        </w:rPr>
        <w:t xml:space="preserve"> oil field except three wells where PPE Turkey owns 9.8% interest. PPE owns 49% working interest in the offshore SASB.</w:t>
      </w:r>
    </w:p>
    <w:p w14:paraId="35E560E8" w14:textId="77777777" w:rsidR="00DB0A0E" w:rsidRDefault="00DB0A0E">
      <w:pPr>
        <w:pStyle w:val="NormalWeb"/>
        <w:spacing w:before="0" w:beforeAutospacing="0" w:after="0" w:afterAutospacing="0"/>
        <w:jc w:val="both"/>
        <w:rPr>
          <w:iCs/>
          <w:sz w:val="20"/>
          <w:szCs w:val="20"/>
          <w:lang w:val="en-CA"/>
        </w:rPr>
      </w:pPr>
    </w:p>
    <w:p w14:paraId="3BC3628C" w14:textId="77777777" w:rsidR="00DB0A0E" w:rsidRDefault="00C87F2E">
      <w:pPr>
        <w:pStyle w:val="NormalWeb"/>
        <w:spacing w:before="0" w:beforeAutospacing="0" w:after="0" w:afterAutospacing="0"/>
        <w:jc w:val="both"/>
        <w:rPr>
          <w:iCs/>
          <w:sz w:val="20"/>
          <w:szCs w:val="20"/>
          <w:lang w:val="en-CA"/>
        </w:rPr>
      </w:pPr>
      <w:r>
        <w:rPr>
          <w:iCs/>
          <w:sz w:val="20"/>
          <w:szCs w:val="20"/>
          <w:lang w:val="en-CA"/>
        </w:rPr>
        <w:t>At December 31, 2019, net production to</w:t>
      </w:r>
      <w:r>
        <w:rPr>
          <w:iCs/>
          <w:sz w:val="20"/>
          <w:szCs w:val="20"/>
          <w:lang w:val="en-CA"/>
        </w:rPr>
        <w:t xml:space="preserve"> PPE Turkey from such fields was 181 barrels of oil equivalent per day for </w:t>
      </w:r>
      <w:proofErr w:type="spellStart"/>
      <w:r>
        <w:rPr>
          <w:iCs/>
          <w:sz w:val="20"/>
          <w:szCs w:val="20"/>
          <w:lang w:val="en-CA"/>
        </w:rPr>
        <w:t>Boe</w:t>
      </w:r>
      <w:proofErr w:type="spellEnd"/>
      <w:r>
        <w:rPr>
          <w:iCs/>
          <w:sz w:val="20"/>
          <w:szCs w:val="20"/>
          <w:lang w:val="en-CA"/>
        </w:rPr>
        <w:t xml:space="preserve">/d. For the year 2019, net production to PPE Turkey averaged 191 </w:t>
      </w:r>
      <w:proofErr w:type="spellStart"/>
      <w:r>
        <w:rPr>
          <w:iCs/>
          <w:sz w:val="20"/>
          <w:szCs w:val="20"/>
          <w:lang w:val="en-CA"/>
        </w:rPr>
        <w:t>Boe</w:t>
      </w:r>
      <w:proofErr w:type="spellEnd"/>
      <w:r>
        <w:rPr>
          <w:iCs/>
          <w:sz w:val="20"/>
          <w:szCs w:val="20"/>
          <w:lang w:val="en-CA"/>
        </w:rPr>
        <w:t xml:space="preserve">/d. Due to the acquisition of PPE Turkey, the Company is now a qualified oil and gas operator in Turkey. With </w:t>
      </w:r>
      <w:r>
        <w:rPr>
          <w:iCs/>
          <w:sz w:val="20"/>
          <w:szCs w:val="20"/>
          <w:lang w:val="en-CA"/>
        </w:rPr>
        <w:t>this base of operations in Turkey and its experienced management team the Company is poised to exploit these assets and for further growth in the region.</w:t>
      </w:r>
    </w:p>
    <w:p w14:paraId="51A86C86" w14:textId="77777777" w:rsidR="00DB0A0E" w:rsidRDefault="00DB0A0E">
      <w:pPr>
        <w:pStyle w:val="NormalWeb"/>
        <w:spacing w:before="0" w:beforeAutospacing="0" w:after="0" w:afterAutospacing="0"/>
        <w:jc w:val="both"/>
        <w:rPr>
          <w:i/>
          <w:sz w:val="20"/>
          <w:szCs w:val="20"/>
        </w:rPr>
      </w:pPr>
    </w:p>
    <w:bookmarkEnd w:id="0"/>
    <w:p w14:paraId="45583E73" w14:textId="77777777" w:rsidR="00DB0A0E" w:rsidRDefault="00C87F2E">
      <w:pPr>
        <w:pStyle w:val="NormalWeb"/>
        <w:spacing w:before="0" w:beforeAutospacing="0" w:after="0" w:afterAutospacing="0"/>
        <w:jc w:val="both"/>
        <w:rPr>
          <w:sz w:val="20"/>
          <w:szCs w:val="20"/>
          <w:lang w:val="en-CA"/>
        </w:rPr>
      </w:pPr>
      <w:r>
        <w:rPr>
          <w:sz w:val="20"/>
          <w:szCs w:val="20"/>
          <w:lang w:val="en-CA"/>
        </w:rPr>
        <w:t xml:space="preserve">The </w:t>
      </w:r>
      <w:proofErr w:type="spellStart"/>
      <w:r>
        <w:rPr>
          <w:sz w:val="20"/>
          <w:szCs w:val="20"/>
          <w:lang w:val="en-CA"/>
        </w:rPr>
        <w:t>Cendere</w:t>
      </w:r>
      <w:proofErr w:type="spellEnd"/>
      <w:r>
        <w:rPr>
          <w:sz w:val="20"/>
          <w:szCs w:val="20"/>
          <w:lang w:val="en-CA"/>
        </w:rPr>
        <w:t xml:space="preserve"> onshore oil field </w:t>
      </w:r>
      <w:proofErr w:type="gramStart"/>
      <w:r>
        <w:rPr>
          <w:sz w:val="20"/>
          <w:szCs w:val="20"/>
          <w:lang w:val="en-CA"/>
        </w:rPr>
        <w:t>is located in</w:t>
      </w:r>
      <w:proofErr w:type="gramEnd"/>
      <w:r>
        <w:rPr>
          <w:sz w:val="20"/>
          <w:szCs w:val="20"/>
          <w:lang w:val="en-CA"/>
        </w:rPr>
        <w:t xml:space="preserve"> South East Turkey and has a total of 25 wells. At </w:t>
      </w:r>
      <w:proofErr w:type="gramStart"/>
      <w:r>
        <w:rPr>
          <w:sz w:val="20"/>
          <w:szCs w:val="20"/>
          <w:lang w:val="en-CA"/>
        </w:rPr>
        <w:t>December 31, 2019</w:t>
      </w:r>
      <w:proofErr w:type="gramEnd"/>
      <w:r>
        <w:rPr>
          <w:sz w:val="20"/>
          <w:szCs w:val="20"/>
          <w:lang w:val="en-CA"/>
        </w:rPr>
        <w:t xml:space="preserve"> the gross oil production rate for the producing wells in </w:t>
      </w:r>
      <w:proofErr w:type="spellStart"/>
      <w:r>
        <w:rPr>
          <w:sz w:val="20"/>
          <w:szCs w:val="20"/>
          <w:lang w:val="en-CA"/>
        </w:rPr>
        <w:t>Cendere</w:t>
      </w:r>
      <w:proofErr w:type="spellEnd"/>
      <w:r>
        <w:rPr>
          <w:sz w:val="20"/>
          <w:szCs w:val="20"/>
          <w:lang w:val="en-CA"/>
        </w:rPr>
        <w:t xml:space="preserve"> was 702 barrels oil per day (</w:t>
      </w:r>
      <w:proofErr w:type="spellStart"/>
      <w:r>
        <w:rPr>
          <w:sz w:val="20"/>
          <w:szCs w:val="20"/>
          <w:lang w:val="en-CA"/>
        </w:rPr>
        <w:t>bopd</w:t>
      </w:r>
      <w:proofErr w:type="spellEnd"/>
      <w:r>
        <w:rPr>
          <w:sz w:val="20"/>
          <w:szCs w:val="20"/>
          <w:lang w:val="en-CA"/>
        </w:rPr>
        <w:t xml:space="preserve">), the average daily 2019 gross production rate for the field was 790 </w:t>
      </w:r>
      <w:proofErr w:type="spellStart"/>
      <w:r>
        <w:rPr>
          <w:sz w:val="20"/>
          <w:szCs w:val="20"/>
          <w:lang w:val="en-CA"/>
        </w:rPr>
        <w:t>bopd</w:t>
      </w:r>
      <w:proofErr w:type="spellEnd"/>
      <w:r>
        <w:rPr>
          <w:sz w:val="20"/>
          <w:szCs w:val="20"/>
          <w:lang w:val="en-CA"/>
        </w:rPr>
        <w:t>. At the end of March 2020, oil is currently sold at a price of ap</w:t>
      </w:r>
      <w:r>
        <w:rPr>
          <w:sz w:val="20"/>
          <w:szCs w:val="20"/>
          <w:lang w:val="en-CA"/>
        </w:rPr>
        <w:t xml:space="preserve">proximately US$32 per barrel for a netback per barrel of approximately US$1. At year-end 2019 the </w:t>
      </w:r>
      <w:proofErr w:type="spellStart"/>
      <w:r>
        <w:rPr>
          <w:sz w:val="20"/>
          <w:szCs w:val="20"/>
          <w:lang w:val="en-CA"/>
        </w:rPr>
        <w:t>Cendere</w:t>
      </w:r>
      <w:proofErr w:type="spellEnd"/>
      <w:r>
        <w:rPr>
          <w:sz w:val="20"/>
          <w:szCs w:val="20"/>
          <w:lang w:val="en-CA"/>
        </w:rPr>
        <w:t xml:space="preserve"> field was producing 115 </w:t>
      </w:r>
      <w:proofErr w:type="spellStart"/>
      <w:r>
        <w:rPr>
          <w:sz w:val="20"/>
          <w:szCs w:val="20"/>
          <w:lang w:val="en-CA"/>
        </w:rPr>
        <w:t>bopd</w:t>
      </w:r>
      <w:proofErr w:type="spellEnd"/>
      <w:r>
        <w:rPr>
          <w:sz w:val="20"/>
          <w:szCs w:val="20"/>
          <w:lang w:val="en-CA"/>
        </w:rPr>
        <w:t xml:space="preserve"> net to PPE Turkey and averaged 127 </w:t>
      </w:r>
      <w:proofErr w:type="spellStart"/>
      <w:r>
        <w:rPr>
          <w:sz w:val="20"/>
          <w:szCs w:val="20"/>
          <w:lang w:val="en-CA"/>
        </w:rPr>
        <w:t>bopd</w:t>
      </w:r>
      <w:proofErr w:type="spellEnd"/>
      <w:r>
        <w:rPr>
          <w:sz w:val="20"/>
          <w:szCs w:val="20"/>
          <w:lang w:val="en-CA"/>
        </w:rPr>
        <w:t xml:space="preserve"> during 2019 net to PPE Turkey.</w:t>
      </w:r>
    </w:p>
    <w:p w14:paraId="65609F96" w14:textId="77777777" w:rsidR="00DB0A0E" w:rsidRDefault="00DB0A0E">
      <w:pPr>
        <w:pStyle w:val="NormalWeb"/>
        <w:spacing w:before="0" w:beforeAutospacing="0" w:after="0" w:afterAutospacing="0"/>
        <w:jc w:val="both"/>
        <w:rPr>
          <w:sz w:val="20"/>
          <w:szCs w:val="20"/>
          <w:lang w:val="en-CA"/>
        </w:rPr>
      </w:pPr>
    </w:p>
    <w:p w14:paraId="46D72737" w14:textId="77777777" w:rsidR="00DB0A0E" w:rsidRDefault="00C87F2E">
      <w:pPr>
        <w:pStyle w:val="NormalWeb"/>
        <w:spacing w:before="0" w:beforeAutospacing="0" w:after="0" w:afterAutospacing="0"/>
        <w:jc w:val="both"/>
        <w:rPr>
          <w:sz w:val="20"/>
          <w:szCs w:val="20"/>
          <w:lang w:val="en-CA"/>
        </w:rPr>
      </w:pPr>
      <w:r>
        <w:rPr>
          <w:sz w:val="20"/>
          <w:szCs w:val="20"/>
          <w:lang w:val="en-CA"/>
        </w:rPr>
        <w:t>SASB has four producing fields, each with a produ</w:t>
      </w:r>
      <w:r>
        <w:rPr>
          <w:sz w:val="20"/>
          <w:szCs w:val="20"/>
          <w:lang w:val="en-CA"/>
        </w:rPr>
        <w:t xml:space="preserve">ction platform plus subsea pipelines that connect the fields to an onshore gas </w:t>
      </w:r>
      <w:proofErr w:type="spellStart"/>
      <w:proofErr w:type="gramStart"/>
      <w:r>
        <w:rPr>
          <w:sz w:val="20"/>
          <w:szCs w:val="20"/>
          <w:lang w:val="en-CA"/>
        </w:rPr>
        <w:t>plant.The</w:t>
      </w:r>
      <w:proofErr w:type="spellEnd"/>
      <w:proofErr w:type="gramEnd"/>
      <w:r>
        <w:rPr>
          <w:sz w:val="20"/>
          <w:szCs w:val="20"/>
          <w:lang w:val="en-CA"/>
        </w:rPr>
        <w:t xml:space="preserve"> SASB fields are located off the north coast of Turkey towards the western end of the Black Sea. Total gross production to date from the four fields is </w:t>
      </w:r>
      <w:proofErr w:type="gramStart"/>
      <w:r>
        <w:rPr>
          <w:sz w:val="20"/>
          <w:szCs w:val="20"/>
          <w:lang w:val="en-CA"/>
        </w:rPr>
        <w:t>in excess of</w:t>
      </w:r>
      <w:proofErr w:type="gramEnd"/>
      <w:r>
        <w:rPr>
          <w:sz w:val="20"/>
          <w:szCs w:val="20"/>
          <w:lang w:val="en-CA"/>
        </w:rPr>
        <w:t xml:space="preserve"> 40 </w:t>
      </w:r>
      <w:proofErr w:type="spellStart"/>
      <w:r>
        <w:rPr>
          <w:sz w:val="20"/>
          <w:szCs w:val="20"/>
          <w:lang w:val="en-CA"/>
        </w:rPr>
        <w:t>Bcf</w:t>
      </w:r>
      <w:proofErr w:type="spellEnd"/>
      <w:r>
        <w:rPr>
          <w:sz w:val="20"/>
          <w:szCs w:val="20"/>
          <w:lang w:val="en-CA"/>
        </w:rPr>
        <w:t>.</w:t>
      </w:r>
    </w:p>
    <w:p w14:paraId="47084E22" w14:textId="77777777" w:rsidR="00DB0A0E" w:rsidRDefault="00DB0A0E">
      <w:pPr>
        <w:pStyle w:val="NormalWeb"/>
        <w:spacing w:before="0" w:beforeAutospacing="0" w:after="0" w:afterAutospacing="0"/>
        <w:jc w:val="both"/>
        <w:rPr>
          <w:sz w:val="20"/>
          <w:szCs w:val="20"/>
          <w:lang w:val="en-CA"/>
        </w:rPr>
      </w:pPr>
    </w:p>
    <w:p w14:paraId="24AA506F" w14:textId="77777777" w:rsidR="00DB0A0E" w:rsidRDefault="00C87F2E">
      <w:pPr>
        <w:pStyle w:val="NormalWeb"/>
        <w:spacing w:before="0" w:beforeAutospacing="0" w:after="0" w:afterAutospacing="0"/>
        <w:jc w:val="both"/>
        <w:rPr>
          <w:sz w:val="20"/>
          <w:szCs w:val="20"/>
          <w:lang w:val="en-CA"/>
        </w:rPr>
      </w:pPr>
      <w:r>
        <w:rPr>
          <w:sz w:val="20"/>
          <w:szCs w:val="20"/>
          <w:lang w:val="en-CA"/>
        </w:rPr>
        <w:t xml:space="preserve">At </w:t>
      </w:r>
      <w:proofErr w:type="gramStart"/>
      <w:r>
        <w:rPr>
          <w:sz w:val="20"/>
          <w:szCs w:val="20"/>
          <w:lang w:val="en-CA"/>
        </w:rPr>
        <w:t>December 31, 2019</w:t>
      </w:r>
      <w:proofErr w:type="gramEnd"/>
      <w:r>
        <w:rPr>
          <w:sz w:val="20"/>
          <w:szCs w:val="20"/>
          <w:lang w:val="en-CA"/>
        </w:rPr>
        <w:t xml:space="preserve"> the gross gas production rate for the 4 producing wells in SASB was 0.807 </w:t>
      </w:r>
      <w:proofErr w:type="spellStart"/>
      <w:r>
        <w:rPr>
          <w:sz w:val="20"/>
          <w:szCs w:val="20"/>
          <w:lang w:val="en-CA"/>
        </w:rPr>
        <w:t>MMcfd</w:t>
      </w:r>
      <w:proofErr w:type="spellEnd"/>
      <w:r>
        <w:rPr>
          <w:sz w:val="20"/>
          <w:szCs w:val="20"/>
          <w:lang w:val="en-CA"/>
        </w:rPr>
        <w:t xml:space="preserve">: the average daily 2019 gross production rate for the field was 1.04 </w:t>
      </w:r>
      <w:proofErr w:type="spellStart"/>
      <w:r>
        <w:rPr>
          <w:sz w:val="20"/>
          <w:szCs w:val="20"/>
          <w:lang w:val="en-CA"/>
        </w:rPr>
        <w:t>MMcfd</w:t>
      </w:r>
      <w:proofErr w:type="spellEnd"/>
      <w:r>
        <w:rPr>
          <w:sz w:val="20"/>
          <w:szCs w:val="20"/>
          <w:lang w:val="en-CA"/>
        </w:rPr>
        <w:t xml:space="preserve">. At the end of February 2020. Gas is currently sold at a </w:t>
      </w:r>
      <w:proofErr w:type="spellStart"/>
      <w:r>
        <w:rPr>
          <w:sz w:val="20"/>
          <w:szCs w:val="20"/>
          <w:lang w:val="en-CA"/>
        </w:rPr>
        <w:t>prce</w:t>
      </w:r>
      <w:proofErr w:type="spellEnd"/>
      <w:r>
        <w:rPr>
          <w:sz w:val="20"/>
          <w:szCs w:val="20"/>
          <w:lang w:val="en-CA"/>
        </w:rPr>
        <w:t xml:space="preserve"> of approxima</w:t>
      </w:r>
      <w:r>
        <w:rPr>
          <w:sz w:val="20"/>
          <w:szCs w:val="20"/>
          <w:lang w:val="en-CA"/>
        </w:rPr>
        <w:t xml:space="preserve">tely US$7.01 per Mcf for a netback per Mcf of approximately US$1.65. The low netback is the result of high fixed op </w:t>
      </w:r>
      <w:proofErr w:type="gramStart"/>
      <w:r>
        <w:rPr>
          <w:sz w:val="20"/>
          <w:szCs w:val="20"/>
          <w:lang w:val="en-CA"/>
        </w:rPr>
        <w:t>costs, once</w:t>
      </w:r>
      <w:proofErr w:type="gramEnd"/>
      <w:r>
        <w:rPr>
          <w:sz w:val="20"/>
          <w:szCs w:val="20"/>
          <w:lang w:val="en-CA"/>
        </w:rPr>
        <w:t xml:space="preserve"> gas rate per day is increased the net back increases substantially. </w:t>
      </w:r>
    </w:p>
    <w:p w14:paraId="34DC833F" w14:textId="77777777" w:rsidR="00DB0A0E" w:rsidRDefault="00C87F2E">
      <w:pPr>
        <w:pStyle w:val="NormalWeb"/>
        <w:spacing w:before="0" w:beforeAutospacing="0" w:after="0" w:afterAutospacing="0"/>
        <w:jc w:val="both"/>
        <w:rPr>
          <w:sz w:val="20"/>
          <w:szCs w:val="20"/>
        </w:rPr>
      </w:pPr>
      <w:r>
        <w:rPr>
          <w:sz w:val="20"/>
          <w:szCs w:val="20"/>
        </w:rPr>
        <w:t> </w:t>
      </w:r>
    </w:p>
    <w:p w14:paraId="0AA3E853" w14:textId="77777777" w:rsidR="00DB0A0E" w:rsidRDefault="00C87F2E">
      <w:pPr>
        <w:pStyle w:val="NormalWeb"/>
        <w:spacing w:before="0" w:beforeAutospacing="0" w:after="0" w:afterAutospacing="0"/>
        <w:jc w:val="both"/>
        <w:rPr>
          <w:sz w:val="20"/>
          <w:szCs w:val="20"/>
          <w:lang w:val="en-CA"/>
        </w:rPr>
      </w:pPr>
      <w:r>
        <w:rPr>
          <w:sz w:val="20"/>
          <w:szCs w:val="20"/>
          <w:lang w:val="en-CA"/>
        </w:rPr>
        <w:t xml:space="preserve">With the acquisition of </w:t>
      </w:r>
      <w:proofErr w:type="gramStart"/>
      <w:r>
        <w:rPr>
          <w:sz w:val="20"/>
          <w:szCs w:val="20"/>
          <w:lang w:val="en-CA"/>
        </w:rPr>
        <w:t>PPE Turkey</w:t>
      </w:r>
      <w:proofErr w:type="gramEnd"/>
      <w:r>
        <w:rPr>
          <w:sz w:val="20"/>
          <w:szCs w:val="20"/>
          <w:lang w:val="en-CA"/>
        </w:rPr>
        <w:t xml:space="preserve"> the Company </w:t>
      </w:r>
      <w:proofErr w:type="spellStart"/>
      <w:r>
        <w:rPr>
          <w:sz w:val="20"/>
          <w:szCs w:val="20"/>
          <w:lang w:val="en-CA"/>
        </w:rPr>
        <w:t>aslo</w:t>
      </w:r>
      <w:proofErr w:type="spellEnd"/>
      <w:r>
        <w:rPr>
          <w:sz w:val="20"/>
          <w:szCs w:val="20"/>
          <w:lang w:val="en-CA"/>
        </w:rPr>
        <w:t xml:space="preserve"> acqui</w:t>
      </w:r>
      <w:r>
        <w:rPr>
          <w:sz w:val="20"/>
          <w:szCs w:val="20"/>
          <w:lang w:val="en-CA"/>
        </w:rPr>
        <w:t xml:space="preserve">red another oil and gas assed, a 50% operated interest in the </w:t>
      </w:r>
      <w:proofErr w:type="spellStart"/>
      <w:r>
        <w:rPr>
          <w:sz w:val="20"/>
          <w:szCs w:val="20"/>
          <w:lang w:val="en-CA"/>
        </w:rPr>
        <w:t>Bakuk</w:t>
      </w:r>
      <w:proofErr w:type="spellEnd"/>
      <w:r>
        <w:rPr>
          <w:sz w:val="20"/>
          <w:szCs w:val="20"/>
          <w:lang w:val="en-CA"/>
        </w:rPr>
        <w:t xml:space="preserve"> gas field located near the Syrian border. The </w:t>
      </w:r>
      <w:proofErr w:type="spellStart"/>
      <w:r>
        <w:rPr>
          <w:sz w:val="20"/>
          <w:szCs w:val="20"/>
          <w:lang w:val="en-CA"/>
        </w:rPr>
        <w:t>Bakuk</w:t>
      </w:r>
      <w:proofErr w:type="spellEnd"/>
      <w:r>
        <w:rPr>
          <w:sz w:val="20"/>
          <w:szCs w:val="20"/>
          <w:lang w:val="en-CA"/>
        </w:rPr>
        <w:t xml:space="preserve"> field is </w:t>
      </w:r>
      <w:proofErr w:type="gramStart"/>
      <w:r>
        <w:rPr>
          <w:sz w:val="20"/>
          <w:szCs w:val="20"/>
          <w:lang w:val="en-CA"/>
        </w:rPr>
        <w:t>shut-in.</w:t>
      </w:r>
      <w:proofErr w:type="gramEnd"/>
    </w:p>
    <w:p w14:paraId="4D1462DC" w14:textId="77777777" w:rsidR="00DB0A0E" w:rsidRDefault="00DB0A0E">
      <w:pPr>
        <w:pStyle w:val="NormalWeb"/>
        <w:spacing w:before="0" w:beforeAutospacing="0" w:after="0" w:afterAutospacing="0"/>
        <w:jc w:val="both"/>
        <w:rPr>
          <w:sz w:val="20"/>
          <w:szCs w:val="20"/>
        </w:rPr>
      </w:pPr>
    </w:p>
    <w:p w14:paraId="2221804B" w14:textId="77777777" w:rsidR="00DB0A0E" w:rsidRDefault="00C87F2E">
      <w:pPr>
        <w:pStyle w:val="NormalWeb"/>
        <w:spacing w:before="0" w:beforeAutospacing="0" w:after="0" w:afterAutospacing="0"/>
        <w:jc w:val="both"/>
        <w:rPr>
          <w:i/>
          <w:sz w:val="20"/>
          <w:szCs w:val="20"/>
        </w:rPr>
      </w:pPr>
      <w:r>
        <w:rPr>
          <w:i/>
          <w:sz w:val="20"/>
          <w:szCs w:val="20"/>
        </w:rPr>
        <w:t>Bulgaria</w:t>
      </w:r>
    </w:p>
    <w:p w14:paraId="7A438613" w14:textId="77777777" w:rsidR="00DB0A0E" w:rsidRDefault="00DB0A0E">
      <w:pPr>
        <w:pStyle w:val="NormalWeb"/>
        <w:spacing w:before="0" w:beforeAutospacing="0" w:after="0" w:afterAutospacing="0"/>
        <w:jc w:val="both"/>
        <w:rPr>
          <w:sz w:val="20"/>
          <w:szCs w:val="20"/>
        </w:rPr>
      </w:pPr>
    </w:p>
    <w:p w14:paraId="0B7B7606" w14:textId="77777777" w:rsidR="00DB0A0E" w:rsidRDefault="00C87F2E">
      <w:pPr>
        <w:pStyle w:val="NormalWeb"/>
        <w:spacing w:before="0" w:beforeAutospacing="0" w:after="0" w:afterAutospacing="0"/>
        <w:jc w:val="both"/>
        <w:rPr>
          <w:sz w:val="20"/>
          <w:szCs w:val="20"/>
          <w:lang w:val="en-CA"/>
        </w:rPr>
      </w:pPr>
      <w:r>
        <w:rPr>
          <w:sz w:val="20"/>
          <w:szCs w:val="20"/>
          <w:lang w:val="en-CA"/>
        </w:rPr>
        <w:t>In October of 2010 the Company was awarded an exploration permit for the “</w:t>
      </w:r>
      <w:proofErr w:type="spellStart"/>
      <w:r>
        <w:rPr>
          <w:sz w:val="20"/>
          <w:szCs w:val="20"/>
          <w:lang w:val="en-CA"/>
        </w:rPr>
        <w:t>Vranino</w:t>
      </w:r>
      <w:proofErr w:type="spellEnd"/>
      <w:r>
        <w:rPr>
          <w:sz w:val="20"/>
          <w:szCs w:val="20"/>
          <w:lang w:val="en-CA"/>
        </w:rPr>
        <w:t xml:space="preserve"> 1-11 Block”, a </w:t>
      </w:r>
      <w:proofErr w:type="gramStart"/>
      <w:r>
        <w:rPr>
          <w:sz w:val="20"/>
          <w:szCs w:val="20"/>
          <w:lang w:val="en-CA"/>
        </w:rPr>
        <w:t>98,205 acr</w:t>
      </w:r>
      <w:r>
        <w:rPr>
          <w:sz w:val="20"/>
          <w:szCs w:val="20"/>
          <w:lang w:val="en-CA"/>
        </w:rPr>
        <w:t>e</w:t>
      </w:r>
      <w:proofErr w:type="gramEnd"/>
      <w:r>
        <w:rPr>
          <w:sz w:val="20"/>
          <w:szCs w:val="20"/>
          <w:lang w:val="en-CA"/>
        </w:rPr>
        <w:t xml:space="preserve">, </w:t>
      </w:r>
      <w:r>
        <w:rPr>
          <w:sz w:val="20"/>
          <w:szCs w:val="20"/>
          <w:lang w:val="en-CA"/>
        </w:rPr>
        <w:t>(</w:t>
      </w:r>
      <w:r>
        <w:rPr>
          <w:sz w:val="20"/>
          <w:szCs w:val="20"/>
          <w:lang w:val="en-CA"/>
        </w:rPr>
        <w:t>39,742 hectare</w:t>
      </w:r>
      <w:r>
        <w:rPr>
          <w:rStyle w:val="CommentReference"/>
          <w:lang w:val="en-CA"/>
        </w:rPr>
        <w:t xml:space="preserve">) </w:t>
      </w:r>
      <w:r>
        <w:rPr>
          <w:sz w:val="20"/>
          <w:szCs w:val="20"/>
          <w:lang w:val="en-CA"/>
        </w:rPr>
        <w:t xml:space="preserve">oil and gas exploration land located in </w:t>
      </w:r>
      <w:proofErr w:type="spellStart"/>
      <w:r>
        <w:rPr>
          <w:sz w:val="20"/>
          <w:szCs w:val="20"/>
          <w:lang w:val="en-CA"/>
        </w:rPr>
        <w:t>Dobrudja</w:t>
      </w:r>
      <w:proofErr w:type="spellEnd"/>
      <w:r>
        <w:rPr>
          <w:sz w:val="20"/>
          <w:szCs w:val="20"/>
          <w:lang w:val="en-CA"/>
        </w:rPr>
        <w:t xml:space="preserve"> Basin, Bulgaria, but the Bulgarian Counsel of Ministers. On </w:t>
      </w:r>
      <w:proofErr w:type="gramStart"/>
      <w:r>
        <w:rPr>
          <w:sz w:val="20"/>
          <w:szCs w:val="20"/>
          <w:lang w:val="en-CA"/>
        </w:rPr>
        <w:t>April 1, 2014</w:t>
      </w:r>
      <w:proofErr w:type="gramEnd"/>
      <w:r>
        <w:rPr>
          <w:sz w:val="20"/>
          <w:szCs w:val="20"/>
          <w:lang w:val="en-CA"/>
        </w:rPr>
        <w:t xml:space="preserve"> the Company entered into an Agreement for Crude Oil and Natural Gas Prospecting and Exploration in the </w:t>
      </w:r>
      <w:proofErr w:type="spellStart"/>
      <w:r>
        <w:rPr>
          <w:sz w:val="20"/>
          <w:szCs w:val="20"/>
          <w:lang w:val="en-CA"/>
        </w:rPr>
        <w:t>Vranino</w:t>
      </w:r>
      <w:proofErr w:type="spellEnd"/>
      <w:r>
        <w:rPr>
          <w:sz w:val="20"/>
          <w:szCs w:val="20"/>
          <w:lang w:val="en-CA"/>
        </w:rPr>
        <w:t xml:space="preserve"> 1-</w:t>
      </w:r>
      <w:r>
        <w:rPr>
          <w:sz w:val="20"/>
          <w:szCs w:val="20"/>
          <w:lang w:val="en-CA"/>
        </w:rPr>
        <w:t>11 Block with the Ministry of Economy and Energy of Bulgaria (the “License Agreement”). The initial term of the License Agreement is five years. This five-year period will commence once the Bulgarian regulatory authorities approve of the Company’s work pro</w:t>
      </w:r>
      <w:r>
        <w:rPr>
          <w:sz w:val="20"/>
          <w:szCs w:val="20"/>
          <w:lang w:val="en-CA"/>
        </w:rPr>
        <w:t>grams for the permit area and can be extended up to 35 years.</w:t>
      </w:r>
    </w:p>
    <w:p w14:paraId="1A6B860B" w14:textId="77777777" w:rsidR="00DB0A0E" w:rsidRDefault="00DB0A0E">
      <w:pPr>
        <w:pStyle w:val="NormalWeb"/>
        <w:spacing w:before="0" w:beforeAutospacing="0" w:after="0" w:afterAutospacing="0"/>
        <w:jc w:val="both"/>
        <w:rPr>
          <w:sz w:val="20"/>
          <w:szCs w:val="20"/>
          <w:lang w:val="en-CA"/>
        </w:rPr>
      </w:pPr>
    </w:p>
    <w:p w14:paraId="2A0220E0" w14:textId="77777777" w:rsidR="00DB0A0E" w:rsidRDefault="00C87F2E">
      <w:pPr>
        <w:pStyle w:val="NormalWeb"/>
        <w:spacing w:before="0" w:beforeAutospacing="0" w:after="0" w:afterAutospacing="0"/>
        <w:jc w:val="both"/>
        <w:rPr>
          <w:sz w:val="20"/>
          <w:szCs w:val="20"/>
        </w:rPr>
      </w:pPr>
      <w:r>
        <w:rPr>
          <w:sz w:val="20"/>
          <w:szCs w:val="20"/>
          <w:lang w:val="en-CA"/>
        </w:rPr>
        <w:t>Before the license for the Bulgarian CBM project is “effective” the Company’s overall work program and first year annual work program must be approved by both the Bulgarian environmental minist</w:t>
      </w:r>
      <w:r>
        <w:rPr>
          <w:sz w:val="20"/>
          <w:szCs w:val="20"/>
          <w:lang w:val="en-CA"/>
        </w:rPr>
        <w:t xml:space="preserve">ry and the energy ministry. On August 26, 2014, the Bulgarian Environmental agency approved the Company’s overall work program and first year annual work program. </w:t>
      </w:r>
      <w:proofErr w:type="gramStart"/>
      <w:r>
        <w:rPr>
          <w:sz w:val="20"/>
          <w:szCs w:val="20"/>
          <w:lang w:val="en-CA"/>
        </w:rPr>
        <w:t>A number of</w:t>
      </w:r>
      <w:proofErr w:type="gramEnd"/>
      <w:r>
        <w:rPr>
          <w:sz w:val="20"/>
          <w:szCs w:val="20"/>
          <w:lang w:val="en-CA"/>
        </w:rPr>
        <w:t xml:space="preserve"> parties appealed the decision of the environmental agency and an appeal proceedin</w:t>
      </w:r>
      <w:r>
        <w:rPr>
          <w:sz w:val="20"/>
          <w:szCs w:val="20"/>
          <w:lang w:val="en-CA"/>
        </w:rPr>
        <w:t>g was commenced before a three-judge administrative panel. The three-judge panel issued a decision on February 3, 2017 in which it ruled that the environmental agency had failed to follow its own regulations in approving the Company’s work programs. Both t</w:t>
      </w:r>
      <w:r>
        <w:rPr>
          <w:sz w:val="20"/>
          <w:szCs w:val="20"/>
          <w:lang w:val="en-CA"/>
        </w:rPr>
        <w:t>he environmental agency and the Company have appealed the decision to a five-judge panel whose decision will be final. A final decision was issued in favour of the Company during 2017.</w:t>
      </w:r>
    </w:p>
    <w:p w14:paraId="2EB3F2CA" w14:textId="77777777" w:rsidR="00DB0A0E" w:rsidRDefault="00DB0A0E">
      <w:pPr>
        <w:pStyle w:val="NormalWeb"/>
        <w:spacing w:before="0" w:beforeAutospacing="0" w:after="0" w:afterAutospacing="0"/>
        <w:jc w:val="both"/>
        <w:rPr>
          <w:sz w:val="20"/>
          <w:szCs w:val="20"/>
        </w:rPr>
      </w:pPr>
    </w:p>
    <w:p w14:paraId="4875F8D0" w14:textId="77777777" w:rsidR="00DB0A0E" w:rsidRDefault="00C87F2E">
      <w:pPr>
        <w:pStyle w:val="NormalWeb"/>
        <w:spacing w:before="0" w:beforeAutospacing="0" w:after="0" w:afterAutospacing="0"/>
        <w:jc w:val="both"/>
        <w:rPr>
          <w:sz w:val="20"/>
          <w:szCs w:val="20"/>
        </w:rPr>
      </w:pPr>
      <w:r>
        <w:rPr>
          <w:sz w:val="20"/>
          <w:szCs w:val="20"/>
        </w:rPr>
        <w:t> </w:t>
      </w:r>
      <w:r>
        <w:rPr>
          <w:b/>
          <w:bCs/>
          <w:sz w:val="20"/>
          <w:szCs w:val="20"/>
          <w:lang w:val="en-CA"/>
        </w:rPr>
        <w:t>Operating Results</w:t>
      </w:r>
      <w:r>
        <w:rPr>
          <w:b/>
          <w:bCs/>
          <w:sz w:val="20"/>
          <w:szCs w:val="20"/>
        </w:rPr>
        <w:t xml:space="preserve"> </w:t>
      </w:r>
    </w:p>
    <w:p w14:paraId="70D71DB3" w14:textId="77777777" w:rsidR="00DB0A0E" w:rsidRDefault="00DB0A0E">
      <w:pPr>
        <w:pStyle w:val="NormalWeb"/>
        <w:spacing w:before="0" w:beforeAutospacing="0" w:after="0" w:afterAutospacing="0"/>
        <w:jc w:val="both"/>
        <w:rPr>
          <w:sz w:val="20"/>
          <w:szCs w:val="20"/>
        </w:rPr>
      </w:pPr>
    </w:p>
    <w:p w14:paraId="079B4994" w14:textId="77777777" w:rsidR="00DB0A0E" w:rsidRDefault="00C87F2E">
      <w:pPr>
        <w:pStyle w:val="NormalWeb"/>
        <w:spacing w:before="0" w:beforeAutospacing="0" w:after="0" w:afterAutospacing="0"/>
        <w:jc w:val="both"/>
        <w:rPr>
          <w:sz w:val="20"/>
          <w:szCs w:val="20"/>
        </w:rPr>
      </w:pPr>
      <w:r>
        <w:rPr>
          <w:sz w:val="20"/>
          <w:szCs w:val="20"/>
        </w:rPr>
        <w:t>The following summary of our results of operation</w:t>
      </w:r>
      <w:r>
        <w:rPr>
          <w:sz w:val="20"/>
          <w:szCs w:val="20"/>
        </w:rPr>
        <w:t>s should be read in conjunction with our</w:t>
      </w:r>
      <w:r>
        <w:rPr>
          <w:sz w:val="20"/>
          <w:szCs w:val="20"/>
          <w:lang w:val="en-CA"/>
        </w:rPr>
        <w:t xml:space="preserve"> audited year end </w:t>
      </w:r>
      <w:r>
        <w:rPr>
          <w:sz w:val="20"/>
          <w:szCs w:val="20"/>
        </w:rPr>
        <w:t xml:space="preserve">condensed consolidated financial statements for the periods ended </w:t>
      </w:r>
      <w:r>
        <w:rPr>
          <w:sz w:val="20"/>
          <w:szCs w:val="20"/>
          <w:lang w:val="en-CA"/>
        </w:rPr>
        <w:t>December 31,</w:t>
      </w:r>
      <w:r>
        <w:rPr>
          <w:sz w:val="20"/>
          <w:szCs w:val="20"/>
        </w:rPr>
        <w:t xml:space="preserve"> 2019 and 2018 which are included herein.</w:t>
      </w:r>
    </w:p>
    <w:p w14:paraId="6B625575" w14:textId="77777777" w:rsidR="00DB0A0E" w:rsidRDefault="00DB0A0E">
      <w:pPr>
        <w:pStyle w:val="NormalWeb"/>
        <w:spacing w:before="0" w:beforeAutospacing="0" w:after="0" w:afterAutospacing="0"/>
        <w:jc w:val="both"/>
        <w:rPr>
          <w:sz w:val="20"/>
          <w:szCs w:val="20"/>
        </w:rPr>
      </w:pPr>
    </w:p>
    <w:p w14:paraId="3675472A" w14:textId="77777777" w:rsidR="00DB0A0E" w:rsidRDefault="00C87F2E">
      <w:pPr>
        <w:pStyle w:val="NormalWeb"/>
        <w:spacing w:before="0" w:beforeAutospacing="0" w:after="0" w:afterAutospacing="0"/>
        <w:jc w:val="both"/>
        <w:rPr>
          <w:sz w:val="20"/>
          <w:szCs w:val="20"/>
          <w:lang w:val="en-CA"/>
        </w:rPr>
      </w:pPr>
      <w:r>
        <w:rPr>
          <w:sz w:val="20"/>
          <w:szCs w:val="20"/>
          <w:lang w:val="en-CA"/>
        </w:rPr>
        <w:t>Production Net</w:t>
      </w:r>
    </w:p>
    <w:tbl>
      <w:tblPr>
        <w:tblStyle w:val="TableGrid"/>
        <w:tblW w:w="8522" w:type="dxa"/>
        <w:tblLayout w:type="fixed"/>
        <w:tblLook w:val="04A0" w:firstRow="1" w:lastRow="0" w:firstColumn="1" w:lastColumn="0" w:noHBand="0" w:noVBand="1"/>
      </w:tblPr>
      <w:tblGrid>
        <w:gridCol w:w="2840"/>
        <w:gridCol w:w="2841"/>
        <w:gridCol w:w="2841"/>
      </w:tblGrid>
      <w:tr w:rsidR="00DB0A0E" w14:paraId="73CC39C3" w14:textId="77777777">
        <w:tc>
          <w:tcPr>
            <w:tcW w:w="2840" w:type="dxa"/>
          </w:tcPr>
          <w:p w14:paraId="4C37F232" w14:textId="77777777" w:rsidR="00DB0A0E" w:rsidRDefault="00C87F2E">
            <w:pPr>
              <w:pStyle w:val="NormalWeb"/>
              <w:spacing w:before="0" w:beforeAutospacing="0" w:after="0" w:afterAutospacing="0"/>
              <w:rPr>
                <w:sz w:val="20"/>
                <w:szCs w:val="20"/>
                <w:lang w:val="en-CA"/>
              </w:rPr>
            </w:pPr>
            <w:r>
              <w:rPr>
                <w:sz w:val="20"/>
                <w:szCs w:val="20"/>
                <w:lang w:val="en-CA"/>
              </w:rPr>
              <w:t>By Production</w:t>
            </w:r>
          </w:p>
        </w:tc>
        <w:tc>
          <w:tcPr>
            <w:tcW w:w="2841" w:type="dxa"/>
          </w:tcPr>
          <w:p w14:paraId="19533D23" w14:textId="77777777" w:rsidR="00DB0A0E" w:rsidRDefault="00C87F2E">
            <w:pPr>
              <w:pStyle w:val="NormalWeb"/>
              <w:spacing w:before="0" w:beforeAutospacing="0" w:after="0" w:afterAutospacing="0"/>
              <w:rPr>
                <w:sz w:val="20"/>
                <w:szCs w:val="20"/>
                <w:lang w:val="en-CA"/>
              </w:rPr>
            </w:pPr>
            <w:r>
              <w:rPr>
                <w:sz w:val="20"/>
                <w:szCs w:val="20"/>
                <w:lang w:val="en-CA"/>
              </w:rPr>
              <w:t>Year Ended Dec 31, 2018</w:t>
            </w:r>
          </w:p>
        </w:tc>
        <w:tc>
          <w:tcPr>
            <w:tcW w:w="2841" w:type="dxa"/>
          </w:tcPr>
          <w:p w14:paraId="295D1A71" w14:textId="77777777" w:rsidR="00DB0A0E" w:rsidRDefault="00C87F2E">
            <w:pPr>
              <w:pStyle w:val="NormalWeb"/>
              <w:spacing w:before="0" w:beforeAutospacing="0" w:after="0" w:afterAutospacing="0"/>
              <w:rPr>
                <w:sz w:val="20"/>
                <w:szCs w:val="20"/>
                <w:lang w:val="en-CA"/>
              </w:rPr>
            </w:pPr>
            <w:r>
              <w:rPr>
                <w:sz w:val="20"/>
                <w:szCs w:val="20"/>
                <w:lang w:val="en-CA"/>
              </w:rPr>
              <w:t>Year Ended Dec 31, 2019</w:t>
            </w:r>
          </w:p>
        </w:tc>
      </w:tr>
      <w:tr w:rsidR="00DB0A0E" w14:paraId="0F1ECA25" w14:textId="77777777">
        <w:tc>
          <w:tcPr>
            <w:tcW w:w="2840" w:type="dxa"/>
          </w:tcPr>
          <w:p w14:paraId="7CD0F070" w14:textId="77777777" w:rsidR="00DB0A0E" w:rsidRDefault="00C87F2E">
            <w:pPr>
              <w:pStyle w:val="NormalWeb"/>
              <w:spacing w:before="0" w:beforeAutospacing="0" w:after="0" w:afterAutospacing="0"/>
              <w:rPr>
                <w:sz w:val="20"/>
                <w:szCs w:val="20"/>
                <w:lang w:val="en-CA"/>
              </w:rPr>
            </w:pPr>
            <w:r>
              <w:rPr>
                <w:sz w:val="20"/>
                <w:szCs w:val="20"/>
                <w:lang w:val="en-CA"/>
              </w:rPr>
              <w:t>Oil (bb/d)</w:t>
            </w:r>
          </w:p>
        </w:tc>
        <w:tc>
          <w:tcPr>
            <w:tcW w:w="2841" w:type="dxa"/>
          </w:tcPr>
          <w:p w14:paraId="76A4E99A" w14:textId="77777777" w:rsidR="00DB0A0E" w:rsidRDefault="00C87F2E">
            <w:pPr>
              <w:pStyle w:val="NormalWeb"/>
              <w:spacing w:before="0" w:beforeAutospacing="0" w:after="0" w:afterAutospacing="0"/>
              <w:jc w:val="center"/>
              <w:rPr>
                <w:sz w:val="20"/>
                <w:szCs w:val="20"/>
                <w:lang w:val="en-CA"/>
              </w:rPr>
            </w:pPr>
            <w:r>
              <w:rPr>
                <w:sz w:val="20"/>
                <w:szCs w:val="20"/>
                <w:lang w:val="en-CA"/>
              </w:rPr>
              <w:t xml:space="preserve">130 </w:t>
            </w:r>
          </w:p>
        </w:tc>
        <w:tc>
          <w:tcPr>
            <w:tcW w:w="2841" w:type="dxa"/>
          </w:tcPr>
          <w:p w14:paraId="2FA2AEF5" w14:textId="77777777" w:rsidR="00DB0A0E" w:rsidRDefault="00C87F2E">
            <w:pPr>
              <w:pStyle w:val="NormalWeb"/>
              <w:spacing w:before="0" w:beforeAutospacing="0" w:after="0" w:afterAutospacing="0"/>
              <w:jc w:val="center"/>
              <w:rPr>
                <w:sz w:val="20"/>
                <w:szCs w:val="20"/>
                <w:lang w:val="en-CA"/>
              </w:rPr>
            </w:pPr>
            <w:r>
              <w:rPr>
                <w:sz w:val="20"/>
                <w:szCs w:val="20"/>
                <w:lang w:val="en-CA"/>
              </w:rPr>
              <w:t>127</w:t>
            </w:r>
          </w:p>
        </w:tc>
      </w:tr>
      <w:tr w:rsidR="00DB0A0E" w14:paraId="051A9148" w14:textId="77777777">
        <w:tc>
          <w:tcPr>
            <w:tcW w:w="2840" w:type="dxa"/>
          </w:tcPr>
          <w:p w14:paraId="2B3D9874" w14:textId="77777777" w:rsidR="00DB0A0E" w:rsidRDefault="00C87F2E">
            <w:pPr>
              <w:pStyle w:val="NormalWeb"/>
              <w:spacing w:before="0" w:beforeAutospacing="0" w:after="0" w:afterAutospacing="0"/>
              <w:rPr>
                <w:sz w:val="20"/>
                <w:szCs w:val="20"/>
                <w:lang w:val="en-CA"/>
              </w:rPr>
            </w:pPr>
            <w:r>
              <w:rPr>
                <w:sz w:val="20"/>
                <w:szCs w:val="20"/>
                <w:lang w:val="en-CA"/>
              </w:rPr>
              <w:t>Natural Gas (</w:t>
            </w:r>
            <w:proofErr w:type="spellStart"/>
            <w:r>
              <w:rPr>
                <w:sz w:val="20"/>
                <w:szCs w:val="20"/>
                <w:lang w:val="en-CA"/>
              </w:rPr>
              <w:t>MMcf</w:t>
            </w:r>
            <w:proofErr w:type="spellEnd"/>
            <w:r>
              <w:rPr>
                <w:sz w:val="20"/>
                <w:szCs w:val="20"/>
                <w:lang w:val="en-CA"/>
              </w:rPr>
              <w:t>/d)</w:t>
            </w:r>
          </w:p>
        </w:tc>
        <w:tc>
          <w:tcPr>
            <w:tcW w:w="2841" w:type="dxa"/>
          </w:tcPr>
          <w:p w14:paraId="750E57A7" w14:textId="77777777" w:rsidR="00DB0A0E" w:rsidRDefault="00C87F2E">
            <w:pPr>
              <w:pStyle w:val="NormalWeb"/>
              <w:spacing w:before="0" w:beforeAutospacing="0" w:after="0" w:afterAutospacing="0"/>
              <w:jc w:val="center"/>
              <w:rPr>
                <w:sz w:val="20"/>
                <w:szCs w:val="20"/>
                <w:lang w:val="en-CA"/>
              </w:rPr>
            </w:pPr>
            <w:r>
              <w:rPr>
                <w:sz w:val="20"/>
                <w:szCs w:val="20"/>
                <w:lang w:val="en-CA"/>
              </w:rPr>
              <w:t>0.510</w:t>
            </w:r>
          </w:p>
        </w:tc>
        <w:tc>
          <w:tcPr>
            <w:tcW w:w="2841" w:type="dxa"/>
          </w:tcPr>
          <w:p w14:paraId="4245A6BE" w14:textId="77777777" w:rsidR="00DB0A0E" w:rsidRDefault="00C87F2E">
            <w:pPr>
              <w:pStyle w:val="NormalWeb"/>
              <w:spacing w:before="0" w:beforeAutospacing="0" w:after="0" w:afterAutospacing="0"/>
              <w:jc w:val="center"/>
              <w:rPr>
                <w:sz w:val="20"/>
                <w:szCs w:val="20"/>
                <w:lang w:val="en-CA"/>
              </w:rPr>
            </w:pPr>
            <w:r>
              <w:rPr>
                <w:sz w:val="20"/>
                <w:szCs w:val="20"/>
                <w:lang w:val="en-CA"/>
              </w:rPr>
              <w:t xml:space="preserve">0.489 </w:t>
            </w:r>
          </w:p>
        </w:tc>
      </w:tr>
      <w:tr w:rsidR="00DB0A0E" w14:paraId="613B915F" w14:textId="77777777">
        <w:tc>
          <w:tcPr>
            <w:tcW w:w="2840" w:type="dxa"/>
          </w:tcPr>
          <w:p w14:paraId="67442ADB" w14:textId="77777777" w:rsidR="00DB0A0E" w:rsidRDefault="00C87F2E">
            <w:pPr>
              <w:pStyle w:val="NormalWeb"/>
              <w:spacing w:before="0" w:beforeAutospacing="0" w:after="0" w:afterAutospacing="0"/>
              <w:rPr>
                <w:sz w:val="20"/>
                <w:szCs w:val="20"/>
                <w:lang w:val="en-CA"/>
              </w:rPr>
            </w:pPr>
            <w:r>
              <w:rPr>
                <w:sz w:val="20"/>
                <w:szCs w:val="20"/>
                <w:lang w:val="en-CA"/>
              </w:rPr>
              <w:t>Total (</w:t>
            </w:r>
            <w:proofErr w:type="spellStart"/>
            <w:r>
              <w:rPr>
                <w:sz w:val="20"/>
                <w:szCs w:val="20"/>
                <w:lang w:val="en-CA"/>
              </w:rPr>
              <w:t>boe</w:t>
            </w:r>
            <w:proofErr w:type="spellEnd"/>
            <w:r>
              <w:rPr>
                <w:sz w:val="20"/>
                <w:szCs w:val="20"/>
                <w:lang w:val="en-CA"/>
              </w:rPr>
              <w:t>/d)</w:t>
            </w:r>
          </w:p>
        </w:tc>
        <w:tc>
          <w:tcPr>
            <w:tcW w:w="2841" w:type="dxa"/>
          </w:tcPr>
          <w:p w14:paraId="3D2CFA23" w14:textId="77777777" w:rsidR="00DB0A0E" w:rsidRDefault="00C87F2E">
            <w:pPr>
              <w:pStyle w:val="NormalWeb"/>
              <w:spacing w:before="0" w:beforeAutospacing="0" w:after="0" w:afterAutospacing="0"/>
              <w:jc w:val="center"/>
              <w:rPr>
                <w:sz w:val="20"/>
                <w:szCs w:val="20"/>
                <w:lang w:val="en-CA"/>
              </w:rPr>
            </w:pPr>
            <w:r>
              <w:rPr>
                <w:sz w:val="20"/>
                <w:szCs w:val="20"/>
                <w:lang w:val="en-CA"/>
              </w:rPr>
              <w:t xml:space="preserve">198 </w:t>
            </w:r>
          </w:p>
        </w:tc>
        <w:tc>
          <w:tcPr>
            <w:tcW w:w="2841" w:type="dxa"/>
          </w:tcPr>
          <w:p w14:paraId="0184DDBF" w14:textId="77777777" w:rsidR="00DB0A0E" w:rsidRDefault="00C87F2E">
            <w:pPr>
              <w:pStyle w:val="NormalWeb"/>
              <w:spacing w:before="0" w:beforeAutospacing="0" w:after="0" w:afterAutospacing="0"/>
              <w:jc w:val="center"/>
              <w:rPr>
                <w:sz w:val="20"/>
                <w:szCs w:val="20"/>
                <w:lang w:val="en-CA"/>
              </w:rPr>
            </w:pPr>
            <w:r>
              <w:rPr>
                <w:sz w:val="20"/>
                <w:szCs w:val="20"/>
                <w:lang w:val="en-CA"/>
              </w:rPr>
              <w:t>191</w:t>
            </w:r>
          </w:p>
        </w:tc>
      </w:tr>
      <w:tr w:rsidR="00DB0A0E" w14:paraId="67F3FACF" w14:textId="77777777">
        <w:tc>
          <w:tcPr>
            <w:tcW w:w="2840" w:type="dxa"/>
          </w:tcPr>
          <w:p w14:paraId="4544D110" w14:textId="77777777" w:rsidR="00DB0A0E" w:rsidRDefault="00C87F2E">
            <w:pPr>
              <w:pStyle w:val="NormalWeb"/>
              <w:spacing w:before="0" w:beforeAutospacing="0" w:after="0" w:afterAutospacing="0"/>
              <w:rPr>
                <w:sz w:val="20"/>
                <w:szCs w:val="20"/>
                <w:lang w:val="en-CA"/>
              </w:rPr>
            </w:pPr>
            <w:r>
              <w:rPr>
                <w:sz w:val="20"/>
                <w:szCs w:val="20"/>
                <w:lang w:val="en-CA"/>
              </w:rPr>
              <w:t>Oil &amp; NGL weighting</w:t>
            </w:r>
          </w:p>
        </w:tc>
        <w:tc>
          <w:tcPr>
            <w:tcW w:w="2841" w:type="dxa"/>
          </w:tcPr>
          <w:p w14:paraId="7C153929" w14:textId="77777777" w:rsidR="00DB0A0E" w:rsidRDefault="00DB0A0E">
            <w:pPr>
              <w:pStyle w:val="NormalWeb"/>
              <w:spacing w:before="0" w:beforeAutospacing="0" w:after="0" w:afterAutospacing="0"/>
              <w:jc w:val="center"/>
              <w:rPr>
                <w:sz w:val="20"/>
                <w:szCs w:val="20"/>
              </w:rPr>
            </w:pPr>
          </w:p>
        </w:tc>
        <w:tc>
          <w:tcPr>
            <w:tcW w:w="2841" w:type="dxa"/>
          </w:tcPr>
          <w:p w14:paraId="553EDEBE" w14:textId="77777777" w:rsidR="00DB0A0E" w:rsidRDefault="00DB0A0E">
            <w:pPr>
              <w:pStyle w:val="NormalWeb"/>
              <w:spacing w:before="0" w:beforeAutospacing="0" w:after="0" w:afterAutospacing="0"/>
              <w:jc w:val="center"/>
              <w:rPr>
                <w:sz w:val="20"/>
                <w:szCs w:val="20"/>
              </w:rPr>
            </w:pPr>
          </w:p>
        </w:tc>
      </w:tr>
    </w:tbl>
    <w:p w14:paraId="15E9C499" w14:textId="77777777" w:rsidR="00DB0A0E" w:rsidRDefault="00DB0A0E">
      <w:pPr>
        <w:pStyle w:val="NormalWeb"/>
        <w:spacing w:before="0" w:beforeAutospacing="0" w:after="0" w:afterAutospacing="0"/>
        <w:jc w:val="both"/>
        <w:rPr>
          <w:sz w:val="20"/>
          <w:szCs w:val="20"/>
        </w:rPr>
      </w:pPr>
    </w:p>
    <w:p w14:paraId="4427DC8D" w14:textId="77777777" w:rsidR="00DB0A0E" w:rsidRDefault="00C87F2E">
      <w:pPr>
        <w:pStyle w:val="NormalWeb"/>
        <w:spacing w:before="0" w:beforeAutospacing="0" w:after="0" w:afterAutospacing="0"/>
        <w:jc w:val="both"/>
        <w:rPr>
          <w:sz w:val="20"/>
          <w:szCs w:val="20"/>
        </w:rPr>
      </w:pPr>
      <w:r>
        <w:rPr>
          <w:sz w:val="20"/>
          <w:szCs w:val="20"/>
          <w:lang w:val="en-CA"/>
        </w:rPr>
        <w:t xml:space="preserve">The Company’s average daily production for the year ending December 31, 2019 was 191 </w:t>
      </w:r>
      <w:proofErr w:type="spellStart"/>
      <w:r>
        <w:rPr>
          <w:sz w:val="20"/>
          <w:szCs w:val="20"/>
          <w:lang w:val="en-CA"/>
        </w:rPr>
        <w:t>boe</w:t>
      </w:r>
      <w:proofErr w:type="spellEnd"/>
      <w:r>
        <w:rPr>
          <w:sz w:val="20"/>
          <w:szCs w:val="20"/>
          <w:lang w:val="en-CA"/>
        </w:rPr>
        <w:t xml:space="preserve">/d and for the year ending December 31, 2018 was </w:t>
      </w:r>
      <w:r>
        <w:rPr>
          <w:sz w:val="20"/>
          <w:szCs w:val="20"/>
          <w:lang w:val="en-CA"/>
        </w:rPr>
        <w:t>198boe/d illustrating the consistent production.</w:t>
      </w:r>
      <w:r>
        <w:rPr>
          <w:sz w:val="20"/>
          <w:szCs w:val="20"/>
        </w:rPr>
        <w:t> </w:t>
      </w:r>
    </w:p>
    <w:p w14:paraId="4844E530" w14:textId="77777777" w:rsidR="00DB0A0E" w:rsidRDefault="00DB0A0E">
      <w:pPr>
        <w:pStyle w:val="NormalWeb"/>
        <w:spacing w:before="0" w:beforeAutospacing="0" w:after="0" w:afterAutospacing="0"/>
        <w:jc w:val="both"/>
        <w:rPr>
          <w:sz w:val="20"/>
          <w:szCs w:val="20"/>
        </w:rPr>
      </w:pPr>
    </w:p>
    <w:p w14:paraId="161945B8" w14:textId="77777777" w:rsidR="00DB0A0E" w:rsidRDefault="00C87F2E">
      <w:pPr>
        <w:pStyle w:val="NormalWeb"/>
        <w:spacing w:before="0" w:beforeAutospacing="0" w:after="0" w:afterAutospacing="0"/>
        <w:jc w:val="both"/>
        <w:rPr>
          <w:sz w:val="20"/>
          <w:szCs w:val="20"/>
          <w:lang w:val="en-CA"/>
        </w:rPr>
      </w:pPr>
      <w:r>
        <w:rPr>
          <w:sz w:val="20"/>
          <w:szCs w:val="20"/>
          <w:lang w:val="en-CA"/>
        </w:rPr>
        <w:t>Average Realized Price</w:t>
      </w:r>
    </w:p>
    <w:tbl>
      <w:tblPr>
        <w:tblStyle w:val="TableGrid"/>
        <w:tblW w:w="8522" w:type="dxa"/>
        <w:tblLayout w:type="fixed"/>
        <w:tblLook w:val="04A0" w:firstRow="1" w:lastRow="0" w:firstColumn="1" w:lastColumn="0" w:noHBand="0" w:noVBand="1"/>
      </w:tblPr>
      <w:tblGrid>
        <w:gridCol w:w="2840"/>
        <w:gridCol w:w="2841"/>
        <w:gridCol w:w="2841"/>
      </w:tblGrid>
      <w:tr w:rsidR="00DB0A0E" w14:paraId="69B9164E" w14:textId="77777777">
        <w:tc>
          <w:tcPr>
            <w:tcW w:w="2840" w:type="dxa"/>
          </w:tcPr>
          <w:p w14:paraId="6294712B" w14:textId="77777777" w:rsidR="00DB0A0E" w:rsidRDefault="00DB0A0E">
            <w:pPr>
              <w:pStyle w:val="NormalWeb"/>
              <w:spacing w:before="0" w:beforeAutospacing="0" w:after="0" w:afterAutospacing="0"/>
              <w:rPr>
                <w:sz w:val="20"/>
                <w:szCs w:val="20"/>
                <w:lang w:val="en-CA"/>
              </w:rPr>
            </w:pPr>
          </w:p>
        </w:tc>
        <w:tc>
          <w:tcPr>
            <w:tcW w:w="2841" w:type="dxa"/>
          </w:tcPr>
          <w:p w14:paraId="73C669D7" w14:textId="77777777" w:rsidR="00DB0A0E" w:rsidRDefault="00C87F2E">
            <w:pPr>
              <w:pStyle w:val="NormalWeb"/>
              <w:spacing w:before="0" w:beforeAutospacing="0" w:after="0" w:afterAutospacing="0"/>
              <w:jc w:val="center"/>
              <w:rPr>
                <w:sz w:val="20"/>
                <w:szCs w:val="20"/>
                <w:lang w:val="en-CA"/>
              </w:rPr>
            </w:pPr>
            <w:r>
              <w:rPr>
                <w:sz w:val="20"/>
                <w:szCs w:val="20"/>
                <w:lang w:val="en-CA"/>
              </w:rPr>
              <w:t>2018</w:t>
            </w:r>
          </w:p>
        </w:tc>
        <w:tc>
          <w:tcPr>
            <w:tcW w:w="2841" w:type="dxa"/>
          </w:tcPr>
          <w:p w14:paraId="1DD75A8A" w14:textId="77777777" w:rsidR="00DB0A0E" w:rsidRDefault="00C87F2E">
            <w:pPr>
              <w:pStyle w:val="NormalWeb"/>
              <w:spacing w:before="0" w:beforeAutospacing="0" w:after="0" w:afterAutospacing="0"/>
              <w:jc w:val="center"/>
              <w:rPr>
                <w:sz w:val="20"/>
                <w:szCs w:val="20"/>
                <w:lang w:val="en-CA"/>
              </w:rPr>
            </w:pPr>
            <w:r>
              <w:rPr>
                <w:sz w:val="20"/>
                <w:szCs w:val="20"/>
                <w:lang w:val="en-CA"/>
              </w:rPr>
              <w:t>2019</w:t>
            </w:r>
          </w:p>
        </w:tc>
      </w:tr>
      <w:tr w:rsidR="00DB0A0E" w14:paraId="37723E36" w14:textId="77777777">
        <w:tc>
          <w:tcPr>
            <w:tcW w:w="2840" w:type="dxa"/>
          </w:tcPr>
          <w:p w14:paraId="7C9994AF" w14:textId="77777777" w:rsidR="00DB0A0E" w:rsidRDefault="00C87F2E">
            <w:pPr>
              <w:pStyle w:val="NormalWeb"/>
              <w:spacing w:before="0" w:beforeAutospacing="0" w:after="0" w:afterAutospacing="0"/>
              <w:rPr>
                <w:sz w:val="20"/>
                <w:szCs w:val="20"/>
                <w:lang w:val="en-CA"/>
              </w:rPr>
            </w:pPr>
            <w:r>
              <w:rPr>
                <w:sz w:val="20"/>
                <w:szCs w:val="20"/>
                <w:lang w:val="en-CA"/>
              </w:rPr>
              <w:t>Gas</w:t>
            </w:r>
          </w:p>
        </w:tc>
        <w:tc>
          <w:tcPr>
            <w:tcW w:w="2841" w:type="dxa"/>
          </w:tcPr>
          <w:p w14:paraId="2AEA026C" w14:textId="77777777" w:rsidR="00DB0A0E" w:rsidRDefault="00C87F2E">
            <w:pPr>
              <w:pStyle w:val="NormalWeb"/>
              <w:spacing w:before="0" w:beforeAutospacing="0" w:after="0" w:afterAutospacing="0"/>
              <w:jc w:val="center"/>
              <w:rPr>
                <w:sz w:val="20"/>
                <w:szCs w:val="20"/>
                <w:lang w:val="en-CA"/>
              </w:rPr>
            </w:pPr>
            <w:r>
              <w:rPr>
                <w:sz w:val="20"/>
                <w:szCs w:val="20"/>
                <w:lang w:val="en-CA"/>
              </w:rPr>
              <w:t>$5.71</w:t>
            </w:r>
          </w:p>
        </w:tc>
        <w:tc>
          <w:tcPr>
            <w:tcW w:w="2841" w:type="dxa"/>
          </w:tcPr>
          <w:p w14:paraId="6E6BC505" w14:textId="77777777" w:rsidR="00DB0A0E" w:rsidRDefault="00C87F2E">
            <w:pPr>
              <w:pStyle w:val="NormalWeb"/>
              <w:spacing w:before="0" w:beforeAutospacing="0" w:after="0" w:afterAutospacing="0"/>
              <w:jc w:val="center"/>
              <w:rPr>
                <w:sz w:val="20"/>
                <w:szCs w:val="20"/>
                <w:lang w:val="en-CA"/>
              </w:rPr>
            </w:pPr>
            <w:r>
              <w:rPr>
                <w:sz w:val="20"/>
                <w:szCs w:val="20"/>
                <w:lang w:val="en-CA"/>
              </w:rPr>
              <w:t xml:space="preserve">$ 6.90 </w:t>
            </w:r>
          </w:p>
        </w:tc>
      </w:tr>
      <w:tr w:rsidR="00DB0A0E" w14:paraId="7EAE4D29" w14:textId="77777777">
        <w:tc>
          <w:tcPr>
            <w:tcW w:w="2840" w:type="dxa"/>
          </w:tcPr>
          <w:p w14:paraId="34C97EF3" w14:textId="77777777" w:rsidR="00DB0A0E" w:rsidRDefault="00C87F2E">
            <w:pPr>
              <w:pStyle w:val="NormalWeb"/>
              <w:spacing w:before="0" w:beforeAutospacing="0" w:after="0" w:afterAutospacing="0"/>
              <w:rPr>
                <w:sz w:val="20"/>
                <w:szCs w:val="20"/>
                <w:lang w:val="en-CA"/>
              </w:rPr>
            </w:pPr>
            <w:r>
              <w:rPr>
                <w:sz w:val="20"/>
                <w:szCs w:val="20"/>
                <w:lang w:val="en-CA"/>
              </w:rPr>
              <w:t>Oil</w:t>
            </w:r>
          </w:p>
        </w:tc>
        <w:tc>
          <w:tcPr>
            <w:tcW w:w="2841" w:type="dxa"/>
          </w:tcPr>
          <w:p w14:paraId="3118083F" w14:textId="77777777" w:rsidR="00DB0A0E" w:rsidRDefault="00C87F2E">
            <w:pPr>
              <w:pStyle w:val="NormalWeb"/>
              <w:spacing w:before="0" w:beforeAutospacing="0" w:after="0" w:afterAutospacing="0"/>
              <w:jc w:val="center"/>
              <w:rPr>
                <w:sz w:val="20"/>
                <w:szCs w:val="20"/>
                <w:lang w:val="en-CA"/>
              </w:rPr>
            </w:pPr>
            <w:r>
              <w:rPr>
                <w:sz w:val="20"/>
                <w:szCs w:val="20"/>
                <w:lang w:val="en-CA"/>
              </w:rPr>
              <w:t>$67.69</w:t>
            </w:r>
          </w:p>
        </w:tc>
        <w:tc>
          <w:tcPr>
            <w:tcW w:w="2841" w:type="dxa"/>
          </w:tcPr>
          <w:p w14:paraId="020115CF" w14:textId="77777777" w:rsidR="00DB0A0E" w:rsidRDefault="00C87F2E">
            <w:pPr>
              <w:pStyle w:val="NormalWeb"/>
              <w:spacing w:before="0" w:beforeAutospacing="0" w:after="0" w:afterAutospacing="0"/>
              <w:jc w:val="center"/>
              <w:rPr>
                <w:sz w:val="20"/>
                <w:szCs w:val="20"/>
                <w:lang w:val="en-CA"/>
              </w:rPr>
            </w:pPr>
            <w:r>
              <w:rPr>
                <w:sz w:val="20"/>
                <w:szCs w:val="20"/>
                <w:lang w:val="en-CA"/>
              </w:rPr>
              <w:t>$62.45</w:t>
            </w:r>
          </w:p>
        </w:tc>
      </w:tr>
    </w:tbl>
    <w:p w14:paraId="7FD3091E" w14:textId="77777777" w:rsidR="00DB0A0E" w:rsidRDefault="00DB0A0E">
      <w:pPr>
        <w:pStyle w:val="NormalWeb"/>
        <w:spacing w:before="0" w:beforeAutospacing="0" w:after="0" w:afterAutospacing="0"/>
        <w:jc w:val="both"/>
        <w:rPr>
          <w:sz w:val="20"/>
          <w:szCs w:val="20"/>
          <w:lang w:val="en-CA"/>
        </w:rPr>
      </w:pPr>
    </w:p>
    <w:p w14:paraId="5E11B1F7" w14:textId="77777777" w:rsidR="00DB0A0E" w:rsidRDefault="00C87F2E">
      <w:pPr>
        <w:pStyle w:val="NormalWeb"/>
        <w:spacing w:before="0" w:beforeAutospacing="0" w:after="0" w:afterAutospacing="0"/>
        <w:jc w:val="both"/>
        <w:rPr>
          <w:b/>
          <w:bCs/>
          <w:i/>
          <w:iCs/>
          <w:sz w:val="20"/>
          <w:szCs w:val="20"/>
        </w:rPr>
      </w:pPr>
      <w:r>
        <w:rPr>
          <w:b/>
          <w:bCs/>
          <w:i/>
          <w:iCs/>
          <w:sz w:val="20"/>
          <w:szCs w:val="20"/>
        </w:rPr>
        <w:lastRenderedPageBreak/>
        <w:t xml:space="preserve">Revenue </w:t>
      </w:r>
    </w:p>
    <w:p w14:paraId="67E54A7D" w14:textId="77777777" w:rsidR="00DB0A0E" w:rsidRDefault="00DB0A0E">
      <w:pPr>
        <w:pStyle w:val="NormalWeb"/>
        <w:spacing w:before="0" w:beforeAutospacing="0" w:after="0" w:afterAutospacing="0"/>
        <w:jc w:val="both"/>
        <w:rPr>
          <w:b/>
          <w:bCs/>
          <w:i/>
          <w:iCs/>
          <w:sz w:val="20"/>
          <w:szCs w:val="20"/>
        </w:rPr>
      </w:pPr>
    </w:p>
    <w:p w14:paraId="62677D9E" w14:textId="77777777" w:rsidR="00DB0A0E" w:rsidRDefault="00C87F2E">
      <w:pPr>
        <w:pStyle w:val="NormalWeb"/>
        <w:spacing w:before="0" w:beforeAutospacing="0" w:after="0" w:afterAutospacing="0"/>
        <w:jc w:val="both"/>
        <w:rPr>
          <w:sz w:val="20"/>
          <w:szCs w:val="20"/>
          <w:lang w:val="en-CA"/>
        </w:rPr>
      </w:pPr>
      <w:r>
        <w:rPr>
          <w:sz w:val="20"/>
          <w:szCs w:val="20"/>
          <w:lang w:val="en-CA"/>
        </w:rPr>
        <w:t xml:space="preserve">For the year ended December 31, 2019 the Company had oil and gas revenue of $3,915,799 compared to $4,253,326 for the </w:t>
      </w:r>
      <w:r>
        <w:rPr>
          <w:sz w:val="20"/>
          <w:szCs w:val="20"/>
          <w:lang w:val="en-CA"/>
        </w:rPr>
        <w:t xml:space="preserve">year ended December 31, 2018. Revenue decreased primarily due to the devaluation of the Turkish Lira compared to the U.S. dollar of approximately 17% over the comparable period and was partially offset by an increase in revenue dominated in Turkish Liras. </w:t>
      </w:r>
      <w:r>
        <w:rPr>
          <w:sz w:val="20"/>
          <w:szCs w:val="20"/>
          <w:lang w:val="en-CA"/>
        </w:rPr>
        <w:t>Oil and gas revenue denominated in Turkish Liras was TL 22,244,942 for the year ended December 31, 2019 compared to TL 19,981,333 for the year ended December 31, 2018.</w:t>
      </w:r>
    </w:p>
    <w:p w14:paraId="374AF8EE" w14:textId="77777777" w:rsidR="00DB0A0E" w:rsidRDefault="00DB0A0E">
      <w:pPr>
        <w:pStyle w:val="NormalWeb"/>
        <w:spacing w:before="0" w:beforeAutospacing="0" w:after="0" w:afterAutospacing="0"/>
        <w:jc w:val="both"/>
        <w:rPr>
          <w:sz w:val="20"/>
          <w:szCs w:val="20"/>
          <w:lang w:val="en-CA"/>
        </w:rPr>
      </w:pPr>
    </w:p>
    <w:p w14:paraId="523C96D4" w14:textId="77777777" w:rsidR="00DB0A0E" w:rsidRDefault="00C87F2E">
      <w:pPr>
        <w:pStyle w:val="NormalWeb"/>
        <w:spacing w:before="0" w:beforeAutospacing="0" w:after="0" w:afterAutospacing="0"/>
        <w:jc w:val="both"/>
        <w:rPr>
          <w:sz w:val="20"/>
          <w:szCs w:val="20"/>
          <w:lang w:val="en-CA"/>
        </w:rPr>
      </w:pPr>
      <w:r>
        <w:rPr>
          <w:sz w:val="20"/>
          <w:szCs w:val="20"/>
          <w:lang w:val="en-CA"/>
        </w:rPr>
        <w:t>Revenue</w:t>
      </w:r>
    </w:p>
    <w:tbl>
      <w:tblPr>
        <w:tblStyle w:val="TableGrid"/>
        <w:tblW w:w="8522" w:type="dxa"/>
        <w:tblLayout w:type="fixed"/>
        <w:tblLook w:val="04A0" w:firstRow="1" w:lastRow="0" w:firstColumn="1" w:lastColumn="0" w:noHBand="0" w:noVBand="1"/>
      </w:tblPr>
      <w:tblGrid>
        <w:gridCol w:w="2840"/>
        <w:gridCol w:w="2841"/>
        <w:gridCol w:w="2841"/>
      </w:tblGrid>
      <w:tr w:rsidR="00DB0A0E" w14:paraId="2AF57AA0" w14:textId="77777777">
        <w:tc>
          <w:tcPr>
            <w:tcW w:w="2840" w:type="dxa"/>
          </w:tcPr>
          <w:p w14:paraId="79733115" w14:textId="77777777" w:rsidR="00DB0A0E" w:rsidRDefault="00C87F2E">
            <w:pPr>
              <w:pStyle w:val="NormalWeb"/>
              <w:spacing w:before="0" w:beforeAutospacing="0" w:after="0" w:afterAutospacing="0"/>
              <w:rPr>
                <w:sz w:val="20"/>
                <w:szCs w:val="20"/>
                <w:lang w:val="en-CA"/>
              </w:rPr>
            </w:pPr>
            <w:r>
              <w:rPr>
                <w:sz w:val="20"/>
                <w:szCs w:val="20"/>
                <w:lang w:val="en-CA"/>
              </w:rPr>
              <w:t>Revenue</w:t>
            </w:r>
          </w:p>
        </w:tc>
        <w:tc>
          <w:tcPr>
            <w:tcW w:w="2841" w:type="dxa"/>
          </w:tcPr>
          <w:p w14:paraId="532EEC50" w14:textId="77777777" w:rsidR="00DB0A0E" w:rsidRDefault="00C87F2E">
            <w:pPr>
              <w:pStyle w:val="NormalWeb"/>
              <w:spacing w:before="0" w:beforeAutospacing="0" w:after="0" w:afterAutospacing="0"/>
              <w:jc w:val="center"/>
              <w:rPr>
                <w:sz w:val="20"/>
                <w:szCs w:val="20"/>
                <w:lang w:val="en-CA"/>
              </w:rPr>
            </w:pPr>
            <w:r>
              <w:rPr>
                <w:sz w:val="20"/>
                <w:szCs w:val="20"/>
                <w:lang w:val="en-CA"/>
              </w:rPr>
              <w:t>Year end Dec. 31, 2018</w:t>
            </w:r>
          </w:p>
        </w:tc>
        <w:tc>
          <w:tcPr>
            <w:tcW w:w="2841" w:type="dxa"/>
          </w:tcPr>
          <w:p w14:paraId="4A2C924D" w14:textId="77777777" w:rsidR="00DB0A0E" w:rsidRDefault="00C87F2E">
            <w:pPr>
              <w:pStyle w:val="NormalWeb"/>
              <w:spacing w:before="0" w:beforeAutospacing="0" w:after="0" w:afterAutospacing="0"/>
              <w:jc w:val="center"/>
              <w:rPr>
                <w:sz w:val="20"/>
                <w:szCs w:val="20"/>
                <w:lang w:val="en-CA"/>
              </w:rPr>
            </w:pPr>
            <w:r>
              <w:rPr>
                <w:sz w:val="20"/>
                <w:szCs w:val="20"/>
                <w:lang w:val="en-CA"/>
              </w:rPr>
              <w:t>Year end Dec. 31, 2019</w:t>
            </w:r>
          </w:p>
        </w:tc>
      </w:tr>
      <w:tr w:rsidR="00DB0A0E" w14:paraId="0151819D" w14:textId="77777777">
        <w:tc>
          <w:tcPr>
            <w:tcW w:w="2840" w:type="dxa"/>
          </w:tcPr>
          <w:p w14:paraId="266E201F" w14:textId="77777777" w:rsidR="00DB0A0E" w:rsidRDefault="00C87F2E">
            <w:pPr>
              <w:pStyle w:val="NormalWeb"/>
              <w:spacing w:before="0" w:beforeAutospacing="0" w:after="0" w:afterAutospacing="0"/>
              <w:rPr>
                <w:sz w:val="20"/>
                <w:szCs w:val="20"/>
                <w:lang w:val="en-CA"/>
              </w:rPr>
            </w:pPr>
            <w:r>
              <w:rPr>
                <w:sz w:val="20"/>
                <w:szCs w:val="20"/>
                <w:lang w:val="en-CA"/>
              </w:rPr>
              <w:t>Oil</w:t>
            </w:r>
          </w:p>
        </w:tc>
        <w:tc>
          <w:tcPr>
            <w:tcW w:w="2841" w:type="dxa"/>
          </w:tcPr>
          <w:p w14:paraId="69D3107D" w14:textId="77777777" w:rsidR="00DB0A0E" w:rsidRDefault="00C87F2E">
            <w:pPr>
              <w:pStyle w:val="NormalWeb"/>
              <w:spacing w:before="0" w:beforeAutospacing="0" w:after="0" w:afterAutospacing="0"/>
              <w:jc w:val="center"/>
              <w:rPr>
                <w:sz w:val="20"/>
                <w:szCs w:val="20"/>
                <w:lang w:val="en-CA"/>
              </w:rPr>
            </w:pPr>
            <w:r>
              <w:rPr>
                <w:sz w:val="20"/>
                <w:szCs w:val="20"/>
                <w:lang w:val="en-CA"/>
              </w:rPr>
              <w:t>$3,395,957</w:t>
            </w:r>
          </w:p>
        </w:tc>
        <w:tc>
          <w:tcPr>
            <w:tcW w:w="2841" w:type="dxa"/>
          </w:tcPr>
          <w:p w14:paraId="612C7356" w14:textId="77777777" w:rsidR="00DB0A0E" w:rsidRDefault="00C87F2E">
            <w:pPr>
              <w:pStyle w:val="NormalWeb"/>
              <w:spacing w:before="0" w:beforeAutospacing="0" w:after="0" w:afterAutospacing="0"/>
              <w:jc w:val="center"/>
              <w:rPr>
                <w:sz w:val="20"/>
                <w:szCs w:val="20"/>
                <w:lang w:val="en-CA"/>
              </w:rPr>
            </w:pPr>
            <w:r>
              <w:rPr>
                <w:sz w:val="20"/>
                <w:szCs w:val="20"/>
                <w:lang w:val="en-CA"/>
              </w:rPr>
              <w:t>$2,943,213</w:t>
            </w:r>
          </w:p>
        </w:tc>
      </w:tr>
      <w:tr w:rsidR="00DB0A0E" w14:paraId="2C230FDA" w14:textId="77777777">
        <w:tc>
          <w:tcPr>
            <w:tcW w:w="2840" w:type="dxa"/>
          </w:tcPr>
          <w:p w14:paraId="2EE60F92" w14:textId="77777777" w:rsidR="00DB0A0E" w:rsidRDefault="00C87F2E">
            <w:pPr>
              <w:pStyle w:val="NormalWeb"/>
              <w:spacing w:before="0" w:beforeAutospacing="0" w:after="0" w:afterAutospacing="0"/>
              <w:rPr>
                <w:sz w:val="20"/>
                <w:szCs w:val="20"/>
                <w:lang w:val="en-CA"/>
              </w:rPr>
            </w:pPr>
            <w:r>
              <w:rPr>
                <w:sz w:val="20"/>
                <w:szCs w:val="20"/>
                <w:lang w:val="en-CA"/>
              </w:rPr>
              <w:t>Natural Gas</w:t>
            </w:r>
          </w:p>
        </w:tc>
        <w:tc>
          <w:tcPr>
            <w:tcW w:w="2841" w:type="dxa"/>
          </w:tcPr>
          <w:p w14:paraId="4AF01BF9" w14:textId="77777777" w:rsidR="00DB0A0E" w:rsidRDefault="00C87F2E">
            <w:pPr>
              <w:pStyle w:val="NormalWeb"/>
              <w:spacing w:before="0" w:beforeAutospacing="0" w:after="0" w:afterAutospacing="0"/>
              <w:jc w:val="center"/>
              <w:rPr>
                <w:sz w:val="20"/>
                <w:szCs w:val="20"/>
                <w:lang w:val="en-CA"/>
              </w:rPr>
            </w:pPr>
            <w:r>
              <w:rPr>
                <w:sz w:val="20"/>
                <w:szCs w:val="20"/>
                <w:lang w:val="en-CA"/>
              </w:rPr>
              <w:t>$857,369</w:t>
            </w:r>
          </w:p>
        </w:tc>
        <w:tc>
          <w:tcPr>
            <w:tcW w:w="2841" w:type="dxa"/>
          </w:tcPr>
          <w:p w14:paraId="786DECD1" w14:textId="77777777" w:rsidR="00DB0A0E" w:rsidRDefault="00C87F2E">
            <w:pPr>
              <w:pStyle w:val="NormalWeb"/>
              <w:spacing w:before="0" w:beforeAutospacing="0" w:after="0" w:afterAutospacing="0"/>
              <w:jc w:val="center"/>
              <w:rPr>
                <w:sz w:val="20"/>
                <w:szCs w:val="20"/>
                <w:lang w:val="en-CA"/>
              </w:rPr>
            </w:pPr>
            <w:r>
              <w:rPr>
                <w:sz w:val="20"/>
                <w:szCs w:val="20"/>
                <w:lang w:val="en-CA"/>
              </w:rPr>
              <w:t>$972,586</w:t>
            </w:r>
          </w:p>
        </w:tc>
      </w:tr>
      <w:tr w:rsidR="00DB0A0E" w14:paraId="4F4E189B" w14:textId="77777777">
        <w:tc>
          <w:tcPr>
            <w:tcW w:w="2840" w:type="dxa"/>
          </w:tcPr>
          <w:p w14:paraId="5823F6D6" w14:textId="77777777" w:rsidR="00DB0A0E" w:rsidRDefault="00C87F2E">
            <w:pPr>
              <w:pStyle w:val="NormalWeb"/>
              <w:spacing w:before="0" w:beforeAutospacing="0" w:after="0" w:afterAutospacing="0"/>
              <w:rPr>
                <w:sz w:val="20"/>
                <w:szCs w:val="20"/>
                <w:lang w:val="en-CA"/>
              </w:rPr>
            </w:pPr>
            <w:r>
              <w:rPr>
                <w:sz w:val="20"/>
                <w:szCs w:val="20"/>
                <w:lang w:val="en-CA"/>
              </w:rPr>
              <w:t xml:space="preserve">Total </w:t>
            </w:r>
          </w:p>
        </w:tc>
        <w:tc>
          <w:tcPr>
            <w:tcW w:w="2841" w:type="dxa"/>
          </w:tcPr>
          <w:p w14:paraId="76C14502" w14:textId="77777777" w:rsidR="00DB0A0E" w:rsidRDefault="00C87F2E">
            <w:pPr>
              <w:pStyle w:val="NormalWeb"/>
              <w:spacing w:before="0" w:beforeAutospacing="0" w:after="0" w:afterAutospacing="0"/>
              <w:jc w:val="center"/>
              <w:rPr>
                <w:sz w:val="20"/>
                <w:szCs w:val="20"/>
                <w:lang w:val="en-CA"/>
              </w:rPr>
            </w:pPr>
            <w:r>
              <w:rPr>
                <w:sz w:val="20"/>
                <w:szCs w:val="20"/>
                <w:lang w:val="en-CA"/>
              </w:rPr>
              <w:t>$4,253,326</w:t>
            </w:r>
          </w:p>
        </w:tc>
        <w:tc>
          <w:tcPr>
            <w:tcW w:w="2841" w:type="dxa"/>
          </w:tcPr>
          <w:p w14:paraId="6F8152B0" w14:textId="77777777" w:rsidR="00DB0A0E" w:rsidRDefault="00C87F2E">
            <w:pPr>
              <w:pStyle w:val="NormalWeb"/>
              <w:spacing w:before="0" w:beforeAutospacing="0" w:after="0" w:afterAutospacing="0"/>
              <w:jc w:val="center"/>
              <w:rPr>
                <w:sz w:val="20"/>
                <w:szCs w:val="20"/>
                <w:lang w:val="en-CA"/>
              </w:rPr>
            </w:pPr>
            <w:r>
              <w:rPr>
                <w:sz w:val="20"/>
                <w:szCs w:val="20"/>
                <w:lang w:val="en-CA"/>
              </w:rPr>
              <w:t>$3,915,799</w:t>
            </w:r>
          </w:p>
        </w:tc>
      </w:tr>
    </w:tbl>
    <w:p w14:paraId="0212D717" w14:textId="77777777" w:rsidR="00DB0A0E" w:rsidRDefault="00DB0A0E">
      <w:pPr>
        <w:pStyle w:val="NormalWeb"/>
        <w:spacing w:before="0" w:beforeAutospacing="0" w:after="0" w:afterAutospacing="0"/>
        <w:jc w:val="both"/>
        <w:rPr>
          <w:sz w:val="20"/>
          <w:szCs w:val="20"/>
          <w:lang w:val="en-CA"/>
        </w:rPr>
      </w:pPr>
    </w:p>
    <w:p w14:paraId="27D24C99" w14:textId="77777777" w:rsidR="00DB0A0E" w:rsidRDefault="00C87F2E">
      <w:pPr>
        <w:pStyle w:val="NormalWeb"/>
        <w:spacing w:before="0" w:beforeAutospacing="0" w:after="0" w:afterAutospacing="0"/>
        <w:jc w:val="both"/>
        <w:rPr>
          <w:sz w:val="20"/>
          <w:szCs w:val="20"/>
          <w:lang w:val="en-CA"/>
        </w:rPr>
      </w:pPr>
      <w:r>
        <w:rPr>
          <w:sz w:val="20"/>
          <w:szCs w:val="20"/>
          <w:lang w:val="en-CA"/>
        </w:rPr>
        <w:t>Operational Netback</w:t>
      </w:r>
    </w:p>
    <w:tbl>
      <w:tblPr>
        <w:tblStyle w:val="TableGrid"/>
        <w:tblW w:w="8522" w:type="dxa"/>
        <w:tblLayout w:type="fixed"/>
        <w:tblLook w:val="04A0" w:firstRow="1" w:lastRow="0" w:firstColumn="1" w:lastColumn="0" w:noHBand="0" w:noVBand="1"/>
      </w:tblPr>
      <w:tblGrid>
        <w:gridCol w:w="1704"/>
        <w:gridCol w:w="1704"/>
        <w:gridCol w:w="1704"/>
        <w:gridCol w:w="1705"/>
        <w:gridCol w:w="1705"/>
      </w:tblGrid>
      <w:tr w:rsidR="00DB0A0E" w14:paraId="3D4D8B94" w14:textId="77777777">
        <w:tc>
          <w:tcPr>
            <w:tcW w:w="1704" w:type="dxa"/>
          </w:tcPr>
          <w:p w14:paraId="49D148C0" w14:textId="77777777" w:rsidR="00DB0A0E" w:rsidRDefault="00DB0A0E">
            <w:pPr>
              <w:pStyle w:val="NormalWeb"/>
              <w:spacing w:before="0" w:beforeAutospacing="0" w:after="0" w:afterAutospacing="0"/>
              <w:rPr>
                <w:sz w:val="20"/>
                <w:szCs w:val="20"/>
                <w:lang w:val="en-CA"/>
              </w:rPr>
            </w:pPr>
          </w:p>
        </w:tc>
        <w:tc>
          <w:tcPr>
            <w:tcW w:w="1704" w:type="dxa"/>
          </w:tcPr>
          <w:p w14:paraId="7CE0BCF2" w14:textId="77777777" w:rsidR="00DB0A0E" w:rsidRDefault="00C87F2E">
            <w:pPr>
              <w:pStyle w:val="NormalWeb"/>
              <w:spacing w:before="0" w:beforeAutospacing="0" w:after="0" w:afterAutospacing="0"/>
              <w:jc w:val="center"/>
              <w:rPr>
                <w:sz w:val="20"/>
                <w:szCs w:val="20"/>
                <w:lang w:val="en-CA"/>
              </w:rPr>
            </w:pPr>
            <w:r>
              <w:rPr>
                <w:sz w:val="20"/>
                <w:szCs w:val="20"/>
                <w:lang w:val="en-CA"/>
              </w:rPr>
              <w:t>Year 2018 Gas</w:t>
            </w:r>
          </w:p>
        </w:tc>
        <w:tc>
          <w:tcPr>
            <w:tcW w:w="1704" w:type="dxa"/>
          </w:tcPr>
          <w:p w14:paraId="54BD8FE4" w14:textId="77777777" w:rsidR="00DB0A0E" w:rsidRDefault="00C87F2E">
            <w:pPr>
              <w:pStyle w:val="NormalWeb"/>
              <w:spacing w:before="0" w:beforeAutospacing="0" w:after="0" w:afterAutospacing="0"/>
              <w:jc w:val="center"/>
              <w:rPr>
                <w:sz w:val="20"/>
                <w:szCs w:val="20"/>
                <w:lang w:val="en-CA"/>
              </w:rPr>
            </w:pPr>
            <w:r>
              <w:rPr>
                <w:sz w:val="20"/>
                <w:szCs w:val="20"/>
                <w:lang w:val="en-CA"/>
              </w:rPr>
              <w:t>Year 2018 Oil</w:t>
            </w:r>
          </w:p>
        </w:tc>
        <w:tc>
          <w:tcPr>
            <w:tcW w:w="1705" w:type="dxa"/>
          </w:tcPr>
          <w:p w14:paraId="074600F6" w14:textId="77777777" w:rsidR="00DB0A0E" w:rsidRDefault="00C87F2E">
            <w:pPr>
              <w:pStyle w:val="NormalWeb"/>
              <w:spacing w:before="0" w:beforeAutospacing="0" w:after="0" w:afterAutospacing="0"/>
              <w:jc w:val="center"/>
              <w:rPr>
                <w:sz w:val="20"/>
                <w:szCs w:val="20"/>
                <w:lang w:val="en-CA"/>
              </w:rPr>
            </w:pPr>
            <w:r>
              <w:rPr>
                <w:sz w:val="20"/>
                <w:szCs w:val="20"/>
                <w:lang w:val="en-CA"/>
              </w:rPr>
              <w:t>Year 2019 Gas</w:t>
            </w:r>
          </w:p>
        </w:tc>
        <w:tc>
          <w:tcPr>
            <w:tcW w:w="1705" w:type="dxa"/>
          </w:tcPr>
          <w:p w14:paraId="239F9CC2" w14:textId="77777777" w:rsidR="00DB0A0E" w:rsidRDefault="00C87F2E">
            <w:pPr>
              <w:pStyle w:val="NormalWeb"/>
              <w:spacing w:before="0" w:beforeAutospacing="0" w:after="0" w:afterAutospacing="0"/>
              <w:jc w:val="center"/>
              <w:rPr>
                <w:sz w:val="20"/>
                <w:szCs w:val="20"/>
                <w:lang w:val="en-CA"/>
              </w:rPr>
            </w:pPr>
            <w:r>
              <w:rPr>
                <w:sz w:val="20"/>
                <w:szCs w:val="20"/>
                <w:lang w:val="en-CA"/>
              </w:rPr>
              <w:t>Year 2019 Oil</w:t>
            </w:r>
          </w:p>
        </w:tc>
      </w:tr>
      <w:tr w:rsidR="00DB0A0E" w14:paraId="26761DE6" w14:textId="77777777">
        <w:tc>
          <w:tcPr>
            <w:tcW w:w="1704" w:type="dxa"/>
          </w:tcPr>
          <w:p w14:paraId="62F08315" w14:textId="77777777" w:rsidR="00DB0A0E" w:rsidRDefault="00C87F2E">
            <w:pPr>
              <w:pStyle w:val="NormalWeb"/>
              <w:spacing w:before="0" w:beforeAutospacing="0" w:after="0" w:afterAutospacing="0"/>
              <w:rPr>
                <w:sz w:val="20"/>
                <w:szCs w:val="20"/>
                <w:lang w:val="en-CA"/>
              </w:rPr>
            </w:pPr>
            <w:r>
              <w:rPr>
                <w:sz w:val="20"/>
                <w:szCs w:val="20"/>
                <w:lang w:val="en-CA"/>
              </w:rPr>
              <w:t>Production</w:t>
            </w:r>
          </w:p>
        </w:tc>
        <w:tc>
          <w:tcPr>
            <w:tcW w:w="1704" w:type="dxa"/>
          </w:tcPr>
          <w:p w14:paraId="3FE1A00F" w14:textId="77777777" w:rsidR="00DB0A0E" w:rsidRDefault="00C87F2E">
            <w:pPr>
              <w:pStyle w:val="NormalWeb"/>
              <w:spacing w:before="0" w:beforeAutospacing="0" w:after="0" w:afterAutospacing="0"/>
              <w:jc w:val="center"/>
              <w:rPr>
                <w:sz w:val="20"/>
                <w:szCs w:val="20"/>
                <w:lang w:val="en-CA"/>
              </w:rPr>
            </w:pPr>
            <w:r>
              <w:rPr>
                <w:sz w:val="20"/>
                <w:szCs w:val="20"/>
                <w:lang w:val="en-CA"/>
              </w:rPr>
              <w:t xml:space="preserve">0.410 </w:t>
            </w:r>
            <w:proofErr w:type="spellStart"/>
            <w:r>
              <w:rPr>
                <w:sz w:val="20"/>
                <w:szCs w:val="20"/>
                <w:lang w:val="en-CA"/>
              </w:rPr>
              <w:t>MMcf</w:t>
            </w:r>
            <w:proofErr w:type="spellEnd"/>
            <w:r>
              <w:rPr>
                <w:sz w:val="20"/>
                <w:szCs w:val="20"/>
                <w:lang w:val="en-CA"/>
              </w:rPr>
              <w:t>/d*</w:t>
            </w:r>
          </w:p>
        </w:tc>
        <w:tc>
          <w:tcPr>
            <w:tcW w:w="1704" w:type="dxa"/>
          </w:tcPr>
          <w:p w14:paraId="4DC63AB6" w14:textId="77777777" w:rsidR="00DB0A0E" w:rsidRDefault="00C87F2E">
            <w:pPr>
              <w:pStyle w:val="NormalWeb"/>
              <w:spacing w:before="0" w:beforeAutospacing="0" w:after="0" w:afterAutospacing="0"/>
              <w:jc w:val="center"/>
              <w:rPr>
                <w:sz w:val="20"/>
                <w:szCs w:val="20"/>
                <w:lang w:val="en-CA"/>
              </w:rPr>
            </w:pPr>
            <w:r>
              <w:rPr>
                <w:sz w:val="20"/>
                <w:szCs w:val="20"/>
                <w:lang w:val="en-CA"/>
              </w:rPr>
              <w:t xml:space="preserve">130 </w:t>
            </w:r>
            <w:proofErr w:type="spellStart"/>
            <w:r>
              <w:rPr>
                <w:sz w:val="20"/>
                <w:szCs w:val="20"/>
                <w:lang w:val="en-CA"/>
              </w:rPr>
              <w:t>bopd</w:t>
            </w:r>
            <w:proofErr w:type="spellEnd"/>
          </w:p>
        </w:tc>
        <w:tc>
          <w:tcPr>
            <w:tcW w:w="1705" w:type="dxa"/>
          </w:tcPr>
          <w:p w14:paraId="48C73B19" w14:textId="77777777" w:rsidR="00DB0A0E" w:rsidRDefault="00C87F2E">
            <w:pPr>
              <w:pStyle w:val="NormalWeb"/>
              <w:spacing w:before="0" w:beforeAutospacing="0" w:after="0" w:afterAutospacing="0"/>
              <w:jc w:val="center"/>
              <w:rPr>
                <w:sz w:val="20"/>
                <w:szCs w:val="20"/>
                <w:lang w:val="en-CA"/>
              </w:rPr>
            </w:pPr>
            <w:r>
              <w:rPr>
                <w:sz w:val="20"/>
                <w:szCs w:val="20"/>
                <w:lang w:val="en-CA"/>
              </w:rPr>
              <w:t>0.3</w:t>
            </w:r>
            <w:r>
              <w:rPr>
                <w:sz w:val="20"/>
                <w:szCs w:val="20"/>
                <w:lang w:val="en-CA"/>
              </w:rPr>
              <w:t>71</w:t>
            </w:r>
            <w:r>
              <w:rPr>
                <w:sz w:val="20"/>
                <w:szCs w:val="20"/>
                <w:lang w:val="en-CA"/>
              </w:rPr>
              <w:t xml:space="preserve"> </w:t>
            </w:r>
            <w:proofErr w:type="spellStart"/>
            <w:r>
              <w:rPr>
                <w:sz w:val="20"/>
                <w:szCs w:val="20"/>
                <w:lang w:val="en-CA"/>
              </w:rPr>
              <w:t>MMcf</w:t>
            </w:r>
            <w:proofErr w:type="spellEnd"/>
            <w:r>
              <w:rPr>
                <w:sz w:val="20"/>
                <w:szCs w:val="20"/>
                <w:lang w:val="en-CA"/>
              </w:rPr>
              <w:t>/d*</w:t>
            </w:r>
          </w:p>
        </w:tc>
        <w:tc>
          <w:tcPr>
            <w:tcW w:w="1705" w:type="dxa"/>
          </w:tcPr>
          <w:p w14:paraId="1E3305E6" w14:textId="77777777" w:rsidR="00DB0A0E" w:rsidRDefault="00C87F2E">
            <w:pPr>
              <w:pStyle w:val="NormalWeb"/>
              <w:spacing w:before="0" w:beforeAutospacing="0" w:after="0" w:afterAutospacing="0"/>
              <w:jc w:val="center"/>
              <w:rPr>
                <w:sz w:val="20"/>
                <w:szCs w:val="20"/>
                <w:lang w:val="en-CA"/>
              </w:rPr>
            </w:pPr>
            <w:r>
              <w:rPr>
                <w:sz w:val="20"/>
                <w:szCs w:val="20"/>
                <w:lang w:val="en-CA"/>
              </w:rPr>
              <w:t>12</w:t>
            </w:r>
            <w:r>
              <w:rPr>
                <w:sz w:val="20"/>
                <w:szCs w:val="20"/>
                <w:lang w:val="en-CA"/>
              </w:rPr>
              <w:t>9</w:t>
            </w:r>
            <w:r>
              <w:rPr>
                <w:sz w:val="20"/>
                <w:szCs w:val="20"/>
                <w:lang w:val="en-CA"/>
              </w:rPr>
              <w:t xml:space="preserve"> </w:t>
            </w:r>
            <w:proofErr w:type="spellStart"/>
            <w:r>
              <w:rPr>
                <w:sz w:val="20"/>
                <w:szCs w:val="20"/>
                <w:lang w:val="en-CA"/>
              </w:rPr>
              <w:t>bopd</w:t>
            </w:r>
            <w:proofErr w:type="spellEnd"/>
          </w:p>
        </w:tc>
      </w:tr>
      <w:tr w:rsidR="00DB0A0E" w14:paraId="6AEA6AFD" w14:textId="77777777">
        <w:tc>
          <w:tcPr>
            <w:tcW w:w="1704" w:type="dxa"/>
          </w:tcPr>
          <w:p w14:paraId="1C65D620" w14:textId="77777777" w:rsidR="00DB0A0E" w:rsidRDefault="00C87F2E">
            <w:pPr>
              <w:pStyle w:val="NormalWeb"/>
              <w:spacing w:before="0" w:beforeAutospacing="0" w:after="0" w:afterAutospacing="0"/>
              <w:rPr>
                <w:sz w:val="20"/>
                <w:szCs w:val="20"/>
                <w:lang w:val="en-CA"/>
              </w:rPr>
            </w:pPr>
            <w:r>
              <w:rPr>
                <w:sz w:val="20"/>
                <w:szCs w:val="20"/>
                <w:lang w:val="en-CA"/>
              </w:rPr>
              <w:t>Price</w:t>
            </w:r>
          </w:p>
        </w:tc>
        <w:tc>
          <w:tcPr>
            <w:tcW w:w="1704" w:type="dxa"/>
          </w:tcPr>
          <w:p w14:paraId="09D44DBD" w14:textId="77777777" w:rsidR="00DB0A0E" w:rsidRDefault="00C87F2E">
            <w:pPr>
              <w:pStyle w:val="NormalWeb"/>
              <w:spacing w:before="0" w:beforeAutospacing="0" w:after="0" w:afterAutospacing="0"/>
              <w:jc w:val="center"/>
              <w:rPr>
                <w:sz w:val="20"/>
                <w:szCs w:val="20"/>
                <w:lang w:val="en-CA"/>
              </w:rPr>
            </w:pPr>
            <w:r>
              <w:rPr>
                <w:sz w:val="20"/>
                <w:szCs w:val="20"/>
                <w:lang w:val="en-CA"/>
              </w:rPr>
              <w:t>$5.71/Mcf</w:t>
            </w:r>
          </w:p>
        </w:tc>
        <w:tc>
          <w:tcPr>
            <w:tcW w:w="1704" w:type="dxa"/>
          </w:tcPr>
          <w:p w14:paraId="30B70368" w14:textId="77777777" w:rsidR="00DB0A0E" w:rsidRDefault="00C87F2E">
            <w:pPr>
              <w:pStyle w:val="NormalWeb"/>
              <w:spacing w:before="0" w:beforeAutospacing="0" w:after="0" w:afterAutospacing="0"/>
              <w:jc w:val="center"/>
              <w:rPr>
                <w:sz w:val="20"/>
                <w:szCs w:val="20"/>
                <w:lang w:val="en-CA"/>
              </w:rPr>
            </w:pPr>
            <w:r>
              <w:rPr>
                <w:sz w:val="20"/>
                <w:szCs w:val="20"/>
                <w:lang w:val="en-CA"/>
              </w:rPr>
              <w:t>$67.69/</w:t>
            </w:r>
            <w:proofErr w:type="spellStart"/>
            <w:r>
              <w:rPr>
                <w:sz w:val="20"/>
                <w:szCs w:val="20"/>
                <w:lang w:val="en-CA"/>
              </w:rPr>
              <w:t>bbl</w:t>
            </w:r>
            <w:proofErr w:type="spellEnd"/>
          </w:p>
        </w:tc>
        <w:tc>
          <w:tcPr>
            <w:tcW w:w="1705" w:type="dxa"/>
          </w:tcPr>
          <w:p w14:paraId="780A8C03" w14:textId="77777777" w:rsidR="00DB0A0E" w:rsidRDefault="00C87F2E">
            <w:pPr>
              <w:pStyle w:val="NormalWeb"/>
              <w:spacing w:before="0" w:beforeAutospacing="0" w:after="0" w:afterAutospacing="0"/>
              <w:jc w:val="center"/>
              <w:rPr>
                <w:sz w:val="20"/>
                <w:szCs w:val="20"/>
                <w:lang w:val="en-CA"/>
              </w:rPr>
            </w:pPr>
            <w:r>
              <w:rPr>
                <w:sz w:val="20"/>
                <w:szCs w:val="20"/>
                <w:lang w:val="en-CA"/>
              </w:rPr>
              <w:t>$</w:t>
            </w:r>
            <w:r>
              <w:rPr>
                <w:sz w:val="20"/>
                <w:szCs w:val="20"/>
                <w:lang w:val="en-CA"/>
              </w:rPr>
              <w:t>7.17</w:t>
            </w:r>
            <w:r>
              <w:rPr>
                <w:sz w:val="20"/>
                <w:szCs w:val="20"/>
                <w:lang w:val="en-CA"/>
              </w:rPr>
              <w:t>/Mcf</w:t>
            </w:r>
          </w:p>
        </w:tc>
        <w:tc>
          <w:tcPr>
            <w:tcW w:w="1705" w:type="dxa"/>
          </w:tcPr>
          <w:p w14:paraId="47AA4A1F" w14:textId="77777777" w:rsidR="00DB0A0E" w:rsidRDefault="00C87F2E">
            <w:pPr>
              <w:pStyle w:val="NormalWeb"/>
              <w:spacing w:before="0" w:beforeAutospacing="0" w:after="0" w:afterAutospacing="0"/>
              <w:jc w:val="center"/>
              <w:rPr>
                <w:sz w:val="20"/>
                <w:szCs w:val="20"/>
                <w:lang w:val="en-CA"/>
              </w:rPr>
            </w:pPr>
            <w:r>
              <w:rPr>
                <w:sz w:val="20"/>
                <w:szCs w:val="20"/>
                <w:lang w:val="en-CA"/>
              </w:rPr>
              <w:t>$62.45/</w:t>
            </w:r>
            <w:proofErr w:type="spellStart"/>
            <w:r>
              <w:rPr>
                <w:sz w:val="20"/>
                <w:szCs w:val="20"/>
                <w:lang w:val="en-CA"/>
              </w:rPr>
              <w:t>bbl</w:t>
            </w:r>
            <w:proofErr w:type="spellEnd"/>
          </w:p>
        </w:tc>
      </w:tr>
      <w:tr w:rsidR="00DB0A0E" w14:paraId="3A1546C8" w14:textId="77777777">
        <w:tc>
          <w:tcPr>
            <w:tcW w:w="1704" w:type="dxa"/>
          </w:tcPr>
          <w:p w14:paraId="3E17630C" w14:textId="77777777" w:rsidR="00DB0A0E" w:rsidRDefault="00C87F2E">
            <w:pPr>
              <w:pStyle w:val="NormalWeb"/>
              <w:spacing w:before="0" w:beforeAutospacing="0" w:after="0" w:afterAutospacing="0"/>
              <w:rPr>
                <w:sz w:val="20"/>
                <w:szCs w:val="20"/>
                <w:lang w:val="en-CA"/>
              </w:rPr>
            </w:pPr>
            <w:r>
              <w:rPr>
                <w:sz w:val="20"/>
                <w:szCs w:val="20"/>
                <w:lang w:val="en-CA"/>
              </w:rPr>
              <w:t>Royalty</w:t>
            </w:r>
          </w:p>
        </w:tc>
        <w:tc>
          <w:tcPr>
            <w:tcW w:w="1704" w:type="dxa"/>
          </w:tcPr>
          <w:p w14:paraId="223F9602" w14:textId="77777777" w:rsidR="00DB0A0E" w:rsidRDefault="00C87F2E">
            <w:pPr>
              <w:pStyle w:val="NormalWeb"/>
              <w:spacing w:before="0" w:beforeAutospacing="0" w:after="0" w:afterAutospacing="0"/>
              <w:jc w:val="center"/>
              <w:rPr>
                <w:sz w:val="20"/>
                <w:szCs w:val="20"/>
                <w:lang w:val="en-CA"/>
              </w:rPr>
            </w:pPr>
            <w:r>
              <w:rPr>
                <w:sz w:val="20"/>
                <w:szCs w:val="20"/>
                <w:lang w:val="en-CA"/>
              </w:rPr>
              <w:t>$0.71</w:t>
            </w:r>
          </w:p>
        </w:tc>
        <w:tc>
          <w:tcPr>
            <w:tcW w:w="1704" w:type="dxa"/>
          </w:tcPr>
          <w:p w14:paraId="7C6A8B9C" w14:textId="77777777" w:rsidR="00DB0A0E" w:rsidRDefault="00C87F2E">
            <w:pPr>
              <w:pStyle w:val="NormalWeb"/>
              <w:spacing w:before="0" w:beforeAutospacing="0" w:after="0" w:afterAutospacing="0"/>
              <w:jc w:val="center"/>
              <w:rPr>
                <w:sz w:val="20"/>
                <w:szCs w:val="20"/>
                <w:lang w:val="en-CA"/>
              </w:rPr>
            </w:pPr>
            <w:r>
              <w:rPr>
                <w:sz w:val="20"/>
                <w:szCs w:val="20"/>
                <w:lang w:val="en-CA"/>
              </w:rPr>
              <w:t>$8.46</w:t>
            </w:r>
          </w:p>
        </w:tc>
        <w:tc>
          <w:tcPr>
            <w:tcW w:w="1705" w:type="dxa"/>
          </w:tcPr>
          <w:p w14:paraId="1E7AEB6A" w14:textId="77777777" w:rsidR="00DB0A0E" w:rsidRDefault="00C87F2E">
            <w:pPr>
              <w:pStyle w:val="NormalWeb"/>
              <w:spacing w:before="0" w:beforeAutospacing="0" w:after="0" w:afterAutospacing="0"/>
              <w:jc w:val="center"/>
              <w:rPr>
                <w:sz w:val="20"/>
                <w:szCs w:val="20"/>
                <w:lang w:val="en-CA"/>
              </w:rPr>
            </w:pPr>
            <w:r>
              <w:rPr>
                <w:sz w:val="20"/>
                <w:szCs w:val="20"/>
                <w:lang w:val="en-CA"/>
              </w:rPr>
              <w:t>$0.</w:t>
            </w:r>
            <w:r>
              <w:rPr>
                <w:sz w:val="20"/>
                <w:szCs w:val="20"/>
                <w:lang w:val="en-CA"/>
              </w:rPr>
              <w:t>0.90</w:t>
            </w:r>
          </w:p>
        </w:tc>
        <w:tc>
          <w:tcPr>
            <w:tcW w:w="1705" w:type="dxa"/>
          </w:tcPr>
          <w:p w14:paraId="6CA61234" w14:textId="77777777" w:rsidR="00DB0A0E" w:rsidRDefault="00C87F2E">
            <w:pPr>
              <w:pStyle w:val="NormalWeb"/>
              <w:spacing w:before="0" w:beforeAutospacing="0" w:after="0" w:afterAutospacing="0"/>
              <w:jc w:val="center"/>
              <w:rPr>
                <w:sz w:val="20"/>
                <w:szCs w:val="20"/>
                <w:lang w:val="en-CA"/>
              </w:rPr>
            </w:pPr>
            <w:r>
              <w:rPr>
                <w:sz w:val="20"/>
                <w:szCs w:val="20"/>
                <w:lang w:val="en-CA"/>
              </w:rPr>
              <w:t>$7.81</w:t>
            </w:r>
          </w:p>
        </w:tc>
      </w:tr>
      <w:tr w:rsidR="00DB0A0E" w14:paraId="2E087A17" w14:textId="77777777">
        <w:tc>
          <w:tcPr>
            <w:tcW w:w="1704" w:type="dxa"/>
          </w:tcPr>
          <w:p w14:paraId="5D494417" w14:textId="77777777" w:rsidR="00DB0A0E" w:rsidRDefault="00C87F2E">
            <w:pPr>
              <w:pStyle w:val="NormalWeb"/>
              <w:spacing w:before="0" w:beforeAutospacing="0" w:after="0" w:afterAutospacing="0"/>
              <w:rPr>
                <w:sz w:val="20"/>
                <w:szCs w:val="20"/>
                <w:lang w:val="en-CA"/>
              </w:rPr>
            </w:pPr>
            <w:proofErr w:type="spellStart"/>
            <w:r>
              <w:rPr>
                <w:sz w:val="20"/>
                <w:szCs w:val="20"/>
                <w:lang w:val="en-CA"/>
              </w:rPr>
              <w:t>Opex</w:t>
            </w:r>
            <w:proofErr w:type="spellEnd"/>
          </w:p>
        </w:tc>
        <w:tc>
          <w:tcPr>
            <w:tcW w:w="1704" w:type="dxa"/>
          </w:tcPr>
          <w:p w14:paraId="5EC61399" w14:textId="77777777" w:rsidR="00DB0A0E" w:rsidRDefault="00C87F2E">
            <w:pPr>
              <w:pStyle w:val="NormalWeb"/>
              <w:spacing w:before="0" w:beforeAutospacing="0" w:after="0" w:afterAutospacing="0"/>
              <w:jc w:val="center"/>
              <w:rPr>
                <w:sz w:val="20"/>
                <w:szCs w:val="20"/>
                <w:lang w:val="en-CA"/>
              </w:rPr>
            </w:pPr>
            <w:r>
              <w:rPr>
                <w:sz w:val="20"/>
                <w:szCs w:val="20"/>
                <w:lang w:val="en-CA"/>
              </w:rPr>
              <w:t>$5.27**</w:t>
            </w:r>
          </w:p>
        </w:tc>
        <w:tc>
          <w:tcPr>
            <w:tcW w:w="1704" w:type="dxa"/>
          </w:tcPr>
          <w:p w14:paraId="6FEACE57" w14:textId="77777777" w:rsidR="00DB0A0E" w:rsidRDefault="00C87F2E">
            <w:pPr>
              <w:pStyle w:val="NormalWeb"/>
              <w:spacing w:before="0" w:beforeAutospacing="0" w:after="0" w:afterAutospacing="0"/>
              <w:jc w:val="center"/>
              <w:rPr>
                <w:sz w:val="20"/>
                <w:szCs w:val="20"/>
                <w:lang w:val="en-CA"/>
              </w:rPr>
            </w:pPr>
            <w:r>
              <w:rPr>
                <w:sz w:val="20"/>
                <w:szCs w:val="20"/>
                <w:lang w:val="en-CA"/>
              </w:rPr>
              <w:t>$23.20</w:t>
            </w:r>
          </w:p>
        </w:tc>
        <w:tc>
          <w:tcPr>
            <w:tcW w:w="1705" w:type="dxa"/>
          </w:tcPr>
          <w:p w14:paraId="1DFABFD1" w14:textId="77777777" w:rsidR="00DB0A0E" w:rsidRDefault="00C87F2E">
            <w:pPr>
              <w:pStyle w:val="NormalWeb"/>
              <w:spacing w:before="0" w:beforeAutospacing="0" w:after="0" w:afterAutospacing="0"/>
              <w:jc w:val="center"/>
              <w:rPr>
                <w:sz w:val="20"/>
                <w:szCs w:val="20"/>
                <w:lang w:val="en-CA"/>
              </w:rPr>
            </w:pPr>
            <w:r>
              <w:rPr>
                <w:sz w:val="20"/>
                <w:szCs w:val="20"/>
                <w:lang w:val="en-CA"/>
              </w:rPr>
              <w:t>$5.</w:t>
            </w:r>
            <w:r>
              <w:rPr>
                <w:sz w:val="20"/>
                <w:szCs w:val="20"/>
                <w:lang w:val="en-CA"/>
              </w:rPr>
              <w:t>51</w:t>
            </w:r>
            <w:r>
              <w:rPr>
                <w:sz w:val="20"/>
                <w:szCs w:val="20"/>
                <w:lang w:val="en-CA"/>
              </w:rPr>
              <w:t>**</w:t>
            </w:r>
          </w:p>
        </w:tc>
        <w:tc>
          <w:tcPr>
            <w:tcW w:w="1705" w:type="dxa"/>
          </w:tcPr>
          <w:p w14:paraId="379D7118" w14:textId="77777777" w:rsidR="00DB0A0E" w:rsidRDefault="00C87F2E">
            <w:pPr>
              <w:pStyle w:val="NormalWeb"/>
              <w:spacing w:before="0" w:beforeAutospacing="0" w:after="0" w:afterAutospacing="0"/>
              <w:jc w:val="center"/>
              <w:rPr>
                <w:sz w:val="20"/>
                <w:szCs w:val="20"/>
                <w:lang w:val="en-CA"/>
              </w:rPr>
            </w:pPr>
            <w:r>
              <w:rPr>
                <w:sz w:val="20"/>
                <w:szCs w:val="20"/>
                <w:lang w:val="en-CA"/>
              </w:rPr>
              <w:t>$2</w:t>
            </w:r>
            <w:r>
              <w:rPr>
                <w:sz w:val="20"/>
                <w:szCs w:val="20"/>
                <w:lang w:val="en-CA"/>
              </w:rPr>
              <w:t>3.55</w:t>
            </w:r>
          </w:p>
        </w:tc>
      </w:tr>
      <w:tr w:rsidR="00DB0A0E" w14:paraId="32ABE1F0" w14:textId="77777777">
        <w:tc>
          <w:tcPr>
            <w:tcW w:w="1704" w:type="dxa"/>
          </w:tcPr>
          <w:p w14:paraId="16408C11" w14:textId="77777777" w:rsidR="00DB0A0E" w:rsidRDefault="00C87F2E">
            <w:pPr>
              <w:pStyle w:val="NormalWeb"/>
              <w:spacing w:before="0" w:beforeAutospacing="0" w:after="0" w:afterAutospacing="0"/>
              <w:rPr>
                <w:sz w:val="20"/>
                <w:szCs w:val="20"/>
                <w:lang w:val="en-CA"/>
              </w:rPr>
            </w:pPr>
            <w:r>
              <w:rPr>
                <w:sz w:val="20"/>
                <w:szCs w:val="20"/>
                <w:lang w:val="en-CA"/>
              </w:rPr>
              <w:t>Netback</w:t>
            </w:r>
          </w:p>
        </w:tc>
        <w:tc>
          <w:tcPr>
            <w:tcW w:w="1704" w:type="dxa"/>
          </w:tcPr>
          <w:p w14:paraId="454A1522" w14:textId="77777777" w:rsidR="00DB0A0E" w:rsidRDefault="00C87F2E">
            <w:pPr>
              <w:pStyle w:val="NormalWeb"/>
              <w:spacing w:before="0" w:beforeAutospacing="0" w:after="0" w:afterAutospacing="0"/>
              <w:jc w:val="center"/>
              <w:rPr>
                <w:sz w:val="20"/>
                <w:szCs w:val="20"/>
                <w:lang w:val="en-CA"/>
              </w:rPr>
            </w:pPr>
            <w:r>
              <w:rPr>
                <w:sz w:val="20"/>
                <w:szCs w:val="20"/>
                <w:lang w:val="en-CA"/>
              </w:rPr>
              <w:t>($0.</w:t>
            </w:r>
            <w:proofErr w:type="gramStart"/>
            <w:r>
              <w:rPr>
                <w:sz w:val="20"/>
                <w:szCs w:val="20"/>
                <w:lang w:val="en-CA"/>
              </w:rPr>
              <w:t>34)*</w:t>
            </w:r>
            <w:proofErr w:type="gramEnd"/>
            <w:r>
              <w:rPr>
                <w:sz w:val="20"/>
                <w:szCs w:val="20"/>
                <w:lang w:val="en-CA"/>
              </w:rPr>
              <w:t>*</w:t>
            </w:r>
          </w:p>
        </w:tc>
        <w:tc>
          <w:tcPr>
            <w:tcW w:w="1704" w:type="dxa"/>
          </w:tcPr>
          <w:p w14:paraId="46199297" w14:textId="77777777" w:rsidR="00DB0A0E" w:rsidRDefault="00C87F2E">
            <w:pPr>
              <w:pStyle w:val="NormalWeb"/>
              <w:spacing w:before="0" w:beforeAutospacing="0" w:after="0" w:afterAutospacing="0"/>
              <w:jc w:val="center"/>
              <w:rPr>
                <w:sz w:val="20"/>
                <w:szCs w:val="20"/>
                <w:lang w:val="en-CA"/>
              </w:rPr>
            </w:pPr>
            <w:r>
              <w:rPr>
                <w:sz w:val="20"/>
                <w:szCs w:val="20"/>
                <w:lang w:val="en-CA"/>
              </w:rPr>
              <w:t>$34.65</w:t>
            </w:r>
          </w:p>
        </w:tc>
        <w:tc>
          <w:tcPr>
            <w:tcW w:w="1705" w:type="dxa"/>
          </w:tcPr>
          <w:p w14:paraId="5E199181" w14:textId="77777777" w:rsidR="00DB0A0E" w:rsidRDefault="00C87F2E">
            <w:pPr>
              <w:pStyle w:val="NormalWeb"/>
              <w:spacing w:before="0" w:beforeAutospacing="0" w:after="0" w:afterAutospacing="0"/>
              <w:jc w:val="center"/>
              <w:rPr>
                <w:sz w:val="20"/>
                <w:szCs w:val="20"/>
                <w:lang w:val="en-CA"/>
              </w:rPr>
            </w:pPr>
            <w:r>
              <w:rPr>
                <w:sz w:val="20"/>
                <w:szCs w:val="20"/>
                <w:lang w:val="en-CA"/>
              </w:rPr>
              <w:t>$0.</w:t>
            </w:r>
            <w:r>
              <w:rPr>
                <w:sz w:val="20"/>
                <w:szCs w:val="20"/>
                <w:lang w:val="en-CA"/>
              </w:rPr>
              <w:t>73</w:t>
            </w:r>
            <w:r>
              <w:rPr>
                <w:sz w:val="20"/>
                <w:szCs w:val="20"/>
                <w:lang w:val="en-CA"/>
              </w:rPr>
              <w:t>**</w:t>
            </w:r>
          </w:p>
        </w:tc>
        <w:tc>
          <w:tcPr>
            <w:tcW w:w="1705" w:type="dxa"/>
          </w:tcPr>
          <w:p w14:paraId="15EFFC39" w14:textId="77777777" w:rsidR="00DB0A0E" w:rsidRDefault="00C87F2E">
            <w:pPr>
              <w:pStyle w:val="NormalWeb"/>
              <w:spacing w:before="0" w:beforeAutospacing="0" w:after="0" w:afterAutospacing="0"/>
              <w:jc w:val="center"/>
              <w:rPr>
                <w:sz w:val="20"/>
                <w:szCs w:val="20"/>
                <w:lang w:val="en-CA"/>
              </w:rPr>
            </w:pPr>
            <w:r>
              <w:rPr>
                <w:sz w:val="20"/>
                <w:szCs w:val="20"/>
                <w:lang w:val="en-CA"/>
              </w:rPr>
              <w:t>$31.</w:t>
            </w:r>
            <w:r>
              <w:rPr>
                <w:sz w:val="20"/>
                <w:szCs w:val="20"/>
                <w:lang w:val="en-CA"/>
              </w:rPr>
              <w:t>09</w:t>
            </w:r>
          </w:p>
        </w:tc>
      </w:tr>
    </w:tbl>
    <w:p w14:paraId="070775C1" w14:textId="77777777" w:rsidR="00DB0A0E" w:rsidRDefault="00C87F2E">
      <w:pPr>
        <w:pStyle w:val="NormalWeb"/>
        <w:spacing w:before="0" w:beforeAutospacing="0" w:after="0" w:afterAutospacing="0"/>
        <w:jc w:val="both"/>
        <w:rPr>
          <w:sz w:val="20"/>
          <w:szCs w:val="20"/>
          <w:lang w:val="en-CA"/>
        </w:rPr>
      </w:pPr>
      <w:r>
        <w:rPr>
          <w:sz w:val="20"/>
          <w:szCs w:val="20"/>
          <w:lang w:val="en-CA"/>
        </w:rPr>
        <w:t xml:space="preserve">* net to </w:t>
      </w:r>
      <w:proofErr w:type="spellStart"/>
      <w:r>
        <w:rPr>
          <w:sz w:val="20"/>
          <w:szCs w:val="20"/>
          <w:lang w:val="en-CA"/>
        </w:rPr>
        <w:t>Trllion</w:t>
      </w:r>
      <w:proofErr w:type="spellEnd"/>
      <w:r>
        <w:rPr>
          <w:sz w:val="20"/>
          <w:szCs w:val="20"/>
          <w:lang w:val="en-CA"/>
        </w:rPr>
        <w:t xml:space="preserve"> after utility gas; ** costs high and netback low as production is at minimum and </w:t>
      </w:r>
      <w:proofErr w:type="spellStart"/>
      <w:r>
        <w:rPr>
          <w:sz w:val="20"/>
          <w:szCs w:val="20"/>
          <w:lang w:val="en-CA"/>
        </w:rPr>
        <w:t>Opex</w:t>
      </w:r>
      <w:proofErr w:type="spellEnd"/>
      <w:r>
        <w:rPr>
          <w:sz w:val="20"/>
          <w:szCs w:val="20"/>
          <w:lang w:val="en-CA"/>
        </w:rPr>
        <w:t xml:space="preserve"> cost is </w:t>
      </w:r>
      <w:r>
        <w:rPr>
          <w:sz w:val="20"/>
          <w:szCs w:val="20"/>
          <w:lang w:val="en-CA"/>
        </w:rPr>
        <w:t>predominantly fixed and will be substantially lower per Mcf as production increases.</w:t>
      </w:r>
    </w:p>
    <w:p w14:paraId="443D1E1E" w14:textId="77777777" w:rsidR="00DB0A0E" w:rsidRDefault="00DB0A0E">
      <w:pPr>
        <w:pStyle w:val="NormalWeb"/>
        <w:spacing w:before="0" w:beforeAutospacing="0" w:after="0" w:afterAutospacing="0"/>
        <w:jc w:val="both"/>
        <w:rPr>
          <w:sz w:val="20"/>
          <w:szCs w:val="20"/>
          <w:lang w:val="en-CA"/>
        </w:rPr>
      </w:pPr>
    </w:p>
    <w:p w14:paraId="77B936CB" w14:textId="77777777" w:rsidR="00DB0A0E" w:rsidRDefault="00C87F2E">
      <w:pPr>
        <w:pStyle w:val="NormalWeb"/>
        <w:spacing w:before="0" w:beforeAutospacing="0" w:after="0" w:afterAutospacing="0"/>
        <w:jc w:val="both"/>
        <w:rPr>
          <w:sz w:val="20"/>
          <w:szCs w:val="20"/>
        </w:rPr>
      </w:pPr>
      <w:r>
        <w:rPr>
          <w:b/>
          <w:bCs/>
          <w:i/>
          <w:iCs/>
          <w:sz w:val="20"/>
          <w:szCs w:val="20"/>
        </w:rPr>
        <w:t>Expenses</w:t>
      </w:r>
    </w:p>
    <w:p w14:paraId="1777F80B" w14:textId="77777777" w:rsidR="00DB0A0E" w:rsidRDefault="00C87F2E">
      <w:pPr>
        <w:pStyle w:val="NormalWeb"/>
        <w:spacing w:before="0" w:beforeAutospacing="0" w:after="0" w:afterAutospacing="0"/>
        <w:jc w:val="both"/>
        <w:rPr>
          <w:sz w:val="20"/>
          <w:szCs w:val="20"/>
        </w:rPr>
      </w:pPr>
      <w:r>
        <w:rPr>
          <w:sz w:val="20"/>
          <w:szCs w:val="20"/>
        </w:rPr>
        <w:t> </w:t>
      </w:r>
    </w:p>
    <w:p w14:paraId="70737FDB" w14:textId="77777777" w:rsidR="00DB0A0E" w:rsidRDefault="00C87F2E">
      <w:pPr>
        <w:pStyle w:val="NormalWeb"/>
        <w:spacing w:before="0" w:beforeAutospacing="0" w:after="0" w:afterAutospacing="0"/>
        <w:jc w:val="both"/>
        <w:rPr>
          <w:sz w:val="20"/>
          <w:szCs w:val="20"/>
          <w:lang w:val="en-CA"/>
        </w:rPr>
      </w:pPr>
      <w:r>
        <w:rPr>
          <w:sz w:val="20"/>
          <w:szCs w:val="20"/>
          <w:lang w:val="en-CA"/>
        </w:rPr>
        <w:t xml:space="preserve">For the year ended December 1, 2019 the Company incurred production expenses related to its </w:t>
      </w:r>
      <w:proofErr w:type="spellStart"/>
      <w:r>
        <w:rPr>
          <w:sz w:val="20"/>
          <w:szCs w:val="20"/>
          <w:lang w:val="en-CA"/>
        </w:rPr>
        <w:t>Tiway</w:t>
      </w:r>
      <w:proofErr w:type="spellEnd"/>
      <w:r>
        <w:rPr>
          <w:sz w:val="20"/>
          <w:szCs w:val="20"/>
          <w:lang w:val="en-CA"/>
        </w:rPr>
        <w:t xml:space="preserve"> operations of $2,593,180 (2018 - $2,802,080), </w:t>
      </w:r>
      <w:r>
        <w:rPr>
          <w:sz w:val="20"/>
          <w:szCs w:val="20"/>
          <w:lang w:val="en-CA"/>
        </w:rPr>
        <w:t>depletion charges of $302,094 (2018 - $700,219), depreciation expense of $59,020 (2018 - $29,408) and asset retirement obligations accretion expense of $417,965 (2018 - $371,526) for the year ended December 31, 2019. Accretion of asset retirement costs inc</w:t>
      </w:r>
      <w:r>
        <w:rPr>
          <w:sz w:val="20"/>
          <w:szCs w:val="20"/>
          <w:lang w:val="en-CA"/>
        </w:rPr>
        <w:t xml:space="preserve">reased by $46,439 for the year ended December 31, 2019 primarily due to the increase in the asset retirement obligation cost base from the </w:t>
      </w:r>
      <w:proofErr w:type="spellStart"/>
      <w:r>
        <w:rPr>
          <w:sz w:val="20"/>
          <w:szCs w:val="20"/>
          <w:lang w:val="en-CA"/>
        </w:rPr>
        <w:t>Foinavan</w:t>
      </w:r>
      <w:proofErr w:type="spellEnd"/>
      <w:r>
        <w:rPr>
          <w:sz w:val="20"/>
          <w:szCs w:val="20"/>
          <w:lang w:val="en-CA"/>
        </w:rPr>
        <w:t xml:space="preserve"> interest acquired in the prior year. Depreciation increased by $29,612 for the year ended December 31, 2019 </w:t>
      </w:r>
      <w:r>
        <w:rPr>
          <w:sz w:val="20"/>
          <w:szCs w:val="20"/>
          <w:lang w:val="en-CA"/>
        </w:rPr>
        <w:t>primarily due to the capitalization and depreciation of right-of-use assets following the adoption of Topic 842 in the year. Production expenses and depletion charges decreased by $208,900 ad $398,125, respectively, primarily due to devaluation of the Turk</w:t>
      </w:r>
      <w:r>
        <w:rPr>
          <w:sz w:val="20"/>
          <w:szCs w:val="20"/>
          <w:lang w:val="en-CA"/>
        </w:rPr>
        <w:t>ish Lira compared to the U.S. dollar of approximately 17% over the comparable period and was partially offset by an increase production costs due to higher production in the current year.</w:t>
      </w:r>
    </w:p>
    <w:p w14:paraId="19FCE7CD" w14:textId="77777777" w:rsidR="00DB0A0E" w:rsidRDefault="00DB0A0E">
      <w:pPr>
        <w:pStyle w:val="NormalWeb"/>
        <w:spacing w:before="0" w:beforeAutospacing="0" w:after="0" w:afterAutospacing="0"/>
        <w:jc w:val="both"/>
        <w:rPr>
          <w:sz w:val="20"/>
          <w:szCs w:val="20"/>
          <w:lang w:val="en-CA"/>
        </w:rPr>
      </w:pPr>
    </w:p>
    <w:p w14:paraId="1655650A" w14:textId="77777777" w:rsidR="00DB0A0E" w:rsidRDefault="00C87F2E">
      <w:pPr>
        <w:pStyle w:val="NormalWeb"/>
        <w:spacing w:before="0" w:beforeAutospacing="0" w:after="0" w:afterAutospacing="0"/>
        <w:jc w:val="both"/>
        <w:rPr>
          <w:sz w:val="20"/>
          <w:szCs w:val="20"/>
          <w:lang w:val="en-CA"/>
        </w:rPr>
      </w:pPr>
      <w:r>
        <w:rPr>
          <w:sz w:val="20"/>
          <w:szCs w:val="20"/>
          <w:lang w:val="en-CA"/>
        </w:rPr>
        <w:t>For the year ended December 31, 2019 the Company had stock-based co</w:t>
      </w:r>
      <w:r>
        <w:rPr>
          <w:sz w:val="20"/>
          <w:szCs w:val="20"/>
          <w:lang w:val="en-CA"/>
        </w:rPr>
        <w:t xml:space="preserve">mpensation of $437,725 compared to $337,227 for the year ended December 31, 2018. The expense for the year ended December 31, 2019 included $379,225 for the grant of 3,800,000 stock options under the 2013 Option Plan and $58,500 for the </w:t>
      </w:r>
      <w:proofErr w:type="spellStart"/>
      <w:r>
        <w:rPr>
          <w:sz w:val="20"/>
          <w:szCs w:val="20"/>
          <w:lang w:val="en-CA"/>
        </w:rPr>
        <w:t>garn</w:t>
      </w:r>
      <w:proofErr w:type="spellEnd"/>
      <w:r>
        <w:rPr>
          <w:sz w:val="20"/>
          <w:szCs w:val="20"/>
          <w:lang w:val="en-CA"/>
        </w:rPr>
        <w:t xml:space="preserve"> and vesting of</w:t>
      </w:r>
      <w:r>
        <w:rPr>
          <w:sz w:val="20"/>
          <w:szCs w:val="20"/>
          <w:lang w:val="en-CA"/>
        </w:rPr>
        <w:t xml:space="preserve"> 585,000 RSU’s.</w:t>
      </w:r>
    </w:p>
    <w:p w14:paraId="6511E1A2" w14:textId="77777777" w:rsidR="00DB0A0E" w:rsidRDefault="00DB0A0E">
      <w:pPr>
        <w:pStyle w:val="NormalWeb"/>
        <w:spacing w:before="0" w:beforeAutospacing="0" w:after="0" w:afterAutospacing="0"/>
        <w:jc w:val="both"/>
        <w:rPr>
          <w:sz w:val="20"/>
          <w:szCs w:val="20"/>
          <w:lang w:val="en-CA"/>
        </w:rPr>
      </w:pPr>
    </w:p>
    <w:p w14:paraId="7A09FC1C" w14:textId="77777777" w:rsidR="00DB0A0E" w:rsidRDefault="00C87F2E">
      <w:pPr>
        <w:pStyle w:val="NormalWeb"/>
        <w:spacing w:before="0" w:beforeAutospacing="0" w:after="0" w:afterAutospacing="0"/>
        <w:jc w:val="both"/>
        <w:rPr>
          <w:sz w:val="20"/>
          <w:szCs w:val="20"/>
          <w:lang w:val="en-CA"/>
        </w:rPr>
      </w:pPr>
      <w:r>
        <w:rPr>
          <w:sz w:val="20"/>
          <w:szCs w:val="20"/>
          <w:lang w:val="en-CA"/>
        </w:rPr>
        <w:t xml:space="preserve">For the year ended December 31, 2019 the Company had general and administrative expenses of $1,824,561, compared to $2,118,213 for the year ended December 31, 2018. $756,181 in expenses were from the North American head office, which </w:t>
      </w:r>
      <w:r>
        <w:rPr>
          <w:sz w:val="20"/>
          <w:szCs w:val="20"/>
          <w:lang w:val="en-CA"/>
        </w:rPr>
        <w:t xml:space="preserve">resulted in a year over year decrease of $250,265. In </w:t>
      </w:r>
      <w:proofErr w:type="gramStart"/>
      <w:r>
        <w:rPr>
          <w:sz w:val="20"/>
          <w:szCs w:val="20"/>
          <w:lang w:val="en-CA"/>
        </w:rPr>
        <w:t>general</w:t>
      </w:r>
      <w:proofErr w:type="gramEnd"/>
      <w:r>
        <w:rPr>
          <w:sz w:val="20"/>
          <w:szCs w:val="20"/>
          <w:lang w:val="en-CA"/>
        </w:rPr>
        <w:t xml:space="preserve"> &amp; administrative expenses in the North American operations, $107,300 was for consulting and management fees, $127,791 for legal and professional fees and $167,789 for audit and financial service</w:t>
      </w:r>
      <w:r>
        <w:rPr>
          <w:sz w:val="20"/>
          <w:szCs w:val="20"/>
          <w:lang w:val="en-CA"/>
        </w:rPr>
        <w:t>s. Turkey general and administrative expenses accounted for $1,069,128 of the total general and administrative for 2019.</w:t>
      </w:r>
    </w:p>
    <w:p w14:paraId="6C19AC77" w14:textId="77777777" w:rsidR="00DB0A0E" w:rsidRDefault="00DB0A0E">
      <w:pPr>
        <w:pStyle w:val="NormalWeb"/>
        <w:spacing w:before="0" w:beforeAutospacing="0" w:after="0" w:afterAutospacing="0"/>
        <w:jc w:val="both"/>
        <w:rPr>
          <w:sz w:val="20"/>
          <w:szCs w:val="20"/>
        </w:rPr>
      </w:pPr>
    </w:p>
    <w:p w14:paraId="2FFA3975" w14:textId="77777777" w:rsidR="00DB0A0E" w:rsidRDefault="00C87F2E">
      <w:pPr>
        <w:pStyle w:val="NormalWeb"/>
        <w:spacing w:before="0" w:beforeAutospacing="0" w:after="0" w:afterAutospacing="0"/>
        <w:jc w:val="both"/>
        <w:rPr>
          <w:sz w:val="20"/>
          <w:szCs w:val="20"/>
        </w:rPr>
      </w:pPr>
      <w:r>
        <w:rPr>
          <w:sz w:val="20"/>
          <w:szCs w:val="20"/>
          <w:lang w:val="en-CA"/>
        </w:rPr>
        <w:t xml:space="preserve">The increase in legal and professional fees were in </w:t>
      </w:r>
      <w:r>
        <w:rPr>
          <w:sz w:val="20"/>
          <w:szCs w:val="20"/>
        </w:rPr>
        <w:t>relation to the preparation of the Preliminary Prospectus filed in the first quart</w:t>
      </w:r>
      <w:r>
        <w:rPr>
          <w:sz w:val="20"/>
          <w:szCs w:val="20"/>
        </w:rPr>
        <w:t>er of 2019 and the application to list the Company’s common shares on the Canadian Securities Exchange (the “CSE”).</w:t>
      </w:r>
    </w:p>
    <w:p w14:paraId="2D7B0A75" w14:textId="77777777" w:rsidR="00DB0A0E" w:rsidRDefault="00DB0A0E">
      <w:pPr>
        <w:pStyle w:val="NormalWeb"/>
        <w:spacing w:before="0" w:beforeAutospacing="0" w:after="0" w:afterAutospacing="0"/>
        <w:jc w:val="both"/>
        <w:rPr>
          <w:sz w:val="20"/>
          <w:szCs w:val="20"/>
        </w:rPr>
      </w:pPr>
    </w:p>
    <w:p w14:paraId="644CF2E2" w14:textId="77777777" w:rsidR="00DB0A0E" w:rsidRDefault="00C87F2E">
      <w:pPr>
        <w:pStyle w:val="NormalWeb"/>
        <w:spacing w:before="0" w:beforeAutospacing="0" w:after="0" w:afterAutospacing="0"/>
        <w:jc w:val="both"/>
        <w:rPr>
          <w:sz w:val="20"/>
          <w:szCs w:val="20"/>
          <w:lang w:val="en-CA"/>
        </w:rPr>
      </w:pPr>
      <w:r>
        <w:rPr>
          <w:sz w:val="20"/>
          <w:szCs w:val="20"/>
          <w:lang w:val="en-CA"/>
        </w:rPr>
        <w:t xml:space="preserve">General and </w:t>
      </w:r>
      <w:proofErr w:type="spellStart"/>
      <w:r>
        <w:rPr>
          <w:sz w:val="20"/>
          <w:szCs w:val="20"/>
          <w:lang w:val="en-CA"/>
        </w:rPr>
        <w:t>Adminstrative</w:t>
      </w:r>
      <w:proofErr w:type="spellEnd"/>
      <w:r>
        <w:rPr>
          <w:sz w:val="20"/>
          <w:szCs w:val="20"/>
          <w:lang w:val="en-CA"/>
        </w:rPr>
        <w:t xml:space="preserve"> Expenses (“G&amp;A”)</w:t>
      </w:r>
    </w:p>
    <w:tbl>
      <w:tblPr>
        <w:tblStyle w:val="TableGrid"/>
        <w:tblW w:w="8522" w:type="dxa"/>
        <w:tblLayout w:type="fixed"/>
        <w:tblLook w:val="04A0" w:firstRow="1" w:lastRow="0" w:firstColumn="1" w:lastColumn="0" w:noHBand="0" w:noVBand="1"/>
      </w:tblPr>
      <w:tblGrid>
        <w:gridCol w:w="2840"/>
        <w:gridCol w:w="2841"/>
        <w:gridCol w:w="2841"/>
      </w:tblGrid>
      <w:tr w:rsidR="00DB0A0E" w14:paraId="6E903D90" w14:textId="77777777">
        <w:tc>
          <w:tcPr>
            <w:tcW w:w="2840" w:type="dxa"/>
          </w:tcPr>
          <w:p w14:paraId="770EB3C5" w14:textId="77777777" w:rsidR="00DB0A0E" w:rsidRDefault="00C87F2E">
            <w:pPr>
              <w:pStyle w:val="NormalWeb"/>
              <w:spacing w:before="0" w:beforeAutospacing="0" w:after="0" w:afterAutospacing="0"/>
              <w:rPr>
                <w:sz w:val="20"/>
                <w:szCs w:val="20"/>
                <w:lang w:val="en-CA"/>
              </w:rPr>
            </w:pPr>
            <w:r>
              <w:rPr>
                <w:sz w:val="20"/>
                <w:szCs w:val="20"/>
                <w:lang w:val="en-CA"/>
              </w:rPr>
              <w:t>Year</w:t>
            </w:r>
          </w:p>
        </w:tc>
        <w:tc>
          <w:tcPr>
            <w:tcW w:w="2841" w:type="dxa"/>
          </w:tcPr>
          <w:p w14:paraId="0A138D72" w14:textId="77777777" w:rsidR="00DB0A0E" w:rsidRDefault="00C87F2E">
            <w:pPr>
              <w:pStyle w:val="NormalWeb"/>
              <w:spacing w:before="0" w:beforeAutospacing="0" w:after="0" w:afterAutospacing="0"/>
              <w:jc w:val="center"/>
              <w:rPr>
                <w:sz w:val="20"/>
                <w:szCs w:val="20"/>
                <w:lang w:val="en-CA"/>
              </w:rPr>
            </w:pPr>
            <w:r>
              <w:rPr>
                <w:sz w:val="20"/>
                <w:szCs w:val="20"/>
                <w:lang w:val="en-CA"/>
              </w:rPr>
              <w:t>2019</w:t>
            </w:r>
          </w:p>
        </w:tc>
        <w:tc>
          <w:tcPr>
            <w:tcW w:w="2841" w:type="dxa"/>
          </w:tcPr>
          <w:p w14:paraId="2B261213" w14:textId="77777777" w:rsidR="00DB0A0E" w:rsidRDefault="00C87F2E">
            <w:pPr>
              <w:pStyle w:val="NormalWeb"/>
              <w:spacing w:before="0" w:beforeAutospacing="0" w:after="0" w:afterAutospacing="0"/>
              <w:jc w:val="center"/>
              <w:rPr>
                <w:sz w:val="20"/>
                <w:szCs w:val="20"/>
                <w:lang w:val="en-CA"/>
              </w:rPr>
            </w:pPr>
            <w:r>
              <w:rPr>
                <w:sz w:val="20"/>
                <w:szCs w:val="20"/>
                <w:lang w:val="en-CA"/>
              </w:rPr>
              <w:t>2018</w:t>
            </w:r>
          </w:p>
        </w:tc>
      </w:tr>
      <w:tr w:rsidR="00DB0A0E" w14:paraId="6A7602C3" w14:textId="77777777">
        <w:tc>
          <w:tcPr>
            <w:tcW w:w="2840" w:type="dxa"/>
          </w:tcPr>
          <w:p w14:paraId="2E96B546" w14:textId="77777777" w:rsidR="00DB0A0E" w:rsidRDefault="00C87F2E">
            <w:pPr>
              <w:pStyle w:val="NormalWeb"/>
              <w:spacing w:before="0" w:beforeAutospacing="0" w:after="0" w:afterAutospacing="0"/>
              <w:rPr>
                <w:sz w:val="20"/>
                <w:szCs w:val="20"/>
                <w:lang w:val="en-CA"/>
              </w:rPr>
            </w:pPr>
            <w:r>
              <w:rPr>
                <w:sz w:val="20"/>
                <w:szCs w:val="20"/>
                <w:lang w:val="en-CA"/>
              </w:rPr>
              <w:t>Gross G&amp;A</w:t>
            </w:r>
          </w:p>
        </w:tc>
        <w:tc>
          <w:tcPr>
            <w:tcW w:w="2841" w:type="dxa"/>
          </w:tcPr>
          <w:p w14:paraId="66B510EC" w14:textId="77777777" w:rsidR="00DB0A0E" w:rsidRDefault="00C87F2E">
            <w:pPr>
              <w:pStyle w:val="NormalWeb"/>
              <w:spacing w:before="0" w:beforeAutospacing="0" w:after="0" w:afterAutospacing="0"/>
              <w:jc w:val="center"/>
              <w:rPr>
                <w:sz w:val="20"/>
                <w:szCs w:val="20"/>
                <w:lang w:val="en-CA"/>
              </w:rPr>
            </w:pPr>
            <w:r>
              <w:rPr>
                <w:sz w:val="20"/>
                <w:szCs w:val="20"/>
                <w:lang w:val="en-CA"/>
              </w:rPr>
              <w:t>$1,824,561*</w:t>
            </w:r>
          </w:p>
        </w:tc>
        <w:tc>
          <w:tcPr>
            <w:tcW w:w="2841" w:type="dxa"/>
          </w:tcPr>
          <w:p w14:paraId="4B572D69" w14:textId="77777777" w:rsidR="00DB0A0E" w:rsidRDefault="00C87F2E">
            <w:pPr>
              <w:pStyle w:val="NormalWeb"/>
              <w:spacing w:before="0" w:beforeAutospacing="0" w:after="0" w:afterAutospacing="0"/>
              <w:jc w:val="center"/>
              <w:rPr>
                <w:sz w:val="20"/>
                <w:szCs w:val="20"/>
                <w:lang w:val="en-CA"/>
              </w:rPr>
            </w:pPr>
            <w:r>
              <w:rPr>
                <w:sz w:val="20"/>
                <w:szCs w:val="20"/>
                <w:lang w:val="en-CA"/>
              </w:rPr>
              <w:t>$2,118,213</w:t>
            </w:r>
          </w:p>
        </w:tc>
      </w:tr>
      <w:tr w:rsidR="00DB0A0E" w14:paraId="5121E7D9" w14:textId="77777777">
        <w:tc>
          <w:tcPr>
            <w:tcW w:w="2840" w:type="dxa"/>
          </w:tcPr>
          <w:p w14:paraId="4C54E914" w14:textId="77777777" w:rsidR="00DB0A0E" w:rsidRDefault="00C87F2E">
            <w:pPr>
              <w:pStyle w:val="NormalWeb"/>
              <w:spacing w:before="0" w:beforeAutospacing="0" w:after="0" w:afterAutospacing="0"/>
              <w:rPr>
                <w:sz w:val="20"/>
                <w:szCs w:val="20"/>
                <w:lang w:val="en-CA"/>
              </w:rPr>
            </w:pPr>
            <w:r>
              <w:rPr>
                <w:sz w:val="20"/>
                <w:szCs w:val="20"/>
                <w:lang w:val="en-CA"/>
              </w:rPr>
              <w:t xml:space="preserve">$ per </w:t>
            </w:r>
            <w:proofErr w:type="spellStart"/>
            <w:r>
              <w:rPr>
                <w:sz w:val="20"/>
                <w:szCs w:val="20"/>
                <w:lang w:val="en-CA"/>
              </w:rPr>
              <w:t>boe</w:t>
            </w:r>
            <w:proofErr w:type="spellEnd"/>
          </w:p>
        </w:tc>
        <w:tc>
          <w:tcPr>
            <w:tcW w:w="2841" w:type="dxa"/>
          </w:tcPr>
          <w:p w14:paraId="707E6FDE" w14:textId="77777777" w:rsidR="00DB0A0E" w:rsidRDefault="00C87F2E">
            <w:pPr>
              <w:pStyle w:val="NormalWeb"/>
              <w:spacing w:before="0" w:beforeAutospacing="0" w:after="0" w:afterAutospacing="0"/>
              <w:jc w:val="center"/>
              <w:rPr>
                <w:sz w:val="20"/>
                <w:szCs w:val="20"/>
                <w:lang w:val="en-CA"/>
              </w:rPr>
            </w:pPr>
            <w:r>
              <w:rPr>
                <w:sz w:val="20"/>
                <w:szCs w:val="20"/>
                <w:lang w:val="en-CA"/>
              </w:rPr>
              <w:t>$26.17</w:t>
            </w:r>
          </w:p>
        </w:tc>
        <w:tc>
          <w:tcPr>
            <w:tcW w:w="2841" w:type="dxa"/>
          </w:tcPr>
          <w:p w14:paraId="3D967C0E" w14:textId="77777777" w:rsidR="00DB0A0E" w:rsidRDefault="00C87F2E">
            <w:pPr>
              <w:pStyle w:val="NormalWeb"/>
              <w:spacing w:before="0" w:beforeAutospacing="0" w:after="0" w:afterAutospacing="0"/>
              <w:jc w:val="center"/>
              <w:rPr>
                <w:sz w:val="20"/>
                <w:szCs w:val="20"/>
                <w:lang w:val="en-CA"/>
              </w:rPr>
            </w:pPr>
            <w:r>
              <w:rPr>
                <w:sz w:val="20"/>
                <w:szCs w:val="20"/>
                <w:lang w:val="en-CA"/>
              </w:rPr>
              <w:t>$29.31</w:t>
            </w:r>
          </w:p>
        </w:tc>
      </w:tr>
    </w:tbl>
    <w:p w14:paraId="1CC8439B" w14:textId="77777777" w:rsidR="00DB0A0E" w:rsidRDefault="00C87F2E">
      <w:pPr>
        <w:pStyle w:val="NormalWeb"/>
        <w:spacing w:before="0" w:beforeAutospacing="0" w:after="0" w:afterAutospacing="0"/>
        <w:jc w:val="both"/>
        <w:rPr>
          <w:sz w:val="20"/>
          <w:szCs w:val="20"/>
          <w:lang w:val="en-CA"/>
        </w:rPr>
      </w:pPr>
      <w:r>
        <w:rPr>
          <w:sz w:val="20"/>
          <w:szCs w:val="20"/>
          <w:lang w:val="en-CA"/>
        </w:rPr>
        <w:t xml:space="preserve">*$756,181 for </w:t>
      </w:r>
      <w:r>
        <w:rPr>
          <w:sz w:val="20"/>
          <w:szCs w:val="20"/>
          <w:lang w:val="en-CA"/>
        </w:rPr>
        <w:t>North American Office of which $107,300 was for consulting and management fees, $127,791 for legal and professional fees, $167,789 for audit and financial services.</w:t>
      </w:r>
    </w:p>
    <w:p w14:paraId="49D647A2" w14:textId="77777777" w:rsidR="00DB0A0E" w:rsidRDefault="00DB0A0E">
      <w:pPr>
        <w:pStyle w:val="NormalWeb"/>
        <w:spacing w:before="0" w:beforeAutospacing="0" w:after="0" w:afterAutospacing="0"/>
        <w:jc w:val="both"/>
        <w:rPr>
          <w:sz w:val="20"/>
          <w:szCs w:val="20"/>
        </w:rPr>
      </w:pPr>
    </w:p>
    <w:p w14:paraId="3C86DFC7" w14:textId="77777777" w:rsidR="00DB0A0E" w:rsidRDefault="00DB0A0E">
      <w:pPr>
        <w:pStyle w:val="NormalWeb"/>
        <w:spacing w:before="0" w:beforeAutospacing="0" w:after="0" w:afterAutospacing="0"/>
        <w:jc w:val="both"/>
        <w:rPr>
          <w:sz w:val="20"/>
          <w:szCs w:val="20"/>
        </w:rPr>
      </w:pPr>
    </w:p>
    <w:p w14:paraId="1D43AB8A" w14:textId="77777777" w:rsidR="00DB0A0E" w:rsidRDefault="00C87F2E">
      <w:pPr>
        <w:pStyle w:val="NormalWeb"/>
        <w:spacing w:before="0" w:beforeAutospacing="0" w:after="0" w:afterAutospacing="0"/>
        <w:jc w:val="both"/>
        <w:rPr>
          <w:sz w:val="20"/>
          <w:szCs w:val="20"/>
        </w:rPr>
      </w:pPr>
      <w:r>
        <w:rPr>
          <w:b/>
          <w:bCs/>
          <w:i/>
          <w:iCs/>
          <w:sz w:val="20"/>
          <w:szCs w:val="20"/>
        </w:rPr>
        <w:t>Other Income (Expense)</w:t>
      </w:r>
    </w:p>
    <w:p w14:paraId="4818833B" w14:textId="77777777" w:rsidR="00DB0A0E" w:rsidRDefault="00DB0A0E">
      <w:pPr>
        <w:pStyle w:val="NormalWeb"/>
        <w:spacing w:before="0" w:beforeAutospacing="0" w:after="0" w:afterAutospacing="0"/>
        <w:jc w:val="both"/>
        <w:rPr>
          <w:sz w:val="20"/>
          <w:szCs w:val="20"/>
        </w:rPr>
      </w:pPr>
    </w:p>
    <w:p w14:paraId="6F6F4DD1" w14:textId="77777777" w:rsidR="00DB0A0E" w:rsidRDefault="00C87F2E">
      <w:pPr>
        <w:pStyle w:val="NormalWeb"/>
        <w:spacing w:before="0" w:beforeAutospacing="0" w:after="0" w:afterAutospacing="0"/>
        <w:jc w:val="both"/>
        <w:rPr>
          <w:sz w:val="20"/>
          <w:szCs w:val="20"/>
        </w:rPr>
      </w:pPr>
      <w:r>
        <w:rPr>
          <w:sz w:val="20"/>
          <w:szCs w:val="20"/>
          <w:lang w:val="en-CA"/>
        </w:rPr>
        <w:t>For the year ended December 31, 2019 the Company had net other in</w:t>
      </w:r>
      <w:r>
        <w:rPr>
          <w:sz w:val="20"/>
          <w:szCs w:val="20"/>
          <w:lang w:val="en-CA"/>
        </w:rPr>
        <w:t>come of $627 compared to other expenses of $272,650 for the year ended December 31, 2018. For the year ended December 31, 2019 other income (expense) consisted primarily of interest expense and foreign exchange loss, partially offset by other income and in</w:t>
      </w:r>
      <w:r>
        <w:rPr>
          <w:sz w:val="20"/>
          <w:szCs w:val="20"/>
          <w:lang w:val="en-CA"/>
        </w:rPr>
        <w:t>terest income. For the year ended December 31, 2018, other income (expense) consisted primarily of warrant modifications expense, loss on debt settlement and interest expense, partially offset by other income and foreign exchange gain.</w:t>
      </w:r>
    </w:p>
    <w:p w14:paraId="1C092D89" w14:textId="77777777" w:rsidR="00DB0A0E" w:rsidRDefault="00DB0A0E">
      <w:pPr>
        <w:pStyle w:val="NormalWeb"/>
        <w:spacing w:before="0" w:beforeAutospacing="0" w:after="0" w:afterAutospacing="0"/>
        <w:jc w:val="both"/>
        <w:rPr>
          <w:b/>
          <w:bCs/>
          <w:i/>
          <w:iCs/>
          <w:sz w:val="20"/>
          <w:szCs w:val="20"/>
        </w:rPr>
      </w:pPr>
    </w:p>
    <w:p w14:paraId="272495BF" w14:textId="77777777" w:rsidR="00DB0A0E" w:rsidRDefault="00C87F2E">
      <w:pPr>
        <w:pStyle w:val="NormalWeb"/>
        <w:spacing w:before="0" w:beforeAutospacing="0" w:after="0" w:afterAutospacing="0"/>
        <w:jc w:val="both"/>
        <w:rPr>
          <w:sz w:val="20"/>
          <w:szCs w:val="20"/>
        </w:rPr>
      </w:pPr>
      <w:r>
        <w:rPr>
          <w:b/>
          <w:bCs/>
          <w:i/>
          <w:iCs/>
          <w:sz w:val="20"/>
          <w:szCs w:val="20"/>
        </w:rPr>
        <w:t>Loss</w:t>
      </w:r>
    </w:p>
    <w:p w14:paraId="419183F9" w14:textId="77777777" w:rsidR="00DB0A0E" w:rsidRDefault="00C87F2E">
      <w:pPr>
        <w:pStyle w:val="NormalWeb"/>
        <w:spacing w:before="0" w:beforeAutospacing="0" w:after="0" w:afterAutospacing="0"/>
        <w:jc w:val="both"/>
        <w:rPr>
          <w:sz w:val="20"/>
          <w:szCs w:val="20"/>
        </w:rPr>
      </w:pPr>
      <w:r>
        <w:rPr>
          <w:sz w:val="20"/>
          <w:szCs w:val="20"/>
        </w:rPr>
        <w:t> </w:t>
      </w:r>
    </w:p>
    <w:p w14:paraId="0680BB28" w14:textId="77777777" w:rsidR="00DB0A0E" w:rsidRDefault="00C87F2E">
      <w:pPr>
        <w:pStyle w:val="NormalWeb"/>
        <w:spacing w:before="0" w:beforeAutospacing="0" w:after="0" w:afterAutospacing="0"/>
        <w:jc w:val="both"/>
        <w:rPr>
          <w:sz w:val="20"/>
          <w:szCs w:val="20"/>
        </w:rPr>
      </w:pPr>
      <w:r>
        <w:rPr>
          <w:sz w:val="20"/>
          <w:szCs w:val="20"/>
          <w:lang w:val="en-CA"/>
        </w:rPr>
        <w:t>Our net loss</w:t>
      </w:r>
      <w:r>
        <w:rPr>
          <w:sz w:val="20"/>
          <w:szCs w:val="20"/>
          <w:lang w:val="en-CA"/>
        </w:rPr>
        <w:t xml:space="preserve"> for the year ended December 31, 2019 was $1,718,199 compared to $2,375,513 for the year ended December 31, 2018 for the reasons explained above.</w:t>
      </w:r>
      <w:r>
        <w:rPr>
          <w:sz w:val="20"/>
          <w:szCs w:val="20"/>
        </w:rPr>
        <w:t> </w:t>
      </w:r>
    </w:p>
    <w:p w14:paraId="13989CE4" w14:textId="77777777" w:rsidR="00DB0A0E" w:rsidRDefault="00DB0A0E">
      <w:pPr>
        <w:pStyle w:val="NormalWeb"/>
        <w:spacing w:before="0" w:beforeAutospacing="0" w:after="0" w:afterAutospacing="0"/>
        <w:jc w:val="both"/>
        <w:rPr>
          <w:b/>
          <w:bCs/>
          <w:sz w:val="20"/>
          <w:szCs w:val="20"/>
        </w:rPr>
      </w:pPr>
    </w:p>
    <w:p w14:paraId="60C78282" w14:textId="77777777" w:rsidR="00DB0A0E" w:rsidRDefault="00C87F2E">
      <w:pPr>
        <w:pStyle w:val="NormalWeb"/>
        <w:spacing w:before="0" w:beforeAutospacing="0" w:after="0" w:afterAutospacing="0"/>
        <w:jc w:val="both"/>
        <w:rPr>
          <w:sz w:val="20"/>
          <w:szCs w:val="20"/>
        </w:rPr>
      </w:pPr>
      <w:r>
        <w:rPr>
          <w:b/>
          <w:bCs/>
          <w:sz w:val="20"/>
          <w:szCs w:val="20"/>
        </w:rPr>
        <w:t xml:space="preserve">Liquidity and Capital Resources </w:t>
      </w:r>
    </w:p>
    <w:p w14:paraId="60E6B175" w14:textId="77777777" w:rsidR="00DB0A0E" w:rsidRDefault="00C87F2E">
      <w:pPr>
        <w:pStyle w:val="NormalWeb"/>
        <w:spacing w:before="0" w:beforeAutospacing="0" w:after="0" w:afterAutospacing="0"/>
        <w:jc w:val="both"/>
        <w:rPr>
          <w:sz w:val="20"/>
          <w:szCs w:val="20"/>
        </w:rPr>
      </w:pPr>
      <w:r>
        <w:rPr>
          <w:sz w:val="20"/>
          <w:szCs w:val="20"/>
        </w:rPr>
        <w:t> </w:t>
      </w:r>
    </w:p>
    <w:p w14:paraId="0D32B57E" w14:textId="77777777" w:rsidR="00DB0A0E" w:rsidRDefault="00C87F2E">
      <w:pPr>
        <w:pStyle w:val="NormalWeb"/>
        <w:spacing w:before="0" w:beforeAutospacing="0" w:after="0" w:afterAutospacing="0"/>
        <w:jc w:val="both"/>
        <w:rPr>
          <w:sz w:val="20"/>
          <w:szCs w:val="20"/>
        </w:rPr>
      </w:pPr>
      <w:r>
        <w:rPr>
          <w:sz w:val="20"/>
          <w:szCs w:val="20"/>
        </w:rPr>
        <w:t>The following table summarizes our liquidity position</w:t>
      </w:r>
      <w:r>
        <w:rPr>
          <w:sz w:val="20"/>
          <w:szCs w:val="20"/>
          <w:lang w:val="en-CA"/>
        </w:rPr>
        <w:t xml:space="preserve"> as of December 31, </w:t>
      </w:r>
      <w:r>
        <w:rPr>
          <w:sz w:val="20"/>
          <w:szCs w:val="20"/>
          <w:lang w:val="en-CA"/>
        </w:rPr>
        <w:t>2019 and 20</w:t>
      </w:r>
    </w:p>
    <w:p w14:paraId="6D694A09" w14:textId="77777777" w:rsidR="00DB0A0E" w:rsidRDefault="00C87F2E">
      <w:pPr>
        <w:pStyle w:val="NormalWeb"/>
        <w:spacing w:before="0" w:beforeAutospacing="0" w:after="0" w:afterAutospacing="0"/>
        <w:rPr>
          <w:sz w:val="20"/>
          <w:szCs w:val="20"/>
        </w:rPr>
      </w:pPr>
      <w:r>
        <w:rPr>
          <w:sz w:val="20"/>
          <w:szCs w:val="20"/>
        </w:rPr>
        <w:t> </w:t>
      </w:r>
    </w:p>
    <w:tbl>
      <w:tblPr>
        <w:tblpPr w:leftFromText="45" w:rightFromText="45" w:vertAnchor="text" w:tblpXSpec="right" w:tblpYSpec="center"/>
        <w:tblW w:w="9360" w:type="dxa"/>
        <w:tblLayout w:type="fixed"/>
        <w:tblCellMar>
          <w:left w:w="0" w:type="dxa"/>
          <w:right w:w="0" w:type="dxa"/>
        </w:tblCellMar>
        <w:tblLook w:val="04A0" w:firstRow="1" w:lastRow="0" w:firstColumn="1" w:lastColumn="0" w:noHBand="0" w:noVBand="1"/>
      </w:tblPr>
      <w:tblGrid>
        <w:gridCol w:w="5473"/>
        <w:gridCol w:w="169"/>
        <w:gridCol w:w="100"/>
        <w:gridCol w:w="1600"/>
        <w:gridCol w:w="81"/>
        <w:gridCol w:w="170"/>
        <w:gridCol w:w="100"/>
        <w:gridCol w:w="1585"/>
        <w:gridCol w:w="82"/>
      </w:tblGrid>
      <w:tr w:rsidR="00DB0A0E" w14:paraId="08EB1E95" w14:textId="77777777">
        <w:tc>
          <w:tcPr>
            <w:tcW w:w="5473" w:type="dxa"/>
            <w:vAlign w:val="bottom"/>
          </w:tcPr>
          <w:p w14:paraId="7B4A1C00" w14:textId="77777777" w:rsidR="00DB0A0E" w:rsidRDefault="00C87F2E">
            <w:pPr>
              <w:jc w:val="center"/>
              <w:rPr>
                <w:rFonts w:eastAsia="Times New Roman"/>
                <w:sz w:val="20"/>
                <w:szCs w:val="20"/>
              </w:rPr>
            </w:pPr>
            <w:r>
              <w:rPr>
                <w:rFonts w:eastAsia="Times New Roman"/>
                <w:sz w:val="20"/>
                <w:szCs w:val="20"/>
              </w:rPr>
              <w:t> </w:t>
            </w:r>
          </w:p>
        </w:tc>
        <w:tc>
          <w:tcPr>
            <w:tcW w:w="169" w:type="dxa"/>
            <w:tcMar>
              <w:top w:w="0" w:type="dxa"/>
              <w:left w:w="0" w:type="dxa"/>
              <w:bottom w:w="30" w:type="dxa"/>
              <w:right w:w="0" w:type="dxa"/>
            </w:tcMar>
            <w:vAlign w:val="bottom"/>
          </w:tcPr>
          <w:p w14:paraId="65211905" w14:textId="77777777" w:rsidR="00DB0A0E" w:rsidRDefault="00C87F2E">
            <w:pPr>
              <w:rPr>
                <w:rFonts w:eastAsia="Times New Roman"/>
                <w:b/>
                <w:bCs/>
                <w:sz w:val="20"/>
                <w:szCs w:val="20"/>
              </w:rPr>
            </w:pPr>
            <w:r>
              <w:rPr>
                <w:rFonts w:eastAsia="Times New Roman"/>
                <w:b/>
                <w:bCs/>
                <w:sz w:val="20"/>
                <w:szCs w:val="20"/>
              </w:rPr>
              <w:t> </w:t>
            </w:r>
          </w:p>
        </w:tc>
        <w:tc>
          <w:tcPr>
            <w:tcW w:w="1700" w:type="dxa"/>
            <w:gridSpan w:val="2"/>
            <w:tcBorders>
              <w:bottom w:val="single" w:sz="12" w:space="0" w:color="000000"/>
            </w:tcBorders>
            <w:vAlign w:val="bottom"/>
          </w:tcPr>
          <w:p w14:paraId="41C9B9BF" w14:textId="77777777" w:rsidR="00DB0A0E" w:rsidRDefault="00C87F2E">
            <w:pPr>
              <w:jc w:val="center"/>
              <w:rPr>
                <w:rFonts w:eastAsia="Times New Roman"/>
                <w:b/>
                <w:bCs/>
                <w:sz w:val="20"/>
                <w:szCs w:val="20"/>
              </w:rPr>
            </w:pPr>
            <w:r>
              <w:rPr>
                <w:rFonts w:eastAsia="Times New Roman"/>
                <w:b/>
                <w:bCs/>
                <w:sz w:val="20"/>
                <w:szCs w:val="20"/>
                <w:lang w:val="en-CA"/>
              </w:rPr>
              <w:t>December 31, 2019</w:t>
            </w:r>
          </w:p>
        </w:tc>
        <w:tc>
          <w:tcPr>
            <w:tcW w:w="81" w:type="dxa"/>
            <w:tcMar>
              <w:top w:w="0" w:type="dxa"/>
              <w:left w:w="0" w:type="dxa"/>
              <w:bottom w:w="30" w:type="dxa"/>
              <w:right w:w="0" w:type="dxa"/>
            </w:tcMar>
            <w:vAlign w:val="bottom"/>
          </w:tcPr>
          <w:p w14:paraId="72E7A18F" w14:textId="77777777" w:rsidR="00DB0A0E" w:rsidRDefault="00C87F2E">
            <w:pPr>
              <w:rPr>
                <w:rFonts w:eastAsia="Times New Roman"/>
                <w:b/>
                <w:bCs/>
                <w:sz w:val="20"/>
                <w:szCs w:val="20"/>
              </w:rPr>
            </w:pPr>
            <w:r>
              <w:rPr>
                <w:rFonts w:eastAsia="Times New Roman"/>
                <w:b/>
                <w:bCs/>
                <w:sz w:val="20"/>
                <w:szCs w:val="20"/>
              </w:rPr>
              <w:t> </w:t>
            </w:r>
          </w:p>
        </w:tc>
        <w:tc>
          <w:tcPr>
            <w:tcW w:w="170" w:type="dxa"/>
            <w:tcMar>
              <w:top w:w="0" w:type="dxa"/>
              <w:left w:w="0" w:type="dxa"/>
              <w:bottom w:w="30" w:type="dxa"/>
              <w:right w:w="0" w:type="dxa"/>
            </w:tcMar>
            <w:vAlign w:val="bottom"/>
          </w:tcPr>
          <w:p w14:paraId="3B2DEE99" w14:textId="77777777" w:rsidR="00DB0A0E" w:rsidRDefault="00C87F2E">
            <w:pPr>
              <w:rPr>
                <w:rFonts w:eastAsia="Times New Roman"/>
                <w:b/>
                <w:bCs/>
                <w:sz w:val="20"/>
                <w:szCs w:val="20"/>
              </w:rPr>
            </w:pPr>
            <w:r>
              <w:rPr>
                <w:rFonts w:eastAsia="Times New Roman"/>
                <w:b/>
                <w:bCs/>
                <w:sz w:val="20"/>
                <w:szCs w:val="20"/>
              </w:rPr>
              <w:t> </w:t>
            </w:r>
          </w:p>
        </w:tc>
        <w:tc>
          <w:tcPr>
            <w:tcW w:w="1685" w:type="dxa"/>
            <w:gridSpan w:val="2"/>
            <w:tcBorders>
              <w:bottom w:val="single" w:sz="12" w:space="0" w:color="000000"/>
            </w:tcBorders>
            <w:vAlign w:val="bottom"/>
          </w:tcPr>
          <w:p w14:paraId="6C2742F7" w14:textId="77777777" w:rsidR="00DB0A0E" w:rsidRDefault="00C87F2E">
            <w:pPr>
              <w:jc w:val="center"/>
              <w:rPr>
                <w:rFonts w:eastAsia="Times New Roman"/>
                <w:b/>
                <w:bCs/>
                <w:sz w:val="20"/>
                <w:szCs w:val="20"/>
              </w:rPr>
            </w:pPr>
            <w:r>
              <w:rPr>
                <w:rFonts w:eastAsia="Times New Roman"/>
                <w:b/>
                <w:bCs/>
                <w:sz w:val="20"/>
                <w:szCs w:val="20"/>
              </w:rPr>
              <w:t>December 31, 2018</w:t>
            </w:r>
          </w:p>
        </w:tc>
        <w:tc>
          <w:tcPr>
            <w:tcW w:w="82" w:type="dxa"/>
            <w:tcMar>
              <w:top w:w="0" w:type="dxa"/>
              <w:left w:w="0" w:type="dxa"/>
              <w:bottom w:w="30" w:type="dxa"/>
              <w:right w:w="0" w:type="dxa"/>
            </w:tcMar>
            <w:vAlign w:val="bottom"/>
          </w:tcPr>
          <w:p w14:paraId="3940E056" w14:textId="77777777" w:rsidR="00DB0A0E" w:rsidRDefault="00C87F2E">
            <w:pPr>
              <w:rPr>
                <w:rFonts w:eastAsia="Times New Roman"/>
                <w:b/>
                <w:bCs/>
                <w:sz w:val="20"/>
                <w:szCs w:val="20"/>
              </w:rPr>
            </w:pPr>
            <w:r>
              <w:rPr>
                <w:rFonts w:eastAsia="Times New Roman"/>
                <w:b/>
                <w:bCs/>
                <w:sz w:val="20"/>
                <w:szCs w:val="20"/>
              </w:rPr>
              <w:t> </w:t>
            </w:r>
          </w:p>
        </w:tc>
      </w:tr>
      <w:tr w:rsidR="00DB0A0E" w14:paraId="09281BBA" w14:textId="77777777">
        <w:tc>
          <w:tcPr>
            <w:tcW w:w="5473" w:type="dxa"/>
            <w:shd w:val="clear" w:color="auto" w:fill="CCEEFF"/>
            <w:vAlign w:val="bottom"/>
          </w:tcPr>
          <w:p w14:paraId="3F00FDB7" w14:textId="77777777" w:rsidR="00DB0A0E" w:rsidRDefault="00C87F2E">
            <w:pPr>
              <w:jc w:val="both"/>
              <w:rPr>
                <w:rFonts w:eastAsia="Times New Roman"/>
                <w:sz w:val="20"/>
                <w:szCs w:val="20"/>
                <w:lang w:val="en-CA"/>
              </w:rPr>
            </w:pPr>
            <w:r>
              <w:rPr>
                <w:rFonts w:eastAsia="Times New Roman"/>
                <w:sz w:val="20"/>
                <w:szCs w:val="20"/>
              </w:rPr>
              <w:t>Cash</w:t>
            </w:r>
            <w:r>
              <w:rPr>
                <w:rFonts w:eastAsia="Times New Roman"/>
                <w:sz w:val="20"/>
                <w:szCs w:val="20"/>
                <w:lang w:val="en-CA"/>
              </w:rPr>
              <w:t xml:space="preserve"> and cash equivalents</w:t>
            </w:r>
          </w:p>
        </w:tc>
        <w:tc>
          <w:tcPr>
            <w:tcW w:w="169" w:type="dxa"/>
            <w:shd w:val="clear" w:color="auto" w:fill="CCEEFF"/>
            <w:vAlign w:val="bottom"/>
          </w:tcPr>
          <w:p w14:paraId="2412292D" w14:textId="77777777" w:rsidR="00DB0A0E" w:rsidRDefault="00C87F2E">
            <w:pPr>
              <w:rPr>
                <w:rFonts w:eastAsia="Times New Roman"/>
                <w:sz w:val="20"/>
                <w:szCs w:val="20"/>
              </w:rPr>
            </w:pPr>
            <w:r>
              <w:rPr>
                <w:rFonts w:eastAsia="Times New Roman"/>
                <w:sz w:val="20"/>
                <w:szCs w:val="20"/>
              </w:rPr>
              <w:t> </w:t>
            </w:r>
          </w:p>
        </w:tc>
        <w:tc>
          <w:tcPr>
            <w:tcW w:w="100" w:type="dxa"/>
            <w:shd w:val="clear" w:color="auto" w:fill="CCEEFF"/>
            <w:vAlign w:val="bottom"/>
          </w:tcPr>
          <w:p w14:paraId="67C27910" w14:textId="77777777" w:rsidR="00DB0A0E" w:rsidRDefault="00C87F2E">
            <w:pPr>
              <w:rPr>
                <w:rFonts w:eastAsia="Times New Roman"/>
                <w:sz w:val="20"/>
                <w:szCs w:val="20"/>
              </w:rPr>
            </w:pPr>
            <w:r>
              <w:rPr>
                <w:rFonts w:eastAsia="Times New Roman"/>
                <w:sz w:val="20"/>
                <w:szCs w:val="20"/>
              </w:rPr>
              <w:t>$</w:t>
            </w:r>
          </w:p>
        </w:tc>
        <w:tc>
          <w:tcPr>
            <w:tcW w:w="1600" w:type="dxa"/>
            <w:shd w:val="clear" w:color="auto" w:fill="CCEEFF"/>
            <w:vAlign w:val="bottom"/>
          </w:tcPr>
          <w:p w14:paraId="2AAB5339" w14:textId="77777777" w:rsidR="00DB0A0E" w:rsidRDefault="00C87F2E">
            <w:pPr>
              <w:jc w:val="right"/>
              <w:rPr>
                <w:rFonts w:eastAsia="Times New Roman"/>
                <w:sz w:val="20"/>
                <w:szCs w:val="20"/>
                <w:lang w:val="en-CA"/>
              </w:rPr>
            </w:pPr>
            <w:r>
              <w:rPr>
                <w:rFonts w:eastAsia="Times New Roman"/>
                <w:sz w:val="20"/>
                <w:szCs w:val="20"/>
                <w:lang w:val="en-CA"/>
              </w:rPr>
              <w:t>863,017</w:t>
            </w:r>
          </w:p>
        </w:tc>
        <w:tc>
          <w:tcPr>
            <w:tcW w:w="81" w:type="dxa"/>
            <w:shd w:val="clear" w:color="auto" w:fill="CCEEFF"/>
            <w:vAlign w:val="bottom"/>
          </w:tcPr>
          <w:p w14:paraId="09A48794" w14:textId="77777777" w:rsidR="00DB0A0E" w:rsidRDefault="00C87F2E">
            <w:pPr>
              <w:rPr>
                <w:rFonts w:eastAsia="Times New Roman"/>
                <w:sz w:val="20"/>
                <w:szCs w:val="20"/>
              </w:rPr>
            </w:pPr>
            <w:r>
              <w:rPr>
                <w:rFonts w:eastAsia="Times New Roman"/>
                <w:sz w:val="20"/>
                <w:szCs w:val="20"/>
              </w:rPr>
              <w:t> </w:t>
            </w:r>
          </w:p>
        </w:tc>
        <w:tc>
          <w:tcPr>
            <w:tcW w:w="170" w:type="dxa"/>
            <w:shd w:val="clear" w:color="auto" w:fill="CCEEFF"/>
            <w:vAlign w:val="bottom"/>
          </w:tcPr>
          <w:p w14:paraId="07F1F264" w14:textId="77777777" w:rsidR="00DB0A0E" w:rsidRDefault="00C87F2E">
            <w:pPr>
              <w:rPr>
                <w:rFonts w:eastAsia="Times New Roman"/>
                <w:sz w:val="20"/>
                <w:szCs w:val="20"/>
              </w:rPr>
            </w:pPr>
            <w:r>
              <w:rPr>
                <w:rFonts w:eastAsia="Times New Roman"/>
                <w:sz w:val="20"/>
                <w:szCs w:val="20"/>
              </w:rPr>
              <w:t> </w:t>
            </w:r>
          </w:p>
        </w:tc>
        <w:tc>
          <w:tcPr>
            <w:tcW w:w="100" w:type="dxa"/>
            <w:shd w:val="clear" w:color="auto" w:fill="CCEEFF"/>
            <w:vAlign w:val="bottom"/>
          </w:tcPr>
          <w:p w14:paraId="67EC8D97" w14:textId="77777777" w:rsidR="00DB0A0E" w:rsidRDefault="00C87F2E">
            <w:pPr>
              <w:rPr>
                <w:rFonts w:eastAsia="Times New Roman"/>
                <w:sz w:val="20"/>
                <w:szCs w:val="20"/>
              </w:rPr>
            </w:pPr>
            <w:r>
              <w:rPr>
                <w:rFonts w:eastAsia="Times New Roman"/>
                <w:sz w:val="20"/>
                <w:szCs w:val="20"/>
              </w:rPr>
              <w:t>$</w:t>
            </w:r>
          </w:p>
        </w:tc>
        <w:tc>
          <w:tcPr>
            <w:tcW w:w="1585" w:type="dxa"/>
            <w:shd w:val="clear" w:color="auto" w:fill="CCEEFF"/>
            <w:vAlign w:val="bottom"/>
          </w:tcPr>
          <w:p w14:paraId="7900BA96" w14:textId="77777777" w:rsidR="00DB0A0E" w:rsidRDefault="00C87F2E">
            <w:pPr>
              <w:jc w:val="right"/>
              <w:rPr>
                <w:rFonts w:eastAsia="Times New Roman"/>
                <w:sz w:val="20"/>
                <w:szCs w:val="20"/>
              </w:rPr>
            </w:pPr>
            <w:r>
              <w:rPr>
                <w:rFonts w:eastAsia="Times New Roman"/>
                <w:sz w:val="20"/>
                <w:szCs w:val="20"/>
              </w:rPr>
              <w:t>795,520</w:t>
            </w:r>
          </w:p>
        </w:tc>
        <w:tc>
          <w:tcPr>
            <w:tcW w:w="82" w:type="dxa"/>
            <w:shd w:val="clear" w:color="auto" w:fill="CCEEFF"/>
            <w:vAlign w:val="bottom"/>
          </w:tcPr>
          <w:p w14:paraId="2C02F971" w14:textId="77777777" w:rsidR="00DB0A0E" w:rsidRDefault="00C87F2E">
            <w:pPr>
              <w:rPr>
                <w:rFonts w:eastAsia="Times New Roman"/>
                <w:sz w:val="20"/>
                <w:szCs w:val="20"/>
              </w:rPr>
            </w:pPr>
            <w:r>
              <w:rPr>
                <w:rFonts w:eastAsia="Times New Roman"/>
                <w:sz w:val="20"/>
                <w:szCs w:val="20"/>
              </w:rPr>
              <w:t> </w:t>
            </w:r>
          </w:p>
        </w:tc>
      </w:tr>
      <w:tr w:rsidR="00DB0A0E" w14:paraId="38CD8E8D" w14:textId="77777777">
        <w:tc>
          <w:tcPr>
            <w:tcW w:w="5473" w:type="dxa"/>
            <w:shd w:val="clear" w:color="auto" w:fill="FFFFFF"/>
            <w:vAlign w:val="bottom"/>
          </w:tcPr>
          <w:p w14:paraId="62BC6079" w14:textId="77777777" w:rsidR="00DB0A0E" w:rsidRDefault="00C87F2E">
            <w:pPr>
              <w:jc w:val="both"/>
              <w:rPr>
                <w:rFonts w:eastAsia="Times New Roman"/>
                <w:sz w:val="20"/>
                <w:szCs w:val="20"/>
              </w:rPr>
            </w:pPr>
            <w:r>
              <w:rPr>
                <w:rFonts w:eastAsia="Times New Roman"/>
                <w:sz w:val="20"/>
                <w:szCs w:val="20"/>
              </w:rPr>
              <w:t>Working capital</w:t>
            </w:r>
          </w:p>
        </w:tc>
        <w:tc>
          <w:tcPr>
            <w:tcW w:w="169" w:type="dxa"/>
            <w:shd w:val="clear" w:color="auto" w:fill="FFFFFF"/>
            <w:vAlign w:val="bottom"/>
          </w:tcPr>
          <w:p w14:paraId="6FCDDABF" w14:textId="77777777" w:rsidR="00DB0A0E" w:rsidRDefault="00C87F2E">
            <w:pPr>
              <w:rPr>
                <w:rFonts w:eastAsia="Times New Roman"/>
                <w:sz w:val="20"/>
                <w:szCs w:val="20"/>
              </w:rPr>
            </w:pPr>
            <w:r>
              <w:rPr>
                <w:rFonts w:eastAsia="Times New Roman"/>
                <w:sz w:val="20"/>
                <w:szCs w:val="20"/>
              </w:rPr>
              <w:t> </w:t>
            </w:r>
          </w:p>
        </w:tc>
        <w:tc>
          <w:tcPr>
            <w:tcW w:w="100" w:type="dxa"/>
            <w:shd w:val="clear" w:color="auto" w:fill="FFFFFF"/>
            <w:vAlign w:val="bottom"/>
          </w:tcPr>
          <w:p w14:paraId="474DB497" w14:textId="77777777" w:rsidR="00DB0A0E" w:rsidRDefault="00C87F2E">
            <w:pPr>
              <w:rPr>
                <w:rFonts w:eastAsia="Times New Roman"/>
                <w:sz w:val="20"/>
                <w:szCs w:val="20"/>
              </w:rPr>
            </w:pPr>
            <w:r>
              <w:rPr>
                <w:rFonts w:eastAsia="Times New Roman"/>
                <w:sz w:val="20"/>
                <w:szCs w:val="20"/>
              </w:rPr>
              <w:t> </w:t>
            </w:r>
          </w:p>
        </w:tc>
        <w:tc>
          <w:tcPr>
            <w:tcW w:w="1600" w:type="dxa"/>
            <w:shd w:val="clear" w:color="auto" w:fill="FFFFFF"/>
            <w:vAlign w:val="bottom"/>
          </w:tcPr>
          <w:p w14:paraId="0B15F194" w14:textId="77777777" w:rsidR="00DB0A0E" w:rsidRDefault="00C87F2E">
            <w:pPr>
              <w:jc w:val="right"/>
              <w:rPr>
                <w:rFonts w:eastAsia="Times New Roman"/>
                <w:sz w:val="20"/>
                <w:szCs w:val="20"/>
              </w:rPr>
            </w:pPr>
            <w:r>
              <w:rPr>
                <w:rFonts w:eastAsia="Times New Roman"/>
                <w:sz w:val="20"/>
                <w:szCs w:val="20"/>
                <w:lang w:val="en-CA"/>
              </w:rPr>
              <w:t>370,915</w:t>
            </w:r>
          </w:p>
        </w:tc>
        <w:tc>
          <w:tcPr>
            <w:tcW w:w="81" w:type="dxa"/>
            <w:shd w:val="clear" w:color="auto" w:fill="FFFFFF"/>
            <w:vAlign w:val="bottom"/>
          </w:tcPr>
          <w:p w14:paraId="63E183BE" w14:textId="77777777" w:rsidR="00DB0A0E" w:rsidRDefault="00DB0A0E">
            <w:pPr>
              <w:rPr>
                <w:rFonts w:eastAsia="Times New Roman"/>
                <w:sz w:val="20"/>
                <w:szCs w:val="20"/>
              </w:rPr>
            </w:pPr>
          </w:p>
        </w:tc>
        <w:tc>
          <w:tcPr>
            <w:tcW w:w="170" w:type="dxa"/>
            <w:shd w:val="clear" w:color="auto" w:fill="FFFFFF"/>
            <w:vAlign w:val="bottom"/>
          </w:tcPr>
          <w:p w14:paraId="5D880D14" w14:textId="77777777" w:rsidR="00DB0A0E" w:rsidRDefault="00C87F2E">
            <w:pPr>
              <w:rPr>
                <w:rFonts w:eastAsia="Times New Roman"/>
                <w:sz w:val="20"/>
                <w:szCs w:val="20"/>
              </w:rPr>
            </w:pPr>
            <w:r>
              <w:rPr>
                <w:rFonts w:eastAsia="Times New Roman"/>
                <w:sz w:val="20"/>
                <w:szCs w:val="20"/>
              </w:rPr>
              <w:t> </w:t>
            </w:r>
          </w:p>
        </w:tc>
        <w:tc>
          <w:tcPr>
            <w:tcW w:w="100" w:type="dxa"/>
            <w:shd w:val="clear" w:color="auto" w:fill="FFFFFF"/>
            <w:vAlign w:val="bottom"/>
          </w:tcPr>
          <w:p w14:paraId="476A982C" w14:textId="77777777" w:rsidR="00DB0A0E" w:rsidRDefault="00C87F2E">
            <w:pPr>
              <w:rPr>
                <w:rFonts w:eastAsia="Times New Roman"/>
                <w:sz w:val="20"/>
                <w:szCs w:val="20"/>
              </w:rPr>
            </w:pPr>
            <w:r>
              <w:rPr>
                <w:rFonts w:eastAsia="Times New Roman"/>
                <w:sz w:val="20"/>
                <w:szCs w:val="20"/>
              </w:rPr>
              <w:t> </w:t>
            </w:r>
          </w:p>
        </w:tc>
        <w:tc>
          <w:tcPr>
            <w:tcW w:w="1585" w:type="dxa"/>
            <w:shd w:val="clear" w:color="auto" w:fill="FFFFFF"/>
            <w:vAlign w:val="bottom"/>
          </w:tcPr>
          <w:p w14:paraId="5F5CBD01" w14:textId="77777777" w:rsidR="00DB0A0E" w:rsidRDefault="00C87F2E">
            <w:pPr>
              <w:jc w:val="right"/>
              <w:rPr>
                <w:rFonts w:eastAsia="Times New Roman"/>
                <w:sz w:val="20"/>
                <w:szCs w:val="20"/>
              </w:rPr>
            </w:pPr>
            <w:r>
              <w:rPr>
                <w:rFonts w:eastAsia="Times New Roman"/>
                <w:sz w:val="20"/>
                <w:szCs w:val="20"/>
              </w:rPr>
              <w:t>(11,817)</w:t>
            </w:r>
          </w:p>
        </w:tc>
        <w:tc>
          <w:tcPr>
            <w:tcW w:w="82" w:type="dxa"/>
            <w:shd w:val="clear" w:color="auto" w:fill="FFFFFF"/>
            <w:vAlign w:val="bottom"/>
          </w:tcPr>
          <w:p w14:paraId="03CBB439" w14:textId="77777777" w:rsidR="00DB0A0E" w:rsidRDefault="00C87F2E">
            <w:pPr>
              <w:rPr>
                <w:rFonts w:eastAsia="Times New Roman"/>
                <w:sz w:val="20"/>
                <w:szCs w:val="20"/>
              </w:rPr>
            </w:pPr>
            <w:r>
              <w:rPr>
                <w:rFonts w:eastAsia="Times New Roman"/>
                <w:sz w:val="20"/>
                <w:szCs w:val="20"/>
              </w:rPr>
              <w:t> </w:t>
            </w:r>
          </w:p>
        </w:tc>
      </w:tr>
      <w:tr w:rsidR="00DB0A0E" w14:paraId="20485582" w14:textId="77777777">
        <w:tc>
          <w:tcPr>
            <w:tcW w:w="5473" w:type="dxa"/>
            <w:shd w:val="clear" w:color="auto" w:fill="CCEEFF"/>
            <w:vAlign w:val="bottom"/>
          </w:tcPr>
          <w:p w14:paraId="40E298A1" w14:textId="77777777" w:rsidR="00DB0A0E" w:rsidRDefault="00C87F2E">
            <w:pPr>
              <w:jc w:val="both"/>
              <w:rPr>
                <w:rFonts w:eastAsia="Times New Roman"/>
                <w:sz w:val="20"/>
                <w:szCs w:val="20"/>
              </w:rPr>
            </w:pPr>
            <w:r>
              <w:rPr>
                <w:rFonts w:eastAsia="Times New Roman"/>
                <w:sz w:val="20"/>
                <w:szCs w:val="20"/>
              </w:rPr>
              <w:t>Total assets</w:t>
            </w:r>
          </w:p>
        </w:tc>
        <w:tc>
          <w:tcPr>
            <w:tcW w:w="169" w:type="dxa"/>
            <w:shd w:val="clear" w:color="auto" w:fill="CCEEFF"/>
            <w:vAlign w:val="bottom"/>
          </w:tcPr>
          <w:p w14:paraId="5006376C" w14:textId="77777777" w:rsidR="00DB0A0E" w:rsidRDefault="00C87F2E">
            <w:pPr>
              <w:rPr>
                <w:rFonts w:eastAsia="Times New Roman"/>
                <w:sz w:val="20"/>
                <w:szCs w:val="20"/>
              </w:rPr>
            </w:pPr>
            <w:r>
              <w:rPr>
                <w:rFonts w:eastAsia="Times New Roman"/>
                <w:sz w:val="20"/>
                <w:szCs w:val="20"/>
              </w:rPr>
              <w:t> </w:t>
            </w:r>
          </w:p>
        </w:tc>
        <w:tc>
          <w:tcPr>
            <w:tcW w:w="100" w:type="dxa"/>
            <w:shd w:val="clear" w:color="auto" w:fill="CCEEFF"/>
            <w:vAlign w:val="bottom"/>
          </w:tcPr>
          <w:p w14:paraId="19890965" w14:textId="77777777" w:rsidR="00DB0A0E" w:rsidRDefault="00C87F2E">
            <w:pPr>
              <w:rPr>
                <w:rFonts w:eastAsia="Times New Roman"/>
                <w:sz w:val="20"/>
                <w:szCs w:val="20"/>
              </w:rPr>
            </w:pPr>
            <w:r>
              <w:rPr>
                <w:rFonts w:eastAsia="Times New Roman"/>
                <w:sz w:val="20"/>
                <w:szCs w:val="20"/>
              </w:rPr>
              <w:t> </w:t>
            </w:r>
          </w:p>
        </w:tc>
        <w:tc>
          <w:tcPr>
            <w:tcW w:w="1600" w:type="dxa"/>
            <w:shd w:val="clear" w:color="auto" w:fill="CCEEFF"/>
            <w:vAlign w:val="bottom"/>
          </w:tcPr>
          <w:p w14:paraId="393A3565" w14:textId="77777777" w:rsidR="00DB0A0E" w:rsidRDefault="00C87F2E">
            <w:pPr>
              <w:jc w:val="right"/>
              <w:rPr>
                <w:rFonts w:eastAsia="Times New Roman"/>
                <w:sz w:val="20"/>
                <w:szCs w:val="20"/>
                <w:lang w:val="en-CA"/>
              </w:rPr>
            </w:pPr>
            <w:r>
              <w:rPr>
                <w:rFonts w:eastAsia="Times New Roman"/>
                <w:sz w:val="20"/>
                <w:szCs w:val="20"/>
                <w:lang w:val="en-CA"/>
              </w:rPr>
              <w:t>7,292,485</w:t>
            </w:r>
          </w:p>
        </w:tc>
        <w:tc>
          <w:tcPr>
            <w:tcW w:w="81" w:type="dxa"/>
            <w:shd w:val="clear" w:color="auto" w:fill="CCEEFF"/>
            <w:vAlign w:val="bottom"/>
          </w:tcPr>
          <w:p w14:paraId="091F2508" w14:textId="77777777" w:rsidR="00DB0A0E" w:rsidRDefault="00C87F2E">
            <w:pPr>
              <w:rPr>
                <w:rFonts w:eastAsia="Times New Roman"/>
                <w:sz w:val="20"/>
                <w:szCs w:val="20"/>
              </w:rPr>
            </w:pPr>
            <w:r>
              <w:rPr>
                <w:rFonts w:eastAsia="Times New Roman"/>
                <w:sz w:val="20"/>
                <w:szCs w:val="20"/>
              </w:rPr>
              <w:t> </w:t>
            </w:r>
          </w:p>
        </w:tc>
        <w:tc>
          <w:tcPr>
            <w:tcW w:w="170" w:type="dxa"/>
            <w:shd w:val="clear" w:color="auto" w:fill="CCEEFF"/>
            <w:vAlign w:val="bottom"/>
          </w:tcPr>
          <w:p w14:paraId="0ADC665F" w14:textId="77777777" w:rsidR="00DB0A0E" w:rsidRDefault="00C87F2E">
            <w:pPr>
              <w:rPr>
                <w:rFonts w:eastAsia="Times New Roman"/>
                <w:sz w:val="20"/>
                <w:szCs w:val="20"/>
              </w:rPr>
            </w:pPr>
            <w:r>
              <w:rPr>
                <w:rFonts w:eastAsia="Times New Roman"/>
                <w:sz w:val="20"/>
                <w:szCs w:val="20"/>
              </w:rPr>
              <w:t> </w:t>
            </w:r>
          </w:p>
        </w:tc>
        <w:tc>
          <w:tcPr>
            <w:tcW w:w="100" w:type="dxa"/>
            <w:shd w:val="clear" w:color="auto" w:fill="CCEEFF"/>
            <w:vAlign w:val="bottom"/>
          </w:tcPr>
          <w:p w14:paraId="44500269" w14:textId="77777777" w:rsidR="00DB0A0E" w:rsidRDefault="00C87F2E">
            <w:pPr>
              <w:rPr>
                <w:rFonts w:eastAsia="Times New Roman"/>
                <w:sz w:val="20"/>
                <w:szCs w:val="20"/>
              </w:rPr>
            </w:pPr>
            <w:r>
              <w:rPr>
                <w:rFonts w:eastAsia="Times New Roman"/>
                <w:sz w:val="20"/>
                <w:szCs w:val="20"/>
              </w:rPr>
              <w:t> </w:t>
            </w:r>
          </w:p>
        </w:tc>
        <w:tc>
          <w:tcPr>
            <w:tcW w:w="1585" w:type="dxa"/>
            <w:shd w:val="clear" w:color="auto" w:fill="CCEEFF"/>
            <w:vAlign w:val="bottom"/>
          </w:tcPr>
          <w:p w14:paraId="4C793CF4" w14:textId="77777777" w:rsidR="00DB0A0E" w:rsidRDefault="00C87F2E">
            <w:pPr>
              <w:jc w:val="right"/>
              <w:rPr>
                <w:rFonts w:eastAsia="Times New Roman"/>
                <w:sz w:val="20"/>
                <w:szCs w:val="20"/>
              </w:rPr>
            </w:pPr>
            <w:r>
              <w:rPr>
                <w:rFonts w:eastAsia="Times New Roman"/>
                <w:sz w:val="20"/>
                <w:szCs w:val="20"/>
              </w:rPr>
              <w:t>8,662,675</w:t>
            </w:r>
          </w:p>
        </w:tc>
        <w:tc>
          <w:tcPr>
            <w:tcW w:w="82" w:type="dxa"/>
            <w:shd w:val="clear" w:color="auto" w:fill="CCEEFF"/>
            <w:vAlign w:val="bottom"/>
          </w:tcPr>
          <w:p w14:paraId="62242911" w14:textId="77777777" w:rsidR="00DB0A0E" w:rsidRDefault="00C87F2E">
            <w:pPr>
              <w:rPr>
                <w:rFonts w:eastAsia="Times New Roman"/>
                <w:sz w:val="20"/>
                <w:szCs w:val="20"/>
              </w:rPr>
            </w:pPr>
            <w:r>
              <w:rPr>
                <w:rFonts w:eastAsia="Times New Roman"/>
                <w:sz w:val="20"/>
                <w:szCs w:val="20"/>
              </w:rPr>
              <w:t> </w:t>
            </w:r>
          </w:p>
        </w:tc>
      </w:tr>
      <w:tr w:rsidR="00DB0A0E" w14:paraId="208192E5" w14:textId="77777777">
        <w:tc>
          <w:tcPr>
            <w:tcW w:w="5473" w:type="dxa"/>
            <w:shd w:val="clear" w:color="auto" w:fill="FFFFFF"/>
            <w:vAlign w:val="bottom"/>
          </w:tcPr>
          <w:p w14:paraId="12051806" w14:textId="77777777" w:rsidR="00DB0A0E" w:rsidRDefault="00C87F2E">
            <w:pPr>
              <w:jc w:val="both"/>
              <w:rPr>
                <w:rFonts w:eastAsia="Times New Roman"/>
                <w:sz w:val="20"/>
                <w:szCs w:val="20"/>
              </w:rPr>
            </w:pPr>
            <w:r>
              <w:rPr>
                <w:rFonts w:eastAsia="Times New Roman"/>
                <w:sz w:val="20"/>
                <w:szCs w:val="20"/>
              </w:rPr>
              <w:t>Total liabilities</w:t>
            </w:r>
          </w:p>
        </w:tc>
        <w:tc>
          <w:tcPr>
            <w:tcW w:w="169" w:type="dxa"/>
            <w:shd w:val="clear" w:color="auto" w:fill="FFFFFF"/>
            <w:vAlign w:val="bottom"/>
          </w:tcPr>
          <w:p w14:paraId="68774FB5" w14:textId="77777777" w:rsidR="00DB0A0E" w:rsidRDefault="00C87F2E">
            <w:pPr>
              <w:rPr>
                <w:rFonts w:eastAsia="Times New Roman"/>
                <w:sz w:val="20"/>
                <w:szCs w:val="20"/>
              </w:rPr>
            </w:pPr>
            <w:r>
              <w:rPr>
                <w:rFonts w:eastAsia="Times New Roman"/>
                <w:sz w:val="20"/>
                <w:szCs w:val="20"/>
              </w:rPr>
              <w:t> </w:t>
            </w:r>
          </w:p>
        </w:tc>
        <w:tc>
          <w:tcPr>
            <w:tcW w:w="100" w:type="dxa"/>
            <w:shd w:val="clear" w:color="auto" w:fill="FFFFFF"/>
            <w:vAlign w:val="bottom"/>
          </w:tcPr>
          <w:p w14:paraId="4439AF11" w14:textId="77777777" w:rsidR="00DB0A0E" w:rsidRDefault="00C87F2E">
            <w:pPr>
              <w:rPr>
                <w:rFonts w:eastAsia="Times New Roman"/>
                <w:sz w:val="20"/>
                <w:szCs w:val="20"/>
              </w:rPr>
            </w:pPr>
            <w:r>
              <w:rPr>
                <w:rFonts w:eastAsia="Times New Roman"/>
                <w:sz w:val="20"/>
                <w:szCs w:val="20"/>
              </w:rPr>
              <w:t> </w:t>
            </w:r>
          </w:p>
        </w:tc>
        <w:tc>
          <w:tcPr>
            <w:tcW w:w="1600" w:type="dxa"/>
            <w:shd w:val="clear" w:color="auto" w:fill="FFFFFF"/>
            <w:vAlign w:val="bottom"/>
          </w:tcPr>
          <w:p w14:paraId="73FDF09F" w14:textId="77777777" w:rsidR="00DB0A0E" w:rsidRDefault="00C87F2E">
            <w:pPr>
              <w:jc w:val="right"/>
              <w:rPr>
                <w:rFonts w:eastAsia="Times New Roman"/>
                <w:sz w:val="20"/>
                <w:szCs w:val="20"/>
              </w:rPr>
            </w:pPr>
            <w:r>
              <w:rPr>
                <w:rFonts w:eastAsia="Times New Roman"/>
                <w:sz w:val="20"/>
                <w:szCs w:val="20"/>
                <w:lang w:val="en-CA"/>
              </w:rPr>
              <w:t>5,527,204</w:t>
            </w:r>
          </w:p>
        </w:tc>
        <w:tc>
          <w:tcPr>
            <w:tcW w:w="81" w:type="dxa"/>
            <w:shd w:val="clear" w:color="auto" w:fill="FFFFFF"/>
            <w:vAlign w:val="bottom"/>
          </w:tcPr>
          <w:p w14:paraId="7004EE9B" w14:textId="77777777" w:rsidR="00DB0A0E" w:rsidRDefault="00C87F2E">
            <w:pPr>
              <w:rPr>
                <w:rFonts w:eastAsia="Times New Roman"/>
                <w:sz w:val="20"/>
                <w:szCs w:val="20"/>
              </w:rPr>
            </w:pPr>
            <w:r>
              <w:rPr>
                <w:rFonts w:eastAsia="Times New Roman"/>
                <w:sz w:val="20"/>
                <w:szCs w:val="20"/>
              </w:rPr>
              <w:t> </w:t>
            </w:r>
          </w:p>
        </w:tc>
        <w:tc>
          <w:tcPr>
            <w:tcW w:w="170" w:type="dxa"/>
            <w:shd w:val="clear" w:color="auto" w:fill="FFFFFF"/>
            <w:vAlign w:val="bottom"/>
          </w:tcPr>
          <w:p w14:paraId="0842B16A" w14:textId="77777777" w:rsidR="00DB0A0E" w:rsidRDefault="00C87F2E">
            <w:pPr>
              <w:rPr>
                <w:rFonts w:eastAsia="Times New Roman"/>
                <w:sz w:val="20"/>
                <w:szCs w:val="20"/>
              </w:rPr>
            </w:pPr>
            <w:r>
              <w:rPr>
                <w:rFonts w:eastAsia="Times New Roman"/>
                <w:sz w:val="20"/>
                <w:szCs w:val="20"/>
              </w:rPr>
              <w:t> </w:t>
            </w:r>
          </w:p>
        </w:tc>
        <w:tc>
          <w:tcPr>
            <w:tcW w:w="100" w:type="dxa"/>
            <w:shd w:val="clear" w:color="auto" w:fill="FFFFFF"/>
            <w:vAlign w:val="bottom"/>
          </w:tcPr>
          <w:p w14:paraId="019CE1CA" w14:textId="77777777" w:rsidR="00DB0A0E" w:rsidRDefault="00C87F2E">
            <w:pPr>
              <w:rPr>
                <w:rFonts w:eastAsia="Times New Roman"/>
                <w:sz w:val="20"/>
                <w:szCs w:val="20"/>
              </w:rPr>
            </w:pPr>
            <w:r>
              <w:rPr>
                <w:rFonts w:eastAsia="Times New Roman"/>
                <w:sz w:val="20"/>
                <w:szCs w:val="20"/>
              </w:rPr>
              <w:t> </w:t>
            </w:r>
          </w:p>
        </w:tc>
        <w:tc>
          <w:tcPr>
            <w:tcW w:w="1585" w:type="dxa"/>
            <w:shd w:val="clear" w:color="auto" w:fill="FFFFFF"/>
            <w:vAlign w:val="bottom"/>
          </w:tcPr>
          <w:p w14:paraId="7A8EB149" w14:textId="77777777" w:rsidR="00DB0A0E" w:rsidRDefault="00C87F2E">
            <w:pPr>
              <w:jc w:val="right"/>
              <w:rPr>
                <w:rFonts w:eastAsia="Times New Roman"/>
                <w:sz w:val="20"/>
                <w:szCs w:val="20"/>
              </w:rPr>
            </w:pPr>
            <w:r>
              <w:rPr>
                <w:rFonts w:eastAsia="Times New Roman"/>
                <w:sz w:val="20"/>
                <w:szCs w:val="20"/>
              </w:rPr>
              <w:t>5,791,591</w:t>
            </w:r>
          </w:p>
        </w:tc>
        <w:tc>
          <w:tcPr>
            <w:tcW w:w="82" w:type="dxa"/>
            <w:shd w:val="clear" w:color="auto" w:fill="FFFFFF"/>
            <w:vAlign w:val="bottom"/>
          </w:tcPr>
          <w:p w14:paraId="4F34327C" w14:textId="77777777" w:rsidR="00DB0A0E" w:rsidRDefault="00C87F2E">
            <w:pPr>
              <w:rPr>
                <w:rFonts w:eastAsia="Times New Roman"/>
                <w:sz w:val="20"/>
                <w:szCs w:val="20"/>
              </w:rPr>
            </w:pPr>
            <w:r>
              <w:rPr>
                <w:rFonts w:eastAsia="Times New Roman"/>
                <w:sz w:val="20"/>
                <w:szCs w:val="20"/>
              </w:rPr>
              <w:t> </w:t>
            </w:r>
          </w:p>
        </w:tc>
      </w:tr>
      <w:tr w:rsidR="00DB0A0E" w14:paraId="03CE8FA0" w14:textId="77777777">
        <w:tc>
          <w:tcPr>
            <w:tcW w:w="5473" w:type="dxa"/>
            <w:shd w:val="clear" w:color="auto" w:fill="CCEEFF"/>
            <w:vAlign w:val="bottom"/>
          </w:tcPr>
          <w:p w14:paraId="25ED187C" w14:textId="77777777" w:rsidR="00DB0A0E" w:rsidRDefault="00C87F2E">
            <w:pPr>
              <w:jc w:val="both"/>
              <w:rPr>
                <w:rFonts w:eastAsia="Times New Roman"/>
                <w:sz w:val="20"/>
                <w:szCs w:val="20"/>
              </w:rPr>
            </w:pPr>
            <w:r>
              <w:rPr>
                <w:rFonts w:eastAsia="Times New Roman"/>
                <w:sz w:val="20"/>
                <w:szCs w:val="20"/>
              </w:rPr>
              <w:t>Stockholders’ equity</w:t>
            </w:r>
          </w:p>
        </w:tc>
        <w:tc>
          <w:tcPr>
            <w:tcW w:w="169" w:type="dxa"/>
            <w:shd w:val="clear" w:color="auto" w:fill="CCEEFF"/>
            <w:vAlign w:val="bottom"/>
          </w:tcPr>
          <w:p w14:paraId="13D116DB" w14:textId="77777777" w:rsidR="00DB0A0E" w:rsidRDefault="00C87F2E">
            <w:pPr>
              <w:rPr>
                <w:rFonts w:eastAsia="Times New Roman"/>
                <w:sz w:val="20"/>
                <w:szCs w:val="20"/>
              </w:rPr>
            </w:pPr>
            <w:r>
              <w:rPr>
                <w:rFonts w:eastAsia="Times New Roman"/>
                <w:sz w:val="20"/>
                <w:szCs w:val="20"/>
              </w:rPr>
              <w:t> </w:t>
            </w:r>
          </w:p>
        </w:tc>
        <w:tc>
          <w:tcPr>
            <w:tcW w:w="100" w:type="dxa"/>
            <w:shd w:val="clear" w:color="auto" w:fill="CCEEFF"/>
            <w:vAlign w:val="bottom"/>
          </w:tcPr>
          <w:p w14:paraId="57667FD0" w14:textId="77777777" w:rsidR="00DB0A0E" w:rsidRDefault="00C87F2E">
            <w:pPr>
              <w:rPr>
                <w:rFonts w:eastAsia="Times New Roman"/>
                <w:sz w:val="20"/>
                <w:szCs w:val="20"/>
              </w:rPr>
            </w:pPr>
            <w:r>
              <w:rPr>
                <w:rFonts w:eastAsia="Times New Roman"/>
                <w:sz w:val="20"/>
                <w:szCs w:val="20"/>
              </w:rPr>
              <w:t> </w:t>
            </w:r>
          </w:p>
        </w:tc>
        <w:tc>
          <w:tcPr>
            <w:tcW w:w="1600" w:type="dxa"/>
            <w:shd w:val="clear" w:color="auto" w:fill="CCEEFF"/>
            <w:vAlign w:val="bottom"/>
          </w:tcPr>
          <w:p w14:paraId="12422781" w14:textId="77777777" w:rsidR="00DB0A0E" w:rsidRDefault="00C87F2E">
            <w:pPr>
              <w:jc w:val="right"/>
              <w:rPr>
                <w:rFonts w:eastAsia="Times New Roman"/>
                <w:sz w:val="20"/>
                <w:szCs w:val="20"/>
              </w:rPr>
            </w:pPr>
            <w:r>
              <w:rPr>
                <w:rFonts w:eastAsia="Times New Roman"/>
                <w:sz w:val="20"/>
                <w:szCs w:val="20"/>
                <w:lang w:val="en-CA"/>
              </w:rPr>
              <w:t>1,765,281</w:t>
            </w:r>
          </w:p>
        </w:tc>
        <w:tc>
          <w:tcPr>
            <w:tcW w:w="81" w:type="dxa"/>
            <w:shd w:val="clear" w:color="auto" w:fill="CCEEFF"/>
            <w:vAlign w:val="bottom"/>
          </w:tcPr>
          <w:p w14:paraId="0EF24AA5" w14:textId="77777777" w:rsidR="00DB0A0E" w:rsidRDefault="00C87F2E">
            <w:pPr>
              <w:rPr>
                <w:rFonts w:eastAsia="Times New Roman"/>
                <w:sz w:val="20"/>
                <w:szCs w:val="20"/>
              </w:rPr>
            </w:pPr>
            <w:r>
              <w:rPr>
                <w:rFonts w:eastAsia="Times New Roman"/>
                <w:sz w:val="20"/>
                <w:szCs w:val="20"/>
              </w:rPr>
              <w:t> </w:t>
            </w:r>
          </w:p>
        </w:tc>
        <w:tc>
          <w:tcPr>
            <w:tcW w:w="170" w:type="dxa"/>
            <w:shd w:val="clear" w:color="auto" w:fill="CCEEFF"/>
            <w:vAlign w:val="bottom"/>
          </w:tcPr>
          <w:p w14:paraId="00265A10" w14:textId="77777777" w:rsidR="00DB0A0E" w:rsidRDefault="00C87F2E">
            <w:pPr>
              <w:rPr>
                <w:rFonts w:eastAsia="Times New Roman"/>
                <w:sz w:val="20"/>
                <w:szCs w:val="20"/>
              </w:rPr>
            </w:pPr>
            <w:r>
              <w:rPr>
                <w:rFonts w:eastAsia="Times New Roman"/>
                <w:sz w:val="20"/>
                <w:szCs w:val="20"/>
              </w:rPr>
              <w:t> </w:t>
            </w:r>
          </w:p>
        </w:tc>
        <w:tc>
          <w:tcPr>
            <w:tcW w:w="100" w:type="dxa"/>
            <w:shd w:val="clear" w:color="auto" w:fill="CCEEFF"/>
            <w:vAlign w:val="bottom"/>
          </w:tcPr>
          <w:p w14:paraId="5A59BB2D" w14:textId="77777777" w:rsidR="00DB0A0E" w:rsidRDefault="00C87F2E">
            <w:pPr>
              <w:rPr>
                <w:rFonts w:eastAsia="Times New Roman"/>
                <w:sz w:val="20"/>
                <w:szCs w:val="20"/>
              </w:rPr>
            </w:pPr>
            <w:r>
              <w:rPr>
                <w:rFonts w:eastAsia="Times New Roman"/>
                <w:sz w:val="20"/>
                <w:szCs w:val="20"/>
              </w:rPr>
              <w:t> </w:t>
            </w:r>
          </w:p>
        </w:tc>
        <w:tc>
          <w:tcPr>
            <w:tcW w:w="1585" w:type="dxa"/>
            <w:shd w:val="clear" w:color="auto" w:fill="CCEEFF"/>
            <w:vAlign w:val="bottom"/>
          </w:tcPr>
          <w:p w14:paraId="3F6EA35D" w14:textId="77777777" w:rsidR="00DB0A0E" w:rsidRDefault="00C87F2E">
            <w:pPr>
              <w:jc w:val="right"/>
              <w:rPr>
                <w:rFonts w:eastAsia="Times New Roman"/>
                <w:sz w:val="20"/>
                <w:szCs w:val="20"/>
              </w:rPr>
            </w:pPr>
            <w:r>
              <w:rPr>
                <w:rFonts w:eastAsia="Times New Roman"/>
                <w:sz w:val="20"/>
                <w:szCs w:val="20"/>
              </w:rPr>
              <w:t>2,871,084</w:t>
            </w:r>
          </w:p>
        </w:tc>
        <w:tc>
          <w:tcPr>
            <w:tcW w:w="82" w:type="dxa"/>
            <w:shd w:val="clear" w:color="auto" w:fill="CCEEFF"/>
            <w:vAlign w:val="bottom"/>
          </w:tcPr>
          <w:p w14:paraId="127DEBDF" w14:textId="77777777" w:rsidR="00DB0A0E" w:rsidRDefault="00C87F2E">
            <w:pPr>
              <w:rPr>
                <w:rFonts w:eastAsia="Times New Roman"/>
                <w:sz w:val="20"/>
                <w:szCs w:val="20"/>
              </w:rPr>
            </w:pPr>
            <w:r>
              <w:rPr>
                <w:rFonts w:eastAsia="Times New Roman"/>
                <w:sz w:val="20"/>
                <w:szCs w:val="20"/>
              </w:rPr>
              <w:t> </w:t>
            </w:r>
          </w:p>
        </w:tc>
      </w:tr>
    </w:tbl>
    <w:p w14:paraId="266896C9" w14:textId="77777777" w:rsidR="00DB0A0E" w:rsidRDefault="00DB0A0E">
      <w:pPr>
        <w:rPr>
          <w:b/>
          <w:bCs/>
          <w:i/>
          <w:iCs/>
          <w:sz w:val="20"/>
          <w:szCs w:val="20"/>
        </w:rPr>
      </w:pPr>
    </w:p>
    <w:p w14:paraId="156D7690" w14:textId="77777777" w:rsidR="00DB0A0E" w:rsidRDefault="00C87F2E">
      <w:pPr>
        <w:rPr>
          <w:sz w:val="20"/>
          <w:szCs w:val="20"/>
        </w:rPr>
      </w:pPr>
      <w:r>
        <w:rPr>
          <w:b/>
          <w:bCs/>
          <w:i/>
          <w:iCs/>
          <w:sz w:val="20"/>
          <w:szCs w:val="20"/>
        </w:rPr>
        <w:t>Cash Used in Operating Activities</w:t>
      </w:r>
    </w:p>
    <w:p w14:paraId="236A281D" w14:textId="77777777" w:rsidR="00DB0A0E" w:rsidRDefault="00C87F2E">
      <w:pPr>
        <w:pStyle w:val="NormalWeb"/>
        <w:spacing w:before="0" w:beforeAutospacing="0" w:after="0" w:afterAutospacing="0"/>
        <w:jc w:val="both"/>
        <w:rPr>
          <w:sz w:val="20"/>
          <w:szCs w:val="20"/>
        </w:rPr>
      </w:pPr>
      <w:r>
        <w:rPr>
          <w:sz w:val="20"/>
          <w:szCs w:val="20"/>
        </w:rPr>
        <w:t> </w:t>
      </w:r>
    </w:p>
    <w:p w14:paraId="3A91A40C" w14:textId="77777777" w:rsidR="00DB0A0E" w:rsidRDefault="00C87F2E">
      <w:pPr>
        <w:pStyle w:val="NormalWeb"/>
        <w:spacing w:before="0" w:beforeAutospacing="0" w:after="0" w:afterAutospacing="0"/>
        <w:jc w:val="both"/>
        <w:rPr>
          <w:sz w:val="20"/>
          <w:szCs w:val="20"/>
        </w:rPr>
      </w:pPr>
      <w:r>
        <w:rPr>
          <w:sz w:val="20"/>
          <w:szCs w:val="20"/>
          <w:lang w:val="en-CA"/>
        </w:rPr>
        <w:t xml:space="preserve">Net cash provided by operating activities for the year ended December 31, 2019 was $58,832 compared to $267,221 cash used in operating </w:t>
      </w:r>
      <w:r>
        <w:rPr>
          <w:sz w:val="20"/>
          <w:szCs w:val="20"/>
          <w:lang w:val="en-CA"/>
        </w:rPr>
        <w:t>activities for the year ended December 31, 2018. The current year loss of $1,718,199 was offset by $1,288,755 in net non-cash items and $488,196 in changes in working capital items for the year ended December 31, 2019. This compares to a prior year loss of</w:t>
      </w:r>
      <w:r>
        <w:rPr>
          <w:sz w:val="20"/>
          <w:szCs w:val="20"/>
          <w:lang w:val="en-CA"/>
        </w:rPr>
        <w:t xml:space="preserve"> $2,375,513 offset by $2,051,979 in net non-cash items and $56,313 in changes in working capital items.</w:t>
      </w:r>
      <w:r>
        <w:rPr>
          <w:sz w:val="20"/>
          <w:szCs w:val="20"/>
        </w:rPr>
        <w:t> </w:t>
      </w:r>
    </w:p>
    <w:p w14:paraId="004F2D17" w14:textId="77777777" w:rsidR="00DB0A0E" w:rsidRDefault="00DB0A0E">
      <w:pPr>
        <w:pStyle w:val="NormalWeb"/>
        <w:spacing w:before="0" w:beforeAutospacing="0" w:after="0" w:afterAutospacing="0"/>
        <w:jc w:val="both"/>
        <w:rPr>
          <w:sz w:val="20"/>
          <w:szCs w:val="20"/>
        </w:rPr>
      </w:pPr>
    </w:p>
    <w:p w14:paraId="78817ED4" w14:textId="77777777" w:rsidR="00DB0A0E" w:rsidRDefault="00C87F2E">
      <w:pPr>
        <w:pStyle w:val="NormalWeb"/>
        <w:spacing w:before="0" w:beforeAutospacing="0" w:after="0" w:afterAutospacing="0"/>
        <w:jc w:val="both"/>
        <w:rPr>
          <w:b/>
          <w:bCs/>
          <w:i/>
          <w:iCs/>
          <w:sz w:val="20"/>
          <w:szCs w:val="20"/>
          <w:lang w:val="en-CA"/>
        </w:rPr>
      </w:pPr>
      <w:r>
        <w:rPr>
          <w:b/>
          <w:bCs/>
          <w:i/>
          <w:iCs/>
          <w:sz w:val="20"/>
          <w:szCs w:val="20"/>
          <w:lang w:val="en-CA"/>
        </w:rPr>
        <w:t>Cash Used in Investing Activities</w:t>
      </w:r>
    </w:p>
    <w:p w14:paraId="1AEB830E" w14:textId="77777777" w:rsidR="00DB0A0E" w:rsidRDefault="00DB0A0E">
      <w:pPr>
        <w:pStyle w:val="NormalWeb"/>
        <w:spacing w:before="0" w:beforeAutospacing="0" w:after="0" w:afterAutospacing="0"/>
        <w:jc w:val="both"/>
        <w:rPr>
          <w:b/>
          <w:bCs/>
          <w:i/>
          <w:iCs/>
          <w:sz w:val="20"/>
          <w:szCs w:val="20"/>
          <w:lang w:val="en-CA"/>
        </w:rPr>
      </w:pPr>
    </w:p>
    <w:p w14:paraId="580F717F" w14:textId="77777777" w:rsidR="00DB0A0E" w:rsidRDefault="00C87F2E">
      <w:pPr>
        <w:pStyle w:val="NormalWeb"/>
        <w:spacing w:before="0" w:beforeAutospacing="0" w:after="0" w:afterAutospacing="0"/>
        <w:jc w:val="both"/>
        <w:rPr>
          <w:sz w:val="20"/>
          <w:szCs w:val="20"/>
        </w:rPr>
      </w:pPr>
      <w:r>
        <w:rPr>
          <w:sz w:val="20"/>
          <w:szCs w:val="20"/>
          <w:lang w:val="en-CA"/>
        </w:rPr>
        <w:t>Net cash used for investing activities for the year ended December 31, 2019 was $37,448 compared to $589,834 used f</w:t>
      </w:r>
      <w:r>
        <w:rPr>
          <w:sz w:val="20"/>
          <w:szCs w:val="20"/>
          <w:lang w:val="en-CA"/>
        </w:rPr>
        <w:t xml:space="preserve">or the year ended December 31, 2018. Oil and gas properties expenditures decreased to $37,448 from $504,110 in 2018 as the prior year expenditures included the acquisition costs for the SASB fields. </w:t>
      </w:r>
    </w:p>
    <w:p w14:paraId="638204EE" w14:textId="77777777" w:rsidR="00DB0A0E" w:rsidRDefault="00DB0A0E">
      <w:pPr>
        <w:pStyle w:val="NormalWeb"/>
        <w:spacing w:before="0" w:beforeAutospacing="0" w:after="0" w:afterAutospacing="0"/>
        <w:jc w:val="both"/>
        <w:rPr>
          <w:b/>
          <w:bCs/>
          <w:i/>
          <w:iCs/>
          <w:sz w:val="20"/>
          <w:szCs w:val="20"/>
        </w:rPr>
      </w:pPr>
    </w:p>
    <w:p w14:paraId="0E03F89A" w14:textId="77777777" w:rsidR="00DB0A0E" w:rsidRDefault="00C87F2E">
      <w:pPr>
        <w:pStyle w:val="NormalWeb"/>
        <w:spacing w:before="0" w:beforeAutospacing="0" w:after="0" w:afterAutospacing="0"/>
        <w:jc w:val="both"/>
        <w:rPr>
          <w:sz w:val="20"/>
          <w:szCs w:val="20"/>
        </w:rPr>
      </w:pPr>
      <w:r>
        <w:rPr>
          <w:b/>
          <w:bCs/>
          <w:i/>
          <w:iCs/>
          <w:sz w:val="20"/>
          <w:szCs w:val="20"/>
        </w:rPr>
        <w:t>Cash Provided by Financing Activities</w:t>
      </w:r>
    </w:p>
    <w:p w14:paraId="4964F320" w14:textId="77777777" w:rsidR="00DB0A0E" w:rsidRDefault="00DB0A0E">
      <w:pPr>
        <w:pStyle w:val="NormalWeb"/>
        <w:spacing w:before="0" w:beforeAutospacing="0" w:after="0" w:afterAutospacing="0"/>
        <w:jc w:val="both"/>
        <w:rPr>
          <w:sz w:val="20"/>
          <w:szCs w:val="20"/>
        </w:rPr>
      </w:pPr>
    </w:p>
    <w:p w14:paraId="40D001E5" w14:textId="77777777" w:rsidR="00DB0A0E" w:rsidRDefault="00C87F2E">
      <w:pPr>
        <w:pStyle w:val="NormalWeb"/>
        <w:spacing w:before="0" w:beforeAutospacing="0" w:after="0" w:afterAutospacing="0"/>
        <w:jc w:val="both"/>
        <w:rPr>
          <w:sz w:val="20"/>
          <w:szCs w:val="20"/>
          <w:lang w:val="en-CA"/>
        </w:rPr>
      </w:pPr>
      <w:r>
        <w:rPr>
          <w:sz w:val="20"/>
          <w:szCs w:val="20"/>
          <w:lang w:val="en-CA"/>
        </w:rPr>
        <w:t xml:space="preserve">We have </w:t>
      </w:r>
      <w:r>
        <w:rPr>
          <w:sz w:val="20"/>
          <w:szCs w:val="20"/>
          <w:lang w:val="en-CA"/>
        </w:rPr>
        <w:t>funded our business to date from sales of our common stock through private placements and loans form shareholders.</w:t>
      </w:r>
    </w:p>
    <w:p w14:paraId="06E57DEB" w14:textId="77777777" w:rsidR="00DB0A0E" w:rsidRDefault="00DB0A0E">
      <w:pPr>
        <w:pStyle w:val="NormalWeb"/>
        <w:spacing w:before="0" w:beforeAutospacing="0" w:after="0" w:afterAutospacing="0"/>
        <w:jc w:val="both"/>
        <w:rPr>
          <w:sz w:val="20"/>
          <w:szCs w:val="20"/>
          <w:lang w:val="en-CA"/>
        </w:rPr>
      </w:pPr>
    </w:p>
    <w:p w14:paraId="2D1C5E0A" w14:textId="77777777" w:rsidR="00DB0A0E" w:rsidRDefault="00C87F2E">
      <w:pPr>
        <w:pStyle w:val="NormalWeb"/>
        <w:spacing w:before="0" w:beforeAutospacing="0" w:after="0" w:afterAutospacing="0"/>
        <w:jc w:val="both"/>
        <w:rPr>
          <w:sz w:val="20"/>
          <w:szCs w:val="20"/>
          <w:lang w:val="en-CA"/>
        </w:rPr>
      </w:pPr>
      <w:r>
        <w:rPr>
          <w:sz w:val="20"/>
          <w:szCs w:val="20"/>
          <w:lang w:val="en-CA"/>
        </w:rPr>
        <w:t>Net cash provided by financing activities for the year ended December 31, 2019 was $144,064 compared to $1,483,018 for the year ended Decemb</w:t>
      </w:r>
      <w:r>
        <w:rPr>
          <w:sz w:val="20"/>
          <w:szCs w:val="20"/>
          <w:lang w:val="en-CA"/>
        </w:rPr>
        <w:t xml:space="preserve">er 31, 2018. Cash provided by financing activities in the current year was from convertible debentures and loans payable, partially offset by repayment of loans payable. This </w:t>
      </w:r>
      <w:proofErr w:type="spellStart"/>
      <w:r>
        <w:rPr>
          <w:sz w:val="20"/>
          <w:szCs w:val="20"/>
          <w:lang w:val="en-CA"/>
        </w:rPr>
        <w:t>compres</w:t>
      </w:r>
      <w:proofErr w:type="spellEnd"/>
      <w:r>
        <w:rPr>
          <w:sz w:val="20"/>
          <w:szCs w:val="20"/>
          <w:lang w:val="en-CA"/>
        </w:rPr>
        <w:t xml:space="preserve"> to the prior year where cash provided by financing activities was from is</w:t>
      </w:r>
      <w:r>
        <w:rPr>
          <w:sz w:val="20"/>
          <w:szCs w:val="20"/>
          <w:lang w:val="en-CA"/>
        </w:rPr>
        <w:t xml:space="preserve">suance </w:t>
      </w:r>
      <w:proofErr w:type="spellStart"/>
      <w:r>
        <w:rPr>
          <w:sz w:val="20"/>
          <w:szCs w:val="20"/>
          <w:lang w:val="en-CA"/>
        </w:rPr>
        <w:t>ov</w:t>
      </w:r>
      <w:proofErr w:type="spellEnd"/>
      <w:r>
        <w:rPr>
          <w:sz w:val="20"/>
          <w:szCs w:val="20"/>
          <w:lang w:val="en-CA"/>
        </w:rPr>
        <w:t xml:space="preserve"> common stock, partially offset by repayment </w:t>
      </w:r>
      <w:proofErr w:type="gramStart"/>
      <w:r>
        <w:rPr>
          <w:sz w:val="20"/>
          <w:szCs w:val="20"/>
          <w:lang w:val="en-CA"/>
        </w:rPr>
        <w:t>of  loans</w:t>
      </w:r>
      <w:proofErr w:type="gramEnd"/>
      <w:r>
        <w:rPr>
          <w:sz w:val="20"/>
          <w:szCs w:val="20"/>
          <w:lang w:val="en-CA"/>
        </w:rPr>
        <w:t xml:space="preserve"> payable.</w:t>
      </w:r>
    </w:p>
    <w:p w14:paraId="34506BEB" w14:textId="77777777" w:rsidR="00DB0A0E" w:rsidRDefault="00DB0A0E">
      <w:pPr>
        <w:pStyle w:val="NormalWeb"/>
        <w:spacing w:before="0" w:beforeAutospacing="0" w:after="0" w:afterAutospacing="0"/>
        <w:jc w:val="both"/>
        <w:rPr>
          <w:sz w:val="20"/>
          <w:szCs w:val="20"/>
          <w:lang w:val="en-CA"/>
        </w:rPr>
      </w:pPr>
    </w:p>
    <w:p w14:paraId="0C48D863" w14:textId="77777777" w:rsidR="00DB0A0E" w:rsidRDefault="00C87F2E">
      <w:pPr>
        <w:pStyle w:val="NormalWeb"/>
        <w:spacing w:before="0" w:beforeAutospacing="0" w:after="0" w:afterAutospacing="0"/>
        <w:jc w:val="both"/>
        <w:rPr>
          <w:sz w:val="20"/>
          <w:szCs w:val="20"/>
        </w:rPr>
      </w:pPr>
      <w:r>
        <w:rPr>
          <w:b/>
          <w:bCs/>
          <w:i/>
          <w:iCs/>
          <w:sz w:val="20"/>
          <w:szCs w:val="20"/>
        </w:rPr>
        <w:t>Future Operating Requirements</w:t>
      </w:r>
    </w:p>
    <w:p w14:paraId="61A2026A" w14:textId="77777777" w:rsidR="00DB0A0E" w:rsidRDefault="00DB0A0E">
      <w:pPr>
        <w:pStyle w:val="NormalWeb"/>
        <w:spacing w:before="0" w:beforeAutospacing="0" w:after="0" w:afterAutospacing="0"/>
        <w:jc w:val="both"/>
        <w:rPr>
          <w:sz w:val="20"/>
          <w:szCs w:val="20"/>
        </w:rPr>
      </w:pPr>
    </w:p>
    <w:p w14:paraId="1F437C0B" w14:textId="77777777" w:rsidR="00DB0A0E" w:rsidRDefault="00C87F2E">
      <w:pPr>
        <w:pStyle w:val="NormalWeb"/>
        <w:spacing w:before="0" w:beforeAutospacing="0" w:after="0" w:afterAutospacing="0"/>
        <w:jc w:val="both"/>
        <w:rPr>
          <w:sz w:val="20"/>
          <w:szCs w:val="20"/>
          <w:lang w:val="en-CA"/>
        </w:rPr>
      </w:pPr>
      <w:r>
        <w:rPr>
          <w:sz w:val="20"/>
          <w:szCs w:val="20"/>
          <w:lang w:val="en-CA"/>
        </w:rPr>
        <w:t>Based on our current plan of operations, we estimate that we will require approximately $500,000 to pursue our plan of operations over the next 12 mont</w:t>
      </w:r>
      <w:r>
        <w:rPr>
          <w:sz w:val="20"/>
          <w:szCs w:val="20"/>
          <w:lang w:val="en-CA"/>
        </w:rPr>
        <w:t>hs. We plan to spend approximately $50,000 on an environmental report and we also plan to improve our working capital surplus by paying off accounts payable. The operations in Turkey are self-sustaining and will generate net cash flow sufficient to fund in</w:t>
      </w:r>
      <w:r>
        <w:rPr>
          <w:sz w:val="20"/>
          <w:szCs w:val="20"/>
          <w:lang w:val="en-CA"/>
        </w:rPr>
        <w:t>-country general and administrative expenses as well as a portion of our head office overhead. We will require approximately $250,000 for general and administrative expenses.</w:t>
      </w:r>
    </w:p>
    <w:p w14:paraId="7AFA7C2C" w14:textId="77777777" w:rsidR="00DB0A0E" w:rsidRDefault="00DB0A0E">
      <w:pPr>
        <w:pStyle w:val="NormalWeb"/>
        <w:spacing w:before="0" w:beforeAutospacing="0" w:after="0" w:afterAutospacing="0"/>
        <w:jc w:val="both"/>
        <w:rPr>
          <w:sz w:val="20"/>
          <w:szCs w:val="20"/>
          <w:lang w:val="en-CA"/>
        </w:rPr>
      </w:pPr>
    </w:p>
    <w:p w14:paraId="767A9D71" w14:textId="77777777" w:rsidR="00DB0A0E" w:rsidRDefault="00C87F2E">
      <w:pPr>
        <w:pStyle w:val="NormalWeb"/>
        <w:spacing w:before="0" w:beforeAutospacing="0" w:after="0" w:afterAutospacing="0"/>
        <w:jc w:val="both"/>
        <w:rPr>
          <w:sz w:val="20"/>
          <w:szCs w:val="20"/>
          <w:lang w:val="en-CA"/>
        </w:rPr>
      </w:pPr>
      <w:r>
        <w:rPr>
          <w:sz w:val="20"/>
          <w:szCs w:val="20"/>
          <w:lang w:val="en-CA"/>
        </w:rPr>
        <w:t>To reduce our current outstanding trade payables and indebtedness will require a</w:t>
      </w:r>
      <w:r>
        <w:rPr>
          <w:sz w:val="20"/>
          <w:szCs w:val="20"/>
          <w:lang w:val="en-CA"/>
        </w:rPr>
        <w:t>pproximately $1.2 million; however, we may be able to negotiate terms that will require a lesser amount.</w:t>
      </w:r>
    </w:p>
    <w:p w14:paraId="58F6E2D3" w14:textId="77777777" w:rsidR="00DB0A0E" w:rsidRDefault="00DB0A0E">
      <w:pPr>
        <w:pStyle w:val="NormalWeb"/>
        <w:spacing w:before="0" w:beforeAutospacing="0" w:after="0" w:afterAutospacing="0"/>
        <w:jc w:val="both"/>
        <w:rPr>
          <w:sz w:val="20"/>
          <w:szCs w:val="20"/>
          <w:lang w:val="en-CA"/>
        </w:rPr>
      </w:pPr>
    </w:p>
    <w:p w14:paraId="12688C5A" w14:textId="77777777" w:rsidR="00DB0A0E" w:rsidRDefault="00C87F2E">
      <w:pPr>
        <w:pStyle w:val="NormalWeb"/>
        <w:spacing w:before="0" w:beforeAutospacing="0" w:after="0" w:afterAutospacing="0"/>
        <w:jc w:val="both"/>
        <w:rPr>
          <w:sz w:val="20"/>
          <w:szCs w:val="20"/>
          <w:lang w:val="en-CA"/>
        </w:rPr>
      </w:pPr>
      <w:r>
        <w:rPr>
          <w:sz w:val="20"/>
          <w:szCs w:val="20"/>
          <w:lang w:val="en-CA"/>
        </w:rPr>
        <w:t>Based on the recent increase in reserves on SASB our current plan of operations in the period 12 to 18 months is the drilling of up to four (4) new we</w:t>
      </w:r>
      <w:r>
        <w:rPr>
          <w:sz w:val="20"/>
          <w:szCs w:val="20"/>
          <w:lang w:val="en-CA"/>
        </w:rPr>
        <w:t>lls at SASB and to re-enter three existing wells to perform workovers to increase gas production. Depending on the timing of the drilling operations at our current interest (49%), we project we will incur up to an additional $16 to $25 million in capital e</w:t>
      </w:r>
      <w:r>
        <w:rPr>
          <w:sz w:val="20"/>
          <w:szCs w:val="20"/>
          <w:lang w:val="en-CA"/>
        </w:rPr>
        <w:t xml:space="preserve">xpenditures to enable use to conduct such operations. </w:t>
      </w:r>
    </w:p>
    <w:p w14:paraId="4FDD080D" w14:textId="77777777" w:rsidR="00DB0A0E" w:rsidRDefault="00DB0A0E">
      <w:pPr>
        <w:pStyle w:val="NormalWeb"/>
        <w:spacing w:before="0" w:beforeAutospacing="0" w:after="0" w:afterAutospacing="0"/>
        <w:jc w:val="both"/>
        <w:rPr>
          <w:sz w:val="20"/>
          <w:szCs w:val="20"/>
          <w:lang w:val="en-CA"/>
        </w:rPr>
      </w:pPr>
    </w:p>
    <w:p w14:paraId="6D8AACC4" w14:textId="77777777" w:rsidR="00DB0A0E" w:rsidRDefault="00C87F2E">
      <w:pPr>
        <w:pStyle w:val="NormalWeb"/>
        <w:spacing w:before="0" w:beforeAutospacing="0" w:after="0" w:afterAutospacing="0"/>
        <w:jc w:val="both"/>
        <w:rPr>
          <w:sz w:val="20"/>
          <w:szCs w:val="20"/>
        </w:rPr>
      </w:pPr>
      <w:r>
        <w:rPr>
          <w:sz w:val="20"/>
          <w:szCs w:val="20"/>
          <w:lang w:val="en-CA"/>
        </w:rPr>
        <w:t xml:space="preserve">As of </w:t>
      </w:r>
      <w:proofErr w:type="gramStart"/>
      <w:r>
        <w:rPr>
          <w:sz w:val="20"/>
          <w:szCs w:val="20"/>
          <w:lang w:val="en-CA"/>
        </w:rPr>
        <w:t>December 31, 2019</w:t>
      </w:r>
      <w:proofErr w:type="gramEnd"/>
      <w:r>
        <w:rPr>
          <w:sz w:val="20"/>
          <w:szCs w:val="20"/>
          <w:lang w:val="en-CA"/>
        </w:rPr>
        <w:t xml:space="preserve"> the Company had unrestricted cash of $863,017. The Company is attempting to raise additional capital to fund future exploration and operating requirements.</w:t>
      </w:r>
    </w:p>
    <w:p w14:paraId="7C12D76E" w14:textId="77777777" w:rsidR="00DB0A0E" w:rsidRDefault="00DB0A0E">
      <w:pPr>
        <w:pStyle w:val="NormalWeb"/>
        <w:spacing w:before="0" w:beforeAutospacing="0" w:after="0" w:afterAutospacing="0"/>
        <w:jc w:val="both"/>
        <w:rPr>
          <w:sz w:val="20"/>
          <w:szCs w:val="20"/>
        </w:rPr>
      </w:pPr>
    </w:p>
    <w:p w14:paraId="79DF9D74" w14:textId="77777777" w:rsidR="00DB0A0E" w:rsidRDefault="00C87F2E">
      <w:pPr>
        <w:pStyle w:val="NormalWeb"/>
        <w:spacing w:before="0" w:beforeAutospacing="0" w:after="0" w:afterAutospacing="0"/>
        <w:jc w:val="both"/>
        <w:rPr>
          <w:sz w:val="20"/>
          <w:szCs w:val="20"/>
        </w:rPr>
      </w:pPr>
      <w:r>
        <w:rPr>
          <w:b/>
          <w:bCs/>
          <w:i/>
          <w:iCs/>
          <w:sz w:val="20"/>
          <w:szCs w:val="20"/>
        </w:rPr>
        <w:t>Off-Balance Sheet A</w:t>
      </w:r>
      <w:r>
        <w:rPr>
          <w:b/>
          <w:bCs/>
          <w:i/>
          <w:iCs/>
          <w:sz w:val="20"/>
          <w:szCs w:val="20"/>
        </w:rPr>
        <w:t>rrangements</w:t>
      </w:r>
    </w:p>
    <w:p w14:paraId="12A86D25" w14:textId="77777777" w:rsidR="00DB0A0E" w:rsidRDefault="00C87F2E">
      <w:pPr>
        <w:pStyle w:val="NormalWeb"/>
        <w:spacing w:before="0" w:beforeAutospacing="0" w:after="0" w:afterAutospacing="0"/>
        <w:jc w:val="both"/>
        <w:rPr>
          <w:sz w:val="20"/>
          <w:szCs w:val="20"/>
        </w:rPr>
      </w:pPr>
      <w:r>
        <w:rPr>
          <w:sz w:val="20"/>
          <w:szCs w:val="20"/>
        </w:rPr>
        <w:t> </w:t>
      </w:r>
    </w:p>
    <w:p w14:paraId="626FDD9C" w14:textId="77777777" w:rsidR="00DB0A0E" w:rsidRDefault="00C87F2E">
      <w:pPr>
        <w:pStyle w:val="NormalWeb"/>
        <w:spacing w:before="0" w:beforeAutospacing="0" w:after="0" w:afterAutospacing="0"/>
        <w:jc w:val="both"/>
        <w:rPr>
          <w:sz w:val="20"/>
          <w:szCs w:val="20"/>
        </w:rPr>
      </w:pPr>
      <w:r>
        <w:rPr>
          <w:sz w:val="20"/>
          <w:szCs w:val="20"/>
        </w:rPr>
        <w:t>On October 1, 2018 the Company entered into an agreement to grant to a consultant of the Company a 2% (two percent) gross overriding royalty on petroleum substances produced from certain of its currently undeveloped exploration properties, na</w:t>
      </w:r>
      <w:r>
        <w:rPr>
          <w:sz w:val="20"/>
          <w:szCs w:val="20"/>
        </w:rPr>
        <w:t xml:space="preserve">mely: Block 1-11 </w:t>
      </w:r>
      <w:proofErr w:type="spellStart"/>
      <w:r>
        <w:rPr>
          <w:sz w:val="20"/>
          <w:szCs w:val="20"/>
        </w:rPr>
        <w:t>Vranino</w:t>
      </w:r>
      <w:proofErr w:type="spellEnd"/>
      <w:r>
        <w:rPr>
          <w:sz w:val="20"/>
          <w:szCs w:val="20"/>
        </w:rPr>
        <w:t xml:space="preserve"> situated in Dobrich District, Bulgaria and seven contiguous exploration </w:t>
      </w:r>
      <w:proofErr w:type="spellStart"/>
      <w:r>
        <w:rPr>
          <w:sz w:val="20"/>
          <w:szCs w:val="20"/>
        </w:rPr>
        <w:t>licences</w:t>
      </w:r>
      <w:proofErr w:type="spellEnd"/>
      <w:r>
        <w:rPr>
          <w:sz w:val="20"/>
          <w:szCs w:val="20"/>
        </w:rPr>
        <w:t xml:space="preserve"> in the province of Hakkari-</w:t>
      </w:r>
      <w:proofErr w:type="spellStart"/>
      <w:r>
        <w:rPr>
          <w:sz w:val="20"/>
          <w:szCs w:val="20"/>
        </w:rPr>
        <w:t>Derecik</w:t>
      </w:r>
      <w:proofErr w:type="spellEnd"/>
      <w:r>
        <w:rPr>
          <w:sz w:val="20"/>
          <w:szCs w:val="20"/>
        </w:rPr>
        <w:t>, Turkey. The Grant of the royalty agreement was for services involving technical and corporate advisory services.</w:t>
      </w:r>
    </w:p>
    <w:p w14:paraId="78959A36" w14:textId="77777777" w:rsidR="00DB0A0E" w:rsidRDefault="00C87F2E">
      <w:pPr>
        <w:pStyle w:val="NormalWeb"/>
        <w:spacing w:before="0" w:beforeAutospacing="0" w:after="0" w:afterAutospacing="0"/>
        <w:jc w:val="both"/>
        <w:rPr>
          <w:sz w:val="20"/>
          <w:szCs w:val="20"/>
        </w:rPr>
      </w:pPr>
      <w:r>
        <w:rPr>
          <w:sz w:val="20"/>
          <w:szCs w:val="20"/>
        </w:rPr>
        <w:t> </w:t>
      </w:r>
    </w:p>
    <w:p w14:paraId="1E4A0314" w14:textId="77777777" w:rsidR="00DB0A0E" w:rsidRDefault="00C87F2E">
      <w:pPr>
        <w:pStyle w:val="NormalWeb"/>
        <w:spacing w:before="0" w:beforeAutospacing="0" w:after="0" w:afterAutospacing="0"/>
        <w:jc w:val="both"/>
        <w:rPr>
          <w:sz w:val="20"/>
          <w:szCs w:val="20"/>
        </w:rPr>
      </w:pPr>
      <w:r>
        <w:rPr>
          <w:sz w:val="20"/>
          <w:szCs w:val="20"/>
        </w:rPr>
        <w:t>On October 1, 2018 the Company entered into an agreement to grant to the CEO of the Company a 0.5% (one half of one percent) gross overriding royalty on petroleum substances produced from certain of its currently undeveloped exploration properties, namely</w:t>
      </w:r>
      <w:r>
        <w:rPr>
          <w:sz w:val="20"/>
          <w:szCs w:val="20"/>
        </w:rPr>
        <w:t xml:space="preserve">: Block 1-11 </w:t>
      </w:r>
      <w:proofErr w:type="spellStart"/>
      <w:r>
        <w:rPr>
          <w:sz w:val="20"/>
          <w:szCs w:val="20"/>
        </w:rPr>
        <w:t>Vranino</w:t>
      </w:r>
      <w:proofErr w:type="spellEnd"/>
      <w:r>
        <w:rPr>
          <w:sz w:val="20"/>
          <w:szCs w:val="20"/>
        </w:rPr>
        <w:t xml:space="preserve"> situated in Dobrich District, Bulgaria and seven contiguous exploration </w:t>
      </w:r>
      <w:proofErr w:type="spellStart"/>
      <w:r>
        <w:rPr>
          <w:sz w:val="20"/>
          <w:szCs w:val="20"/>
        </w:rPr>
        <w:t>licences</w:t>
      </w:r>
      <w:proofErr w:type="spellEnd"/>
      <w:r>
        <w:rPr>
          <w:sz w:val="20"/>
          <w:szCs w:val="20"/>
        </w:rPr>
        <w:t xml:space="preserve"> in the province of Hakkari-</w:t>
      </w:r>
      <w:proofErr w:type="spellStart"/>
      <w:r>
        <w:rPr>
          <w:sz w:val="20"/>
          <w:szCs w:val="20"/>
        </w:rPr>
        <w:t>Derecik</w:t>
      </w:r>
      <w:proofErr w:type="spellEnd"/>
      <w:r>
        <w:rPr>
          <w:sz w:val="20"/>
          <w:szCs w:val="20"/>
        </w:rPr>
        <w:t>, Turkey. The Grant of the royalty agreement was for services involving technical and corporate advisory services.</w:t>
      </w:r>
    </w:p>
    <w:p w14:paraId="1864DAAE" w14:textId="77777777" w:rsidR="00DB0A0E" w:rsidRDefault="00DB0A0E">
      <w:pPr>
        <w:pStyle w:val="NormalWeb"/>
        <w:spacing w:before="0" w:beforeAutospacing="0" w:after="0" w:afterAutospacing="0"/>
        <w:jc w:val="both"/>
        <w:rPr>
          <w:sz w:val="20"/>
          <w:szCs w:val="20"/>
        </w:rPr>
      </w:pPr>
    </w:p>
    <w:p w14:paraId="7025F277" w14:textId="77777777" w:rsidR="00DB0A0E" w:rsidRDefault="00C87F2E">
      <w:pPr>
        <w:pStyle w:val="NormalWeb"/>
        <w:spacing w:before="0" w:beforeAutospacing="0" w:after="0" w:afterAutospacing="0"/>
        <w:jc w:val="both"/>
        <w:rPr>
          <w:sz w:val="20"/>
          <w:szCs w:val="20"/>
        </w:rPr>
      </w:pPr>
      <w:r>
        <w:rPr>
          <w:sz w:val="20"/>
          <w:szCs w:val="20"/>
        </w:rPr>
        <w:t>The Company holds a 100% interest in 1 Exploration Permits in the Hakkari-</w:t>
      </w:r>
      <w:proofErr w:type="spellStart"/>
      <w:r>
        <w:rPr>
          <w:sz w:val="20"/>
          <w:szCs w:val="20"/>
        </w:rPr>
        <w:t>Derecik</w:t>
      </w:r>
      <w:proofErr w:type="spellEnd"/>
      <w:r>
        <w:rPr>
          <w:sz w:val="20"/>
          <w:szCs w:val="20"/>
        </w:rPr>
        <w:t xml:space="preserve"> area of Turkey. The permit became effective on October 30th, 2014 and was set to expire on October 30th, 2019, however, the received an extension of the license until April 3</w:t>
      </w:r>
      <w:r>
        <w:rPr>
          <w:sz w:val="20"/>
          <w:szCs w:val="20"/>
        </w:rPr>
        <w:t xml:space="preserve">0, </w:t>
      </w:r>
      <w:proofErr w:type="gramStart"/>
      <w:r>
        <w:rPr>
          <w:sz w:val="20"/>
          <w:szCs w:val="20"/>
        </w:rPr>
        <w:t>2021  due</w:t>
      </w:r>
      <w:proofErr w:type="gramEnd"/>
      <w:r>
        <w:rPr>
          <w:sz w:val="20"/>
          <w:szCs w:val="20"/>
        </w:rPr>
        <w:t xml:space="preserve"> to delays in exploration caused by security and safety issues in the region.</w:t>
      </w:r>
    </w:p>
    <w:p w14:paraId="7AD3B457" w14:textId="77777777" w:rsidR="00DB0A0E" w:rsidRDefault="00DB0A0E">
      <w:pPr>
        <w:pStyle w:val="NormalWeb"/>
        <w:spacing w:before="0" w:beforeAutospacing="0" w:after="0" w:afterAutospacing="0"/>
        <w:jc w:val="both"/>
        <w:rPr>
          <w:sz w:val="20"/>
          <w:szCs w:val="20"/>
        </w:rPr>
      </w:pPr>
    </w:p>
    <w:p w14:paraId="26BA6A37" w14:textId="77777777" w:rsidR="00DB0A0E" w:rsidRDefault="00C87F2E">
      <w:pPr>
        <w:pStyle w:val="NormalWeb"/>
        <w:spacing w:before="0" w:beforeAutospacing="0" w:after="0" w:afterAutospacing="0"/>
        <w:jc w:val="both"/>
        <w:rPr>
          <w:sz w:val="20"/>
          <w:szCs w:val="20"/>
        </w:rPr>
      </w:pPr>
      <w:r>
        <w:rPr>
          <w:b/>
          <w:bCs/>
          <w:i/>
          <w:iCs/>
          <w:sz w:val="20"/>
          <w:szCs w:val="20"/>
        </w:rPr>
        <w:t>Stock Based Compensation</w:t>
      </w:r>
    </w:p>
    <w:p w14:paraId="58897627" w14:textId="77777777" w:rsidR="00DB0A0E" w:rsidRDefault="00C87F2E">
      <w:pPr>
        <w:pStyle w:val="NormalWeb"/>
        <w:spacing w:before="0" w:beforeAutospacing="0" w:after="0" w:afterAutospacing="0"/>
        <w:jc w:val="both"/>
        <w:rPr>
          <w:sz w:val="20"/>
          <w:szCs w:val="20"/>
        </w:rPr>
      </w:pPr>
      <w:r>
        <w:rPr>
          <w:sz w:val="20"/>
          <w:szCs w:val="20"/>
        </w:rPr>
        <w:t> </w:t>
      </w:r>
    </w:p>
    <w:p w14:paraId="2C869C86" w14:textId="77777777" w:rsidR="00DB0A0E" w:rsidRDefault="00C87F2E">
      <w:pPr>
        <w:pStyle w:val="NormalWeb"/>
        <w:spacing w:before="0" w:beforeAutospacing="0" w:after="0" w:afterAutospacing="0"/>
        <w:jc w:val="both"/>
        <w:rPr>
          <w:sz w:val="20"/>
          <w:szCs w:val="20"/>
        </w:rPr>
      </w:pPr>
      <w:r>
        <w:rPr>
          <w:sz w:val="20"/>
          <w:szCs w:val="20"/>
        </w:rPr>
        <w:t>We have a stock-based compensation plan covering our employees, consultants, and directors. See the Notes to the Consolidated Financial St</w:t>
      </w:r>
      <w:r>
        <w:rPr>
          <w:sz w:val="20"/>
          <w:szCs w:val="20"/>
        </w:rPr>
        <w:t>atements.</w:t>
      </w:r>
    </w:p>
    <w:p w14:paraId="432F78CD" w14:textId="77777777" w:rsidR="00DB0A0E" w:rsidRDefault="00C87F2E">
      <w:pPr>
        <w:pStyle w:val="NormalWeb"/>
        <w:spacing w:before="0" w:beforeAutospacing="0" w:after="0" w:afterAutospacing="0"/>
        <w:jc w:val="both"/>
        <w:rPr>
          <w:sz w:val="20"/>
          <w:szCs w:val="20"/>
        </w:rPr>
      </w:pPr>
      <w:r>
        <w:rPr>
          <w:b/>
          <w:bCs/>
          <w:sz w:val="20"/>
          <w:szCs w:val="20"/>
        </w:rPr>
        <w:t> </w:t>
      </w:r>
    </w:p>
    <w:p w14:paraId="0F3A2C30" w14:textId="77777777" w:rsidR="00DB0A0E" w:rsidRDefault="00C87F2E">
      <w:pPr>
        <w:pStyle w:val="NormalWeb"/>
        <w:spacing w:before="0" w:beforeAutospacing="0" w:after="0" w:afterAutospacing="0"/>
        <w:jc w:val="both"/>
        <w:rPr>
          <w:sz w:val="20"/>
          <w:szCs w:val="20"/>
        </w:rPr>
      </w:pPr>
      <w:r>
        <w:rPr>
          <w:b/>
          <w:bCs/>
          <w:sz w:val="20"/>
          <w:szCs w:val="20"/>
        </w:rPr>
        <w:t>Contractual Obligation and Commercial Commitments</w:t>
      </w:r>
    </w:p>
    <w:p w14:paraId="45BDED80" w14:textId="77777777" w:rsidR="00DB0A0E" w:rsidRDefault="00C87F2E">
      <w:pPr>
        <w:pStyle w:val="NormalWeb"/>
        <w:spacing w:before="0" w:beforeAutospacing="0" w:after="0" w:afterAutospacing="0"/>
        <w:jc w:val="both"/>
        <w:rPr>
          <w:sz w:val="20"/>
          <w:szCs w:val="20"/>
        </w:rPr>
      </w:pPr>
      <w:r>
        <w:rPr>
          <w:sz w:val="20"/>
          <w:szCs w:val="20"/>
        </w:rPr>
        <w:lastRenderedPageBreak/>
        <w:t> </w:t>
      </w:r>
    </w:p>
    <w:p w14:paraId="224D2CF4" w14:textId="77777777" w:rsidR="00DB0A0E" w:rsidRDefault="00C87F2E">
      <w:pPr>
        <w:pStyle w:val="NormalWeb"/>
        <w:spacing w:before="0" w:beforeAutospacing="0" w:after="0" w:afterAutospacing="0"/>
        <w:jc w:val="both"/>
        <w:rPr>
          <w:sz w:val="20"/>
          <w:szCs w:val="20"/>
        </w:rPr>
      </w:pPr>
      <w:r>
        <w:rPr>
          <w:sz w:val="20"/>
          <w:szCs w:val="20"/>
        </w:rPr>
        <w:t>See the Executive Summary of this MD&amp;A relating to our commitment under the Bulgarian License.</w:t>
      </w:r>
    </w:p>
    <w:p w14:paraId="05C2643C" w14:textId="77777777" w:rsidR="00DB0A0E" w:rsidRDefault="00C87F2E">
      <w:pPr>
        <w:pStyle w:val="NormalWeb"/>
        <w:spacing w:before="0" w:beforeAutospacing="0" w:after="0" w:afterAutospacing="0"/>
        <w:jc w:val="both"/>
        <w:rPr>
          <w:sz w:val="20"/>
          <w:szCs w:val="20"/>
        </w:rPr>
      </w:pPr>
      <w:r>
        <w:rPr>
          <w:sz w:val="20"/>
          <w:szCs w:val="20"/>
        </w:rPr>
        <w:t> </w:t>
      </w:r>
    </w:p>
    <w:p w14:paraId="0D8C123D" w14:textId="77777777" w:rsidR="00DB0A0E" w:rsidRDefault="00C87F2E">
      <w:pPr>
        <w:pStyle w:val="NormalWeb"/>
        <w:spacing w:before="0" w:beforeAutospacing="0" w:after="0" w:afterAutospacing="0"/>
        <w:jc w:val="both"/>
        <w:rPr>
          <w:sz w:val="20"/>
          <w:szCs w:val="20"/>
        </w:rPr>
      </w:pPr>
      <w:r>
        <w:rPr>
          <w:b/>
          <w:bCs/>
          <w:sz w:val="20"/>
          <w:szCs w:val="20"/>
        </w:rPr>
        <w:t>Critical Accounting Policies and Estimates</w:t>
      </w:r>
    </w:p>
    <w:p w14:paraId="51A469BA" w14:textId="77777777" w:rsidR="00DB0A0E" w:rsidRDefault="00C87F2E">
      <w:pPr>
        <w:pStyle w:val="NormalWeb"/>
        <w:spacing w:before="0" w:beforeAutospacing="0" w:after="0" w:afterAutospacing="0"/>
        <w:jc w:val="both"/>
        <w:rPr>
          <w:sz w:val="20"/>
          <w:szCs w:val="20"/>
        </w:rPr>
      </w:pPr>
      <w:r>
        <w:rPr>
          <w:sz w:val="20"/>
          <w:szCs w:val="20"/>
        </w:rPr>
        <w:t> </w:t>
      </w:r>
    </w:p>
    <w:p w14:paraId="2B78EDEC" w14:textId="77777777" w:rsidR="00DB0A0E" w:rsidRDefault="00C87F2E">
      <w:pPr>
        <w:pStyle w:val="NormalWeb"/>
        <w:spacing w:before="0" w:beforeAutospacing="0" w:after="0" w:afterAutospacing="0"/>
        <w:jc w:val="both"/>
        <w:rPr>
          <w:sz w:val="20"/>
          <w:szCs w:val="20"/>
        </w:rPr>
      </w:pPr>
      <w:r>
        <w:rPr>
          <w:sz w:val="20"/>
          <w:szCs w:val="20"/>
        </w:rPr>
        <w:t>Our consolidated financial statements and accompan</w:t>
      </w:r>
      <w:r>
        <w:rPr>
          <w:sz w:val="20"/>
          <w:szCs w:val="20"/>
        </w:rPr>
        <w:t>ying notes have been prepared in accordance with U.S. generally accepted accounting principles (“GAAP”) applied on a consistent basis. The preparation of financial statements in conformity with GAAP requires management to make estimates and assumptions tha</w:t>
      </w:r>
      <w:r>
        <w:rPr>
          <w:sz w:val="20"/>
          <w:szCs w:val="20"/>
        </w:rPr>
        <w:t>t affect the reported amounts of assets and liabilities, the disclosure of contingent assets and liabilities at the date of the financial statements and the reported amounts of revenues and expenses during the reporting periods.</w:t>
      </w:r>
    </w:p>
    <w:p w14:paraId="594C390B" w14:textId="77777777" w:rsidR="00DB0A0E" w:rsidRDefault="00C87F2E">
      <w:pPr>
        <w:pStyle w:val="NormalWeb"/>
        <w:spacing w:before="0" w:beforeAutospacing="0" w:after="0" w:afterAutospacing="0"/>
        <w:jc w:val="both"/>
        <w:rPr>
          <w:sz w:val="20"/>
          <w:szCs w:val="20"/>
        </w:rPr>
      </w:pPr>
      <w:r>
        <w:rPr>
          <w:sz w:val="20"/>
          <w:szCs w:val="20"/>
        </w:rPr>
        <w:t> </w:t>
      </w:r>
    </w:p>
    <w:p w14:paraId="5C3551AE" w14:textId="77777777" w:rsidR="00DB0A0E" w:rsidRDefault="00C87F2E">
      <w:pPr>
        <w:pStyle w:val="NormalWeb"/>
        <w:spacing w:before="0" w:beforeAutospacing="0" w:after="0" w:afterAutospacing="0"/>
        <w:jc w:val="both"/>
        <w:rPr>
          <w:sz w:val="20"/>
          <w:szCs w:val="20"/>
        </w:rPr>
      </w:pPr>
      <w:r>
        <w:rPr>
          <w:sz w:val="20"/>
          <w:szCs w:val="20"/>
        </w:rPr>
        <w:t>We regularly evaluate the</w:t>
      </w:r>
      <w:r>
        <w:rPr>
          <w:sz w:val="20"/>
          <w:szCs w:val="20"/>
        </w:rPr>
        <w:t xml:space="preserve"> accounting policies and estimates that we use to prepare our consolidated financial statements. In general, management’s estimates are based on historical experience, on information from third party professionals, and on various other assumptions that are</w:t>
      </w:r>
      <w:r>
        <w:rPr>
          <w:sz w:val="20"/>
          <w:szCs w:val="20"/>
        </w:rPr>
        <w:t xml:space="preserve"> believed to be reasonable under the facts and circumstances. Actual results could differ from those estimates made by management.</w:t>
      </w:r>
    </w:p>
    <w:p w14:paraId="048B75A1" w14:textId="77777777" w:rsidR="00DB0A0E" w:rsidRDefault="00C87F2E">
      <w:pPr>
        <w:pStyle w:val="NormalWeb"/>
        <w:spacing w:before="0" w:beforeAutospacing="0" w:after="0" w:afterAutospacing="0"/>
        <w:jc w:val="both"/>
        <w:rPr>
          <w:sz w:val="20"/>
          <w:szCs w:val="20"/>
        </w:rPr>
      </w:pPr>
      <w:r>
        <w:rPr>
          <w:sz w:val="20"/>
          <w:szCs w:val="20"/>
        </w:rPr>
        <w:t> </w:t>
      </w:r>
    </w:p>
    <w:p w14:paraId="752C46CD" w14:textId="77777777" w:rsidR="00DB0A0E" w:rsidRDefault="00C87F2E">
      <w:pPr>
        <w:pStyle w:val="NormalWeb"/>
        <w:spacing w:before="0" w:beforeAutospacing="0" w:after="0" w:afterAutospacing="0"/>
        <w:jc w:val="both"/>
        <w:rPr>
          <w:sz w:val="20"/>
          <w:szCs w:val="20"/>
        </w:rPr>
      </w:pPr>
      <w:r>
        <w:rPr>
          <w:sz w:val="20"/>
          <w:szCs w:val="20"/>
        </w:rPr>
        <w:t>We believe that our critical accounting policies and estimates include the following:</w:t>
      </w:r>
    </w:p>
    <w:p w14:paraId="3EA511D8" w14:textId="77777777" w:rsidR="00DB0A0E" w:rsidRDefault="00C87F2E">
      <w:pPr>
        <w:pStyle w:val="NormalWeb"/>
        <w:spacing w:before="0" w:beforeAutospacing="0" w:after="0" w:afterAutospacing="0"/>
        <w:jc w:val="both"/>
        <w:rPr>
          <w:sz w:val="20"/>
          <w:szCs w:val="20"/>
        </w:rPr>
      </w:pPr>
      <w:r>
        <w:rPr>
          <w:sz w:val="20"/>
          <w:szCs w:val="20"/>
        </w:rPr>
        <w:t> </w:t>
      </w:r>
    </w:p>
    <w:p w14:paraId="5DAA708C" w14:textId="77777777" w:rsidR="00DB0A0E" w:rsidRDefault="00C87F2E">
      <w:pPr>
        <w:pStyle w:val="NormalWeb"/>
        <w:spacing w:before="0" w:beforeAutospacing="0" w:after="0" w:afterAutospacing="0"/>
        <w:jc w:val="both"/>
        <w:rPr>
          <w:sz w:val="20"/>
          <w:szCs w:val="20"/>
        </w:rPr>
      </w:pPr>
      <w:r>
        <w:rPr>
          <w:i/>
          <w:iCs/>
          <w:sz w:val="20"/>
          <w:szCs w:val="20"/>
        </w:rPr>
        <w:t>Oil and gas properties</w:t>
      </w:r>
    </w:p>
    <w:p w14:paraId="6EAC85F8" w14:textId="77777777" w:rsidR="00DB0A0E" w:rsidRDefault="00C87F2E">
      <w:pPr>
        <w:pStyle w:val="NormalWeb"/>
        <w:spacing w:before="0" w:beforeAutospacing="0" w:after="0" w:afterAutospacing="0"/>
        <w:jc w:val="both"/>
        <w:rPr>
          <w:sz w:val="20"/>
          <w:szCs w:val="20"/>
        </w:rPr>
      </w:pPr>
      <w:r>
        <w:rPr>
          <w:sz w:val="20"/>
          <w:szCs w:val="20"/>
        </w:rPr>
        <w:t> </w:t>
      </w:r>
    </w:p>
    <w:p w14:paraId="6B9C7680" w14:textId="77777777" w:rsidR="00DB0A0E" w:rsidRDefault="00C87F2E">
      <w:pPr>
        <w:pStyle w:val="NormalWeb"/>
        <w:spacing w:before="0" w:beforeAutospacing="0" w:after="0" w:afterAutospacing="0"/>
        <w:jc w:val="both"/>
        <w:rPr>
          <w:sz w:val="20"/>
          <w:szCs w:val="20"/>
        </w:rPr>
      </w:pPr>
      <w:r>
        <w:rPr>
          <w:sz w:val="20"/>
          <w:szCs w:val="20"/>
        </w:rPr>
        <w:t>The Compan</w:t>
      </w:r>
      <w:r>
        <w:rPr>
          <w:sz w:val="20"/>
          <w:szCs w:val="20"/>
        </w:rPr>
        <w:t>y follows the full cost method of accounting for oil and natural gas operations, whereby all costs of exploring for and developing oil and natural gas reserves are capitalized and accumulated in cost centers on a country-by-country basis. Costs include lan</w:t>
      </w:r>
      <w:r>
        <w:rPr>
          <w:sz w:val="20"/>
          <w:szCs w:val="20"/>
        </w:rPr>
        <w:t>d acquisition costs, geological and geophysical charges, carrying charges on non-productive properties and costs of drilling both productive and non-productive wells. General and administrative costs are not capitalized other than to the extent of the Comp</w:t>
      </w:r>
      <w:r>
        <w:rPr>
          <w:sz w:val="20"/>
          <w:szCs w:val="20"/>
        </w:rPr>
        <w:t>any’s working interest in operated capital expenditure programs on which operator’s fees have been charged equivalent to standard industry operating agreements.</w:t>
      </w:r>
    </w:p>
    <w:p w14:paraId="6C7AECA1" w14:textId="77777777" w:rsidR="00DB0A0E" w:rsidRDefault="00C87F2E">
      <w:pPr>
        <w:pStyle w:val="NormalWeb"/>
        <w:spacing w:before="0" w:beforeAutospacing="0" w:after="0" w:afterAutospacing="0"/>
        <w:jc w:val="both"/>
        <w:rPr>
          <w:sz w:val="20"/>
          <w:szCs w:val="20"/>
        </w:rPr>
      </w:pPr>
      <w:r>
        <w:rPr>
          <w:sz w:val="20"/>
          <w:szCs w:val="20"/>
        </w:rPr>
        <w:t> </w:t>
      </w:r>
    </w:p>
    <w:p w14:paraId="42D4DE7D" w14:textId="77777777" w:rsidR="00DB0A0E" w:rsidRDefault="00C87F2E">
      <w:pPr>
        <w:pStyle w:val="NormalWeb"/>
        <w:spacing w:before="0" w:beforeAutospacing="0" w:after="0" w:afterAutospacing="0"/>
        <w:jc w:val="both"/>
        <w:rPr>
          <w:sz w:val="20"/>
          <w:szCs w:val="20"/>
        </w:rPr>
      </w:pPr>
      <w:r>
        <w:rPr>
          <w:sz w:val="20"/>
          <w:szCs w:val="20"/>
        </w:rPr>
        <w:t xml:space="preserve">The costs in each cost center, including the costs of well equipment, are </w:t>
      </w:r>
      <w:proofErr w:type="gramStart"/>
      <w:r>
        <w:rPr>
          <w:sz w:val="20"/>
          <w:szCs w:val="20"/>
        </w:rPr>
        <w:t>depleted</w:t>
      </w:r>
      <w:proofErr w:type="gramEnd"/>
      <w:r>
        <w:rPr>
          <w:sz w:val="20"/>
          <w:szCs w:val="20"/>
        </w:rPr>
        <w:t xml:space="preserve"> and deprec</w:t>
      </w:r>
      <w:r>
        <w:rPr>
          <w:sz w:val="20"/>
          <w:szCs w:val="20"/>
        </w:rPr>
        <w:t xml:space="preserve">iated using the unit-of-production method based on the estimated proved reserves before royalties. Natural gas reserves and production are converted to equivalent barrels of crude oil based on relative energy content. The costs of acquiring and evaluating </w:t>
      </w:r>
      <w:r>
        <w:rPr>
          <w:sz w:val="20"/>
          <w:szCs w:val="20"/>
        </w:rPr>
        <w:t xml:space="preserve">significant unproved properties are initially excluded from depletion calculations. These unevaluated properties are assessed periodically to ascertain whether impairment has occurred. When proved reserves are assigned or the property </w:t>
      </w:r>
      <w:proofErr w:type="gramStart"/>
      <w:r>
        <w:rPr>
          <w:sz w:val="20"/>
          <w:szCs w:val="20"/>
        </w:rPr>
        <w:t>is considered to be</w:t>
      </w:r>
      <w:proofErr w:type="gramEnd"/>
      <w:r>
        <w:rPr>
          <w:sz w:val="20"/>
          <w:szCs w:val="20"/>
        </w:rPr>
        <w:t xml:space="preserve"> i</w:t>
      </w:r>
      <w:r>
        <w:rPr>
          <w:sz w:val="20"/>
          <w:szCs w:val="20"/>
        </w:rPr>
        <w:t>mpaired, the cost of the property or the amount of the impairment is added to costs subject to depletion.</w:t>
      </w:r>
    </w:p>
    <w:p w14:paraId="7B6840F1" w14:textId="77777777" w:rsidR="00DB0A0E" w:rsidRDefault="00C87F2E">
      <w:pPr>
        <w:pStyle w:val="NormalWeb"/>
        <w:spacing w:before="0" w:beforeAutospacing="0" w:after="0" w:afterAutospacing="0"/>
        <w:jc w:val="both"/>
        <w:rPr>
          <w:sz w:val="20"/>
          <w:szCs w:val="20"/>
        </w:rPr>
      </w:pPr>
      <w:r>
        <w:rPr>
          <w:sz w:val="20"/>
          <w:szCs w:val="20"/>
        </w:rPr>
        <w:t> </w:t>
      </w:r>
    </w:p>
    <w:p w14:paraId="69904E17" w14:textId="77777777" w:rsidR="00DB0A0E" w:rsidRDefault="00C87F2E">
      <w:pPr>
        <w:pStyle w:val="NormalWeb"/>
        <w:spacing w:before="0" w:beforeAutospacing="0" w:after="0" w:afterAutospacing="0"/>
        <w:jc w:val="both"/>
        <w:rPr>
          <w:sz w:val="20"/>
          <w:szCs w:val="20"/>
        </w:rPr>
      </w:pPr>
      <w:r>
        <w:rPr>
          <w:sz w:val="20"/>
          <w:szCs w:val="20"/>
        </w:rPr>
        <w:t>The capitalized costs less accumulated depletion and depreciation in each cost center are limited to an amount equal to the estimated future net rev</w:t>
      </w:r>
      <w:r>
        <w:rPr>
          <w:sz w:val="20"/>
          <w:szCs w:val="20"/>
        </w:rPr>
        <w:t>enue from proved reserves (based on prices and costs at the balance sheet date) plus the cost (net of impairments) of unproved properties. The total capitalized costs less accumulated depletion and depreciation, site restoration provision and future income</w:t>
      </w:r>
      <w:r>
        <w:rPr>
          <w:sz w:val="20"/>
          <w:szCs w:val="20"/>
        </w:rPr>
        <w:t xml:space="preserve"> taxes of all cost centers are further limited to an amount equal to the future net revenue from proved reserves plus the cost (net of impairments) of unproved properties of all cost centers less estimated future site restoration costs, general and adminis</w:t>
      </w:r>
      <w:r>
        <w:rPr>
          <w:sz w:val="20"/>
          <w:szCs w:val="20"/>
        </w:rPr>
        <w:t>trative expenses, financing costs and income taxes.</w:t>
      </w:r>
    </w:p>
    <w:p w14:paraId="6010C1F6" w14:textId="77777777" w:rsidR="00DB0A0E" w:rsidRDefault="00C87F2E">
      <w:pPr>
        <w:pStyle w:val="NormalWeb"/>
        <w:spacing w:before="0" w:beforeAutospacing="0" w:after="0" w:afterAutospacing="0"/>
        <w:jc w:val="both"/>
        <w:rPr>
          <w:sz w:val="20"/>
          <w:szCs w:val="20"/>
        </w:rPr>
      </w:pPr>
      <w:r>
        <w:rPr>
          <w:sz w:val="20"/>
          <w:szCs w:val="20"/>
        </w:rPr>
        <w:t> </w:t>
      </w:r>
    </w:p>
    <w:p w14:paraId="7DEDF300" w14:textId="77777777" w:rsidR="00DB0A0E" w:rsidRDefault="00C87F2E">
      <w:pPr>
        <w:pStyle w:val="NormalWeb"/>
        <w:spacing w:before="0" w:beforeAutospacing="0" w:after="0" w:afterAutospacing="0"/>
        <w:jc w:val="both"/>
        <w:rPr>
          <w:sz w:val="20"/>
          <w:szCs w:val="20"/>
        </w:rPr>
      </w:pPr>
      <w:r>
        <w:rPr>
          <w:sz w:val="20"/>
          <w:szCs w:val="20"/>
        </w:rPr>
        <w:t>Proceeds from the sale of oil and natural gas properties are applied against capitalized costs, with no gain or loss recognized, unless such a sale would significantly alter the rate of depletion and de</w:t>
      </w:r>
      <w:r>
        <w:rPr>
          <w:sz w:val="20"/>
          <w:szCs w:val="20"/>
        </w:rPr>
        <w:t>preciation.</w:t>
      </w:r>
    </w:p>
    <w:p w14:paraId="2C9031C6" w14:textId="77777777" w:rsidR="00DB0A0E" w:rsidRDefault="00C87F2E">
      <w:pPr>
        <w:pStyle w:val="NormalWeb"/>
        <w:spacing w:before="0" w:beforeAutospacing="0" w:after="0" w:afterAutospacing="0"/>
        <w:jc w:val="both"/>
        <w:rPr>
          <w:sz w:val="20"/>
          <w:szCs w:val="20"/>
        </w:rPr>
      </w:pPr>
      <w:r>
        <w:rPr>
          <w:sz w:val="20"/>
          <w:szCs w:val="20"/>
        </w:rPr>
        <w:t> </w:t>
      </w:r>
    </w:p>
    <w:p w14:paraId="32D24CA0" w14:textId="77777777" w:rsidR="00DB0A0E" w:rsidRDefault="00C87F2E">
      <w:pPr>
        <w:pStyle w:val="NormalWeb"/>
        <w:spacing w:before="0" w:beforeAutospacing="0" w:after="0" w:afterAutospacing="0"/>
        <w:jc w:val="both"/>
        <w:rPr>
          <w:sz w:val="20"/>
          <w:szCs w:val="20"/>
        </w:rPr>
      </w:pPr>
      <w:r>
        <w:rPr>
          <w:i/>
          <w:iCs/>
          <w:sz w:val="20"/>
          <w:szCs w:val="20"/>
        </w:rPr>
        <w:t>Stock-based compensation</w:t>
      </w:r>
    </w:p>
    <w:p w14:paraId="48D26BD8" w14:textId="77777777" w:rsidR="00DB0A0E" w:rsidRDefault="00C87F2E">
      <w:pPr>
        <w:pStyle w:val="NormalWeb"/>
        <w:spacing w:before="0" w:beforeAutospacing="0" w:after="0" w:afterAutospacing="0"/>
        <w:jc w:val="both"/>
        <w:rPr>
          <w:sz w:val="20"/>
          <w:szCs w:val="20"/>
        </w:rPr>
      </w:pPr>
      <w:r>
        <w:rPr>
          <w:sz w:val="20"/>
          <w:szCs w:val="20"/>
        </w:rPr>
        <w:t> </w:t>
      </w:r>
    </w:p>
    <w:p w14:paraId="4B800F84" w14:textId="77777777" w:rsidR="00DB0A0E" w:rsidRDefault="00C87F2E">
      <w:pPr>
        <w:pStyle w:val="NormalWeb"/>
        <w:spacing w:before="0" w:beforeAutospacing="0" w:after="0" w:afterAutospacing="0"/>
        <w:jc w:val="both"/>
        <w:rPr>
          <w:sz w:val="20"/>
          <w:szCs w:val="20"/>
        </w:rPr>
      </w:pPr>
      <w:r>
        <w:rPr>
          <w:sz w:val="20"/>
          <w:szCs w:val="20"/>
        </w:rPr>
        <w:t xml:space="preserve">The Company accounts for share-based compensation under the provisions of ASC 718 “Compensation – Stock Compensation”. ASC 718 requires that all stock-based compensation be recognized as an expense in the </w:t>
      </w:r>
      <w:r>
        <w:rPr>
          <w:sz w:val="20"/>
          <w:szCs w:val="20"/>
        </w:rPr>
        <w:t>financial statements and that such cost be measured at the fair value of the award. We use the Black-Scholes option-pricing model to estimate the fair value of the options on the date of each grant. The Black-Scholes option-pricing model utilizes highly su</w:t>
      </w:r>
      <w:r>
        <w:rPr>
          <w:sz w:val="20"/>
          <w:szCs w:val="20"/>
        </w:rPr>
        <w:t xml:space="preserve">bjective and complex assumptions to </w:t>
      </w:r>
      <w:r>
        <w:rPr>
          <w:sz w:val="20"/>
          <w:szCs w:val="20"/>
        </w:rPr>
        <w:lastRenderedPageBreak/>
        <w:t>determine the fair value of stock-based compensation, including the option’s expected term and price volatility of the underlying stock.</w:t>
      </w:r>
    </w:p>
    <w:p w14:paraId="0AE010D3" w14:textId="77777777" w:rsidR="00DB0A0E" w:rsidRDefault="00DB0A0E">
      <w:pPr>
        <w:pStyle w:val="NormalWeb"/>
        <w:spacing w:before="0" w:beforeAutospacing="0" w:after="0" w:afterAutospacing="0"/>
        <w:jc w:val="both"/>
        <w:rPr>
          <w:sz w:val="20"/>
          <w:szCs w:val="20"/>
        </w:rPr>
      </w:pPr>
    </w:p>
    <w:p w14:paraId="50F22846" w14:textId="77777777" w:rsidR="00DB0A0E" w:rsidRDefault="00C87F2E">
      <w:pPr>
        <w:pStyle w:val="NormalWeb"/>
        <w:spacing w:before="0" w:beforeAutospacing="0" w:after="0" w:afterAutospacing="0"/>
        <w:jc w:val="both"/>
        <w:rPr>
          <w:sz w:val="20"/>
          <w:szCs w:val="20"/>
        </w:rPr>
      </w:pPr>
      <w:r>
        <w:rPr>
          <w:sz w:val="20"/>
          <w:szCs w:val="20"/>
        </w:rPr>
        <w:t>Recent accounting pronouncements</w:t>
      </w:r>
    </w:p>
    <w:p w14:paraId="74FFD30D" w14:textId="77777777" w:rsidR="00DB0A0E" w:rsidRDefault="00C87F2E">
      <w:pPr>
        <w:pStyle w:val="NormalWeb"/>
        <w:spacing w:before="0" w:beforeAutospacing="0" w:after="0" w:afterAutospacing="0"/>
        <w:jc w:val="both"/>
        <w:rPr>
          <w:sz w:val="20"/>
          <w:szCs w:val="20"/>
        </w:rPr>
      </w:pPr>
      <w:r>
        <w:rPr>
          <w:sz w:val="20"/>
          <w:szCs w:val="20"/>
        </w:rPr>
        <w:t> </w:t>
      </w:r>
    </w:p>
    <w:p w14:paraId="1550A0D2" w14:textId="77777777" w:rsidR="00DB0A0E" w:rsidRDefault="00C87F2E">
      <w:pPr>
        <w:pStyle w:val="NormalWeb"/>
        <w:spacing w:before="0" w:beforeAutospacing="0" w:after="0" w:afterAutospacing="0"/>
        <w:jc w:val="both"/>
        <w:rPr>
          <w:sz w:val="20"/>
          <w:szCs w:val="20"/>
        </w:rPr>
      </w:pPr>
      <w:r>
        <w:rPr>
          <w:sz w:val="20"/>
          <w:szCs w:val="20"/>
        </w:rPr>
        <w:t xml:space="preserve">In February 2016, the FASB issued ASU 2016-02, </w:t>
      </w:r>
      <w:r>
        <w:rPr>
          <w:sz w:val="20"/>
          <w:szCs w:val="20"/>
        </w:rPr>
        <w:t>“Leases (Topic 842).” This accounting standard seeks to increase transparency and comparability among organizations by recognizing lease assets and lease liabilities on the balance sheet and disclosing key information about leasing arrangements. Current U.</w:t>
      </w:r>
      <w:r>
        <w:rPr>
          <w:sz w:val="20"/>
          <w:szCs w:val="20"/>
        </w:rPr>
        <w:t xml:space="preserve">S. GAAP does not require lessees to recognize assets and liabilities arising from operating leases on the balance sheet. This standard also provides guidance from the lessees’ perspective on how to determine if a lease is an operating lease or a financing </w:t>
      </w:r>
      <w:r>
        <w:rPr>
          <w:sz w:val="20"/>
          <w:szCs w:val="20"/>
        </w:rPr>
        <w:t>lease and the differences in accounting for each. In January 2018, the FASB issued ASU 2018-01, which allows for an entity to elect an optional transition practical expedient for land easements that exist or expired before the adoption of Topic 842. The Co</w:t>
      </w:r>
      <w:r>
        <w:rPr>
          <w:sz w:val="20"/>
          <w:szCs w:val="20"/>
        </w:rPr>
        <w:t>mpany adopted this standard on January 1, 2019 using the modified retroactive approach and electing the available package of practical expedients. Upon adoption, the Company recognized a right-of-use asset of $</w:t>
      </w:r>
      <w:r>
        <w:rPr>
          <w:rFonts w:eastAsia="Times New Roman"/>
          <w:sz w:val="20"/>
          <w:szCs w:val="20"/>
        </w:rPr>
        <w:t>60,390 and related lease liability of $59,076.</w:t>
      </w:r>
      <w:r>
        <w:rPr>
          <w:rFonts w:eastAsia="Times New Roman"/>
          <w:sz w:val="20"/>
          <w:szCs w:val="20"/>
        </w:rPr>
        <w:t xml:space="preserve"> </w:t>
      </w:r>
    </w:p>
    <w:p w14:paraId="51365EF2" w14:textId="77777777" w:rsidR="00DB0A0E" w:rsidRDefault="00C87F2E">
      <w:pPr>
        <w:pStyle w:val="NormalWeb"/>
        <w:spacing w:before="0" w:beforeAutospacing="0" w:after="0" w:afterAutospacing="0"/>
        <w:jc w:val="both"/>
        <w:rPr>
          <w:sz w:val="20"/>
          <w:szCs w:val="20"/>
        </w:rPr>
      </w:pPr>
      <w:r>
        <w:rPr>
          <w:sz w:val="20"/>
          <w:szCs w:val="20"/>
        </w:rPr>
        <w:t> </w:t>
      </w:r>
    </w:p>
    <w:p w14:paraId="2DE54EC5" w14:textId="77777777" w:rsidR="00DB0A0E" w:rsidRDefault="00C87F2E">
      <w:pPr>
        <w:pStyle w:val="NormalWeb"/>
        <w:spacing w:before="0" w:beforeAutospacing="0" w:after="0" w:afterAutospacing="0"/>
        <w:jc w:val="both"/>
        <w:rPr>
          <w:sz w:val="20"/>
          <w:szCs w:val="20"/>
        </w:rPr>
      </w:pPr>
      <w:r>
        <w:rPr>
          <w:sz w:val="20"/>
          <w:szCs w:val="20"/>
        </w:rPr>
        <w:t xml:space="preserve">Other recent accounting pronouncements issued by the FASB, including its Emerging Issues Task Force, the American Institute of Certified Public Accountants, and the Securities and Exchange Commission did not or are not believed by management to have a </w:t>
      </w:r>
      <w:r>
        <w:rPr>
          <w:sz w:val="20"/>
          <w:szCs w:val="20"/>
        </w:rPr>
        <w:t>material impact on the Company’s present or future consolidated financial statements.</w:t>
      </w:r>
    </w:p>
    <w:p w14:paraId="510BA1C6" w14:textId="77777777" w:rsidR="00DB0A0E" w:rsidRDefault="00DB0A0E">
      <w:pPr>
        <w:pStyle w:val="NormalWeb"/>
        <w:spacing w:before="0" w:beforeAutospacing="0" w:after="0" w:afterAutospacing="0"/>
        <w:jc w:val="both"/>
        <w:rPr>
          <w:sz w:val="20"/>
          <w:szCs w:val="20"/>
        </w:rPr>
      </w:pPr>
    </w:p>
    <w:p w14:paraId="464A0A56" w14:textId="77777777" w:rsidR="00DB0A0E" w:rsidRDefault="00C87F2E">
      <w:pPr>
        <w:pStyle w:val="NormalWeb"/>
        <w:spacing w:before="0" w:beforeAutospacing="0" w:after="0" w:afterAutospacing="0"/>
        <w:jc w:val="both"/>
        <w:rPr>
          <w:sz w:val="20"/>
          <w:szCs w:val="20"/>
          <w:lang w:val="en-CA"/>
        </w:rPr>
      </w:pPr>
      <w:r>
        <w:rPr>
          <w:sz w:val="20"/>
          <w:szCs w:val="20"/>
        </w:rPr>
        <w:t> </w:t>
      </w:r>
      <w:r>
        <w:rPr>
          <w:sz w:val="20"/>
          <w:szCs w:val="20"/>
          <w:lang w:val="en-CA"/>
        </w:rPr>
        <w:t>Risks</w:t>
      </w:r>
    </w:p>
    <w:p w14:paraId="217B642E" w14:textId="77777777" w:rsidR="00DB0A0E" w:rsidRDefault="00DB0A0E">
      <w:pPr>
        <w:pStyle w:val="NormalWeb"/>
        <w:spacing w:before="0" w:beforeAutospacing="0" w:after="0" w:afterAutospacing="0"/>
        <w:jc w:val="both"/>
        <w:rPr>
          <w:sz w:val="20"/>
          <w:szCs w:val="20"/>
          <w:lang w:val="en-CA"/>
        </w:rPr>
      </w:pPr>
    </w:p>
    <w:p w14:paraId="15BEF182" w14:textId="77777777" w:rsidR="00DB0A0E" w:rsidRDefault="00C87F2E">
      <w:pPr>
        <w:pStyle w:val="NormalWeb"/>
        <w:spacing w:before="0" w:beforeAutospacing="0" w:after="0" w:afterAutospacing="0"/>
        <w:jc w:val="both"/>
        <w:rPr>
          <w:sz w:val="20"/>
          <w:szCs w:val="20"/>
          <w:lang w:val="en-CA"/>
        </w:rPr>
      </w:pPr>
      <w:r>
        <w:rPr>
          <w:sz w:val="20"/>
          <w:szCs w:val="20"/>
          <w:lang w:val="en-CA"/>
        </w:rPr>
        <w:t xml:space="preserve">The Company’s activities expose it to a variety of risks that arise </w:t>
      </w:r>
      <w:proofErr w:type="gramStart"/>
      <w:r>
        <w:rPr>
          <w:sz w:val="20"/>
          <w:szCs w:val="20"/>
          <w:lang w:val="en-CA"/>
        </w:rPr>
        <w:t>as a result of</w:t>
      </w:r>
      <w:proofErr w:type="gramEnd"/>
      <w:r>
        <w:rPr>
          <w:sz w:val="20"/>
          <w:szCs w:val="20"/>
          <w:lang w:val="en-CA"/>
        </w:rPr>
        <w:t xml:space="preserve"> its exploration, development, production and financing activities. These risks</w:t>
      </w:r>
      <w:r>
        <w:rPr>
          <w:sz w:val="20"/>
          <w:szCs w:val="20"/>
          <w:lang w:val="en-CA"/>
        </w:rPr>
        <w:t xml:space="preserve"> and uncertainties </w:t>
      </w:r>
      <w:proofErr w:type="spellStart"/>
      <w:r>
        <w:rPr>
          <w:sz w:val="20"/>
          <w:szCs w:val="20"/>
          <w:lang w:val="en-CA"/>
        </w:rPr>
        <w:t>include,among</w:t>
      </w:r>
      <w:proofErr w:type="spellEnd"/>
      <w:r>
        <w:rPr>
          <w:sz w:val="20"/>
          <w:szCs w:val="20"/>
          <w:lang w:val="en-CA"/>
        </w:rPr>
        <w:t xml:space="preserve"> other things, volatility in market prices for oil and natural gas, general economic conditions in Canada, Turkey and globally and other factors </w:t>
      </w:r>
      <w:proofErr w:type="spellStart"/>
      <w:r>
        <w:rPr>
          <w:sz w:val="20"/>
          <w:szCs w:val="20"/>
          <w:lang w:val="en-CA"/>
        </w:rPr>
        <w:t>describebd</w:t>
      </w:r>
      <w:proofErr w:type="spellEnd"/>
      <w:r>
        <w:rPr>
          <w:sz w:val="20"/>
          <w:szCs w:val="20"/>
          <w:lang w:val="en-CA"/>
        </w:rPr>
        <w:t xml:space="preserve"> under “Risk Factor” in Trillion’s most recently filed Annual Informa</w:t>
      </w:r>
      <w:r>
        <w:rPr>
          <w:sz w:val="20"/>
          <w:szCs w:val="20"/>
          <w:lang w:val="en-CA"/>
        </w:rPr>
        <w:t xml:space="preserve">tion Form which is available on the Company’s website at </w:t>
      </w:r>
      <w:hyperlink r:id="rId9" w:history="1">
        <w:r>
          <w:rPr>
            <w:rStyle w:val="Hyperlink"/>
            <w:sz w:val="20"/>
            <w:szCs w:val="20"/>
            <w:lang w:val="en-CA"/>
          </w:rPr>
          <w:t>www.trillionenergy.com</w:t>
        </w:r>
      </w:hyperlink>
      <w:r>
        <w:rPr>
          <w:sz w:val="20"/>
          <w:szCs w:val="20"/>
          <w:lang w:val="en-CA"/>
        </w:rPr>
        <w:t xml:space="preserve"> or on SEDAR at </w:t>
      </w:r>
      <w:hyperlink r:id="rId10" w:history="1">
        <w:r>
          <w:rPr>
            <w:rStyle w:val="Hyperlink"/>
            <w:sz w:val="20"/>
            <w:szCs w:val="20"/>
            <w:lang w:val="en-CA"/>
          </w:rPr>
          <w:t>www.sedar.</w:t>
        </w:r>
      </w:hyperlink>
      <w:r>
        <w:rPr>
          <w:sz w:val="20"/>
          <w:szCs w:val="20"/>
          <w:lang w:val="en-CA"/>
        </w:rPr>
        <w:t xml:space="preserve"> Readers are cautioned that this list of risk factors should not be co</w:t>
      </w:r>
      <w:r>
        <w:rPr>
          <w:sz w:val="20"/>
          <w:szCs w:val="20"/>
          <w:lang w:val="en-CA"/>
        </w:rPr>
        <w:t>nstrued as exhaustive.</w:t>
      </w:r>
    </w:p>
    <w:p w14:paraId="5943D5ED" w14:textId="77777777" w:rsidR="00DB0A0E" w:rsidRDefault="00DB0A0E">
      <w:pPr>
        <w:pStyle w:val="NormalWeb"/>
        <w:spacing w:before="0" w:beforeAutospacing="0" w:after="0" w:afterAutospacing="0"/>
        <w:jc w:val="both"/>
        <w:rPr>
          <w:sz w:val="20"/>
          <w:szCs w:val="20"/>
          <w:lang w:val="en-CA"/>
        </w:rPr>
      </w:pPr>
    </w:p>
    <w:p w14:paraId="1A72CCCD" w14:textId="77777777" w:rsidR="00DB0A0E" w:rsidRDefault="00C87F2E">
      <w:pPr>
        <w:pStyle w:val="NormalWeb"/>
        <w:spacing w:before="0" w:beforeAutospacing="0" w:after="0" w:afterAutospacing="0"/>
        <w:jc w:val="both"/>
        <w:rPr>
          <w:sz w:val="20"/>
          <w:szCs w:val="20"/>
          <w:lang w:val="en-CA"/>
        </w:rPr>
      </w:pPr>
      <w:r>
        <w:rPr>
          <w:sz w:val="20"/>
          <w:szCs w:val="20"/>
          <w:lang w:val="en-CA"/>
        </w:rPr>
        <w:t xml:space="preserve">The following provides information about the Company’s exposure to some risks associated with the oil and gas industry, as well as the Company’s objectives, </w:t>
      </w:r>
      <w:proofErr w:type="gramStart"/>
      <w:r>
        <w:rPr>
          <w:sz w:val="20"/>
          <w:szCs w:val="20"/>
          <w:lang w:val="en-CA"/>
        </w:rPr>
        <w:t>policies</w:t>
      </w:r>
      <w:proofErr w:type="gramEnd"/>
      <w:r>
        <w:rPr>
          <w:sz w:val="20"/>
          <w:szCs w:val="20"/>
          <w:lang w:val="en-CA"/>
        </w:rPr>
        <w:t xml:space="preserve"> and processes for measuring and managing risk.</w:t>
      </w:r>
    </w:p>
    <w:p w14:paraId="412796EF" w14:textId="77777777" w:rsidR="00DB0A0E" w:rsidRDefault="00DB0A0E">
      <w:pPr>
        <w:pStyle w:val="NormalWeb"/>
        <w:spacing w:before="0" w:beforeAutospacing="0" w:after="0" w:afterAutospacing="0"/>
        <w:jc w:val="both"/>
        <w:rPr>
          <w:sz w:val="20"/>
          <w:szCs w:val="20"/>
          <w:lang w:val="en-CA"/>
        </w:rPr>
      </w:pPr>
    </w:p>
    <w:p w14:paraId="26D62D16" w14:textId="77777777" w:rsidR="00DB0A0E" w:rsidRDefault="00C87F2E">
      <w:pPr>
        <w:pStyle w:val="NormalWeb"/>
        <w:spacing w:before="0" w:beforeAutospacing="0" w:after="0" w:afterAutospacing="0"/>
        <w:jc w:val="both"/>
        <w:rPr>
          <w:sz w:val="20"/>
          <w:szCs w:val="20"/>
          <w:lang w:val="en-CA"/>
        </w:rPr>
      </w:pPr>
      <w:r>
        <w:rPr>
          <w:sz w:val="20"/>
          <w:szCs w:val="20"/>
          <w:lang w:val="en-CA"/>
        </w:rPr>
        <w:t>Business Risk</w:t>
      </w:r>
    </w:p>
    <w:p w14:paraId="018C6BCE" w14:textId="77777777" w:rsidR="00DB0A0E" w:rsidRDefault="00DB0A0E">
      <w:pPr>
        <w:pStyle w:val="NormalWeb"/>
        <w:spacing w:before="0" w:beforeAutospacing="0" w:after="0" w:afterAutospacing="0"/>
        <w:jc w:val="both"/>
        <w:rPr>
          <w:sz w:val="20"/>
          <w:szCs w:val="20"/>
          <w:lang w:val="en-CA"/>
        </w:rPr>
      </w:pPr>
    </w:p>
    <w:p w14:paraId="031063E7" w14:textId="77777777" w:rsidR="00DB0A0E" w:rsidRDefault="00C87F2E">
      <w:pPr>
        <w:pStyle w:val="NormalWeb"/>
        <w:spacing w:before="0" w:beforeAutospacing="0" w:after="0" w:afterAutospacing="0"/>
        <w:jc w:val="both"/>
        <w:rPr>
          <w:sz w:val="20"/>
          <w:szCs w:val="20"/>
          <w:lang w:val="en-CA"/>
        </w:rPr>
      </w:pPr>
      <w:r>
        <w:rPr>
          <w:sz w:val="20"/>
          <w:szCs w:val="20"/>
          <w:lang w:val="en-CA"/>
        </w:rPr>
        <w:t>Oil</w:t>
      </w:r>
      <w:r>
        <w:rPr>
          <w:sz w:val="20"/>
          <w:szCs w:val="20"/>
          <w:lang w:val="en-CA"/>
        </w:rPr>
        <w:t xml:space="preserve"> and gas exploration and development involves a high degree of risk whereby many properties are ultimately not developed to a producing stage. There can be no assurance that the Company’s future exploration and development activities will result in discove</w:t>
      </w:r>
      <w:r>
        <w:rPr>
          <w:sz w:val="20"/>
          <w:szCs w:val="20"/>
          <w:lang w:val="en-CA"/>
        </w:rPr>
        <w:t>ries of commercial bodies of oil and gas. Whether an oil and gas property will be commercially viable depends on a number of factors including the particular attributes of the reserve and it proximity to infrastructure, as well as commodity prices and gove</w:t>
      </w:r>
      <w:r>
        <w:rPr>
          <w:sz w:val="20"/>
          <w:szCs w:val="20"/>
          <w:lang w:val="en-CA"/>
        </w:rPr>
        <w:t>rnment regulations, including regulations relating to prices, taxes, royalties, land tenure, land use, and environmental protection. The exact effect of these factors cannot be accurately predicted, and the combination of these factors may result in an oil</w:t>
      </w:r>
      <w:r>
        <w:rPr>
          <w:sz w:val="20"/>
          <w:szCs w:val="20"/>
          <w:lang w:val="en-CA"/>
        </w:rPr>
        <w:t xml:space="preserve"> and gas property not being profitable.</w:t>
      </w:r>
    </w:p>
    <w:p w14:paraId="26D552E3" w14:textId="77777777" w:rsidR="00DB0A0E" w:rsidRDefault="00DB0A0E">
      <w:pPr>
        <w:pStyle w:val="NormalWeb"/>
        <w:spacing w:before="0" w:beforeAutospacing="0" w:after="0" w:afterAutospacing="0"/>
        <w:jc w:val="both"/>
        <w:rPr>
          <w:sz w:val="20"/>
          <w:szCs w:val="20"/>
          <w:lang w:val="en-CA"/>
        </w:rPr>
      </w:pPr>
    </w:p>
    <w:p w14:paraId="60D995C1" w14:textId="77777777" w:rsidR="00DB0A0E" w:rsidRDefault="00C87F2E">
      <w:pPr>
        <w:pStyle w:val="NormalWeb"/>
        <w:spacing w:before="0" w:beforeAutospacing="0" w:after="0" w:afterAutospacing="0"/>
        <w:jc w:val="both"/>
        <w:rPr>
          <w:sz w:val="20"/>
          <w:szCs w:val="20"/>
        </w:rPr>
      </w:pPr>
      <w:r>
        <w:rPr>
          <w:b/>
          <w:bCs/>
          <w:i/>
          <w:iCs/>
          <w:sz w:val="20"/>
          <w:szCs w:val="20"/>
        </w:rPr>
        <w:t>We have a history of losses and may not achieve consistent profitability in the future.</w:t>
      </w:r>
    </w:p>
    <w:p w14:paraId="16530304" w14:textId="77777777" w:rsidR="00DB0A0E" w:rsidRDefault="00C87F2E">
      <w:pPr>
        <w:pStyle w:val="NormalWeb"/>
        <w:spacing w:before="0" w:beforeAutospacing="0" w:after="0" w:afterAutospacing="0"/>
        <w:jc w:val="both"/>
        <w:rPr>
          <w:sz w:val="20"/>
          <w:szCs w:val="20"/>
        </w:rPr>
      </w:pPr>
      <w:r>
        <w:rPr>
          <w:sz w:val="20"/>
          <w:szCs w:val="20"/>
        </w:rPr>
        <w:t> </w:t>
      </w:r>
    </w:p>
    <w:p w14:paraId="09A76FD9" w14:textId="77777777" w:rsidR="00DB0A0E" w:rsidRDefault="00C87F2E">
      <w:pPr>
        <w:pStyle w:val="NormalWeb"/>
        <w:spacing w:before="0" w:beforeAutospacing="0" w:after="0" w:afterAutospacing="0"/>
        <w:jc w:val="both"/>
        <w:rPr>
          <w:sz w:val="20"/>
          <w:szCs w:val="20"/>
        </w:rPr>
      </w:pPr>
      <w:r>
        <w:rPr>
          <w:sz w:val="20"/>
          <w:szCs w:val="20"/>
        </w:rPr>
        <w:t xml:space="preserve">We have incurred losses in prior years. We will need to generate and sustain increased revenue levels in future periods </w:t>
      </w:r>
      <w:proofErr w:type="gramStart"/>
      <w:r>
        <w:rPr>
          <w:sz w:val="20"/>
          <w:szCs w:val="20"/>
        </w:rPr>
        <w:t>in or</w:t>
      </w:r>
      <w:r>
        <w:rPr>
          <w:sz w:val="20"/>
          <w:szCs w:val="20"/>
        </w:rPr>
        <w:t>der to</w:t>
      </w:r>
      <w:proofErr w:type="gramEnd"/>
      <w:r>
        <w:rPr>
          <w:sz w:val="20"/>
          <w:szCs w:val="20"/>
        </w:rPr>
        <w:t xml:space="preserve"> become consistently profitable, and even if we do, we may not be able to maintain or increase our level of profitability. We may incur losses in the future for </w:t>
      </w:r>
      <w:proofErr w:type="gramStart"/>
      <w:r>
        <w:rPr>
          <w:sz w:val="20"/>
          <w:szCs w:val="20"/>
        </w:rPr>
        <w:t>a number of</w:t>
      </w:r>
      <w:proofErr w:type="gramEnd"/>
      <w:r>
        <w:rPr>
          <w:sz w:val="20"/>
          <w:szCs w:val="20"/>
        </w:rPr>
        <w:t xml:space="preserve"> reasons, including risks described herein, unforeseen expenses, difficulties,</w:t>
      </w:r>
      <w:r>
        <w:rPr>
          <w:sz w:val="20"/>
          <w:szCs w:val="20"/>
        </w:rPr>
        <w:t xml:space="preserve"> complications and delays, and other unknown risks.</w:t>
      </w:r>
    </w:p>
    <w:p w14:paraId="777A7E91" w14:textId="77777777" w:rsidR="00DB0A0E" w:rsidRDefault="00DB0A0E">
      <w:pPr>
        <w:pStyle w:val="NormalWeb"/>
        <w:spacing w:before="0" w:beforeAutospacing="0" w:after="0" w:afterAutospacing="0"/>
        <w:jc w:val="both"/>
        <w:rPr>
          <w:sz w:val="20"/>
          <w:szCs w:val="20"/>
          <w:lang w:val="en-CA"/>
        </w:rPr>
      </w:pPr>
    </w:p>
    <w:p w14:paraId="31567D5C" w14:textId="77777777" w:rsidR="00DB0A0E" w:rsidRDefault="00C87F2E">
      <w:pPr>
        <w:pStyle w:val="NormalWeb"/>
        <w:spacing w:before="0" w:beforeAutospacing="0" w:after="0" w:afterAutospacing="0"/>
        <w:jc w:val="both"/>
        <w:rPr>
          <w:sz w:val="20"/>
          <w:szCs w:val="20"/>
        </w:rPr>
      </w:pPr>
      <w:r>
        <w:rPr>
          <w:sz w:val="20"/>
          <w:szCs w:val="20"/>
        </w:rPr>
        <w:lastRenderedPageBreak/>
        <w:t>Any international operations performed may expose us to greater risks than those associated with more developed markets. Due to our foreign operations, we are subject to the following issues and uncertai</w:t>
      </w:r>
      <w:r>
        <w:rPr>
          <w:sz w:val="20"/>
          <w:szCs w:val="20"/>
        </w:rPr>
        <w:t>nties that can adversely affect our operations in Bulgaria or other countries in which we may operate properties in the future:</w:t>
      </w:r>
    </w:p>
    <w:tbl>
      <w:tblPr>
        <w:tblpPr w:leftFromText="180" w:rightFromText="180" w:vertAnchor="text" w:horzAnchor="page" w:tblpX="1411" w:tblpY="207"/>
        <w:tblOverlap w:val="never"/>
        <w:tblW w:w="9165" w:type="dxa"/>
        <w:tblLayout w:type="fixed"/>
        <w:tblCellMar>
          <w:left w:w="0" w:type="dxa"/>
          <w:right w:w="0" w:type="dxa"/>
        </w:tblCellMar>
        <w:tblLook w:val="04A0" w:firstRow="1" w:lastRow="0" w:firstColumn="1" w:lastColumn="0" w:noHBand="0" w:noVBand="1"/>
      </w:tblPr>
      <w:tblGrid>
        <w:gridCol w:w="360"/>
        <w:gridCol w:w="360"/>
        <w:gridCol w:w="8445"/>
      </w:tblGrid>
      <w:tr w:rsidR="00DB0A0E" w14:paraId="22E6830C" w14:textId="77777777">
        <w:tc>
          <w:tcPr>
            <w:tcW w:w="360" w:type="dxa"/>
          </w:tcPr>
          <w:p w14:paraId="5E13EF7D" w14:textId="77777777" w:rsidR="00DB0A0E" w:rsidRDefault="00C87F2E">
            <w:pPr>
              <w:jc w:val="both"/>
              <w:rPr>
                <w:rFonts w:eastAsia="Times New Roman"/>
                <w:sz w:val="20"/>
                <w:szCs w:val="20"/>
              </w:rPr>
            </w:pPr>
            <w:r>
              <w:rPr>
                <w:rFonts w:eastAsia="Times New Roman"/>
                <w:sz w:val="20"/>
                <w:szCs w:val="20"/>
              </w:rPr>
              <w:t> </w:t>
            </w:r>
          </w:p>
        </w:tc>
        <w:tc>
          <w:tcPr>
            <w:tcW w:w="360" w:type="dxa"/>
          </w:tcPr>
          <w:p w14:paraId="3DD769AC" w14:textId="77777777" w:rsidR="00DB0A0E" w:rsidRDefault="00C87F2E">
            <w:pPr>
              <w:rPr>
                <w:rFonts w:eastAsia="Times New Roman"/>
                <w:sz w:val="20"/>
                <w:szCs w:val="20"/>
              </w:rPr>
            </w:pPr>
            <w:r>
              <w:rPr>
                <w:rFonts w:eastAsia="Times New Roman"/>
                <w:sz w:val="20"/>
                <w:szCs w:val="20"/>
              </w:rPr>
              <w:t>●</w:t>
            </w:r>
          </w:p>
        </w:tc>
        <w:tc>
          <w:tcPr>
            <w:tcW w:w="8445" w:type="dxa"/>
          </w:tcPr>
          <w:p w14:paraId="0BFDCE78" w14:textId="77777777" w:rsidR="00DB0A0E" w:rsidRDefault="00C87F2E">
            <w:pPr>
              <w:jc w:val="both"/>
              <w:rPr>
                <w:rFonts w:eastAsia="Times New Roman"/>
                <w:sz w:val="20"/>
                <w:szCs w:val="20"/>
              </w:rPr>
            </w:pPr>
            <w:r>
              <w:rPr>
                <w:rFonts w:eastAsia="Times New Roman"/>
                <w:sz w:val="20"/>
                <w:szCs w:val="20"/>
              </w:rPr>
              <w:t xml:space="preserve">the risk of, and disruptions due to, expropriation, nationalization, war, revolution, election outcomes, economic </w:t>
            </w:r>
            <w:r>
              <w:rPr>
                <w:rFonts w:eastAsia="Times New Roman"/>
                <w:sz w:val="20"/>
                <w:szCs w:val="20"/>
              </w:rPr>
              <w:t>instability, political instability, or border disputes;</w:t>
            </w:r>
          </w:p>
        </w:tc>
      </w:tr>
      <w:tr w:rsidR="00DB0A0E" w14:paraId="065A87E5" w14:textId="77777777">
        <w:tc>
          <w:tcPr>
            <w:tcW w:w="360" w:type="dxa"/>
          </w:tcPr>
          <w:p w14:paraId="003E38B5" w14:textId="77777777" w:rsidR="00DB0A0E" w:rsidRDefault="00C87F2E">
            <w:pPr>
              <w:jc w:val="both"/>
              <w:rPr>
                <w:rFonts w:eastAsia="Times New Roman"/>
                <w:sz w:val="20"/>
                <w:szCs w:val="20"/>
              </w:rPr>
            </w:pPr>
            <w:r>
              <w:rPr>
                <w:rFonts w:eastAsia="Times New Roman"/>
                <w:sz w:val="20"/>
                <w:szCs w:val="20"/>
              </w:rPr>
              <w:t> </w:t>
            </w:r>
          </w:p>
        </w:tc>
        <w:tc>
          <w:tcPr>
            <w:tcW w:w="360" w:type="dxa"/>
          </w:tcPr>
          <w:p w14:paraId="6E1226F5" w14:textId="77777777" w:rsidR="00DB0A0E" w:rsidRDefault="00C87F2E">
            <w:pPr>
              <w:rPr>
                <w:rFonts w:eastAsia="Times New Roman"/>
                <w:sz w:val="20"/>
                <w:szCs w:val="20"/>
              </w:rPr>
            </w:pPr>
            <w:r>
              <w:rPr>
                <w:rFonts w:eastAsia="Times New Roman"/>
                <w:sz w:val="20"/>
                <w:szCs w:val="20"/>
              </w:rPr>
              <w:t> </w:t>
            </w:r>
          </w:p>
        </w:tc>
        <w:tc>
          <w:tcPr>
            <w:tcW w:w="8445" w:type="dxa"/>
          </w:tcPr>
          <w:p w14:paraId="496D6F7A" w14:textId="77777777" w:rsidR="00DB0A0E" w:rsidRDefault="00C87F2E">
            <w:pPr>
              <w:jc w:val="both"/>
              <w:rPr>
                <w:rFonts w:eastAsia="Times New Roman"/>
                <w:sz w:val="20"/>
                <w:szCs w:val="20"/>
              </w:rPr>
            </w:pPr>
            <w:r>
              <w:rPr>
                <w:rFonts w:eastAsia="Times New Roman"/>
                <w:sz w:val="20"/>
                <w:szCs w:val="20"/>
              </w:rPr>
              <w:t> </w:t>
            </w:r>
          </w:p>
        </w:tc>
      </w:tr>
      <w:tr w:rsidR="00DB0A0E" w14:paraId="4003C66C" w14:textId="77777777">
        <w:tc>
          <w:tcPr>
            <w:tcW w:w="360" w:type="dxa"/>
          </w:tcPr>
          <w:p w14:paraId="5A1C173C" w14:textId="77777777" w:rsidR="00DB0A0E" w:rsidRDefault="00C87F2E">
            <w:pPr>
              <w:jc w:val="both"/>
              <w:rPr>
                <w:rFonts w:eastAsia="Times New Roman"/>
                <w:sz w:val="20"/>
                <w:szCs w:val="20"/>
              </w:rPr>
            </w:pPr>
            <w:r>
              <w:rPr>
                <w:rFonts w:eastAsia="Times New Roman"/>
                <w:sz w:val="20"/>
                <w:szCs w:val="20"/>
              </w:rPr>
              <w:t> </w:t>
            </w:r>
          </w:p>
        </w:tc>
        <w:tc>
          <w:tcPr>
            <w:tcW w:w="360" w:type="dxa"/>
          </w:tcPr>
          <w:p w14:paraId="02B437BC" w14:textId="77777777" w:rsidR="00DB0A0E" w:rsidRDefault="00C87F2E">
            <w:pPr>
              <w:rPr>
                <w:rFonts w:eastAsia="Times New Roman"/>
                <w:sz w:val="20"/>
                <w:szCs w:val="20"/>
              </w:rPr>
            </w:pPr>
            <w:r>
              <w:rPr>
                <w:rFonts w:eastAsia="Times New Roman"/>
                <w:sz w:val="20"/>
                <w:szCs w:val="20"/>
              </w:rPr>
              <w:t>●</w:t>
            </w:r>
          </w:p>
        </w:tc>
        <w:tc>
          <w:tcPr>
            <w:tcW w:w="8445" w:type="dxa"/>
          </w:tcPr>
          <w:p w14:paraId="56CAE017" w14:textId="77777777" w:rsidR="00DB0A0E" w:rsidRDefault="00C87F2E">
            <w:pPr>
              <w:jc w:val="both"/>
              <w:rPr>
                <w:rFonts w:eastAsia="Times New Roman"/>
                <w:sz w:val="20"/>
                <w:szCs w:val="20"/>
              </w:rPr>
            </w:pPr>
            <w:r>
              <w:rPr>
                <w:rFonts w:eastAsia="Times New Roman"/>
                <w:sz w:val="20"/>
                <w:szCs w:val="20"/>
              </w:rPr>
              <w:t>the uncertainty of local contractual terms, renegotiation or modification of existing contracts and enforcement of contractual terms in disputes before local courts;</w:t>
            </w:r>
          </w:p>
        </w:tc>
      </w:tr>
      <w:tr w:rsidR="00DB0A0E" w14:paraId="314C62A9" w14:textId="77777777">
        <w:tc>
          <w:tcPr>
            <w:tcW w:w="360" w:type="dxa"/>
          </w:tcPr>
          <w:p w14:paraId="6BDFF593" w14:textId="77777777" w:rsidR="00DB0A0E" w:rsidRDefault="00C87F2E">
            <w:pPr>
              <w:jc w:val="both"/>
              <w:rPr>
                <w:rFonts w:eastAsia="Times New Roman"/>
                <w:sz w:val="20"/>
                <w:szCs w:val="20"/>
              </w:rPr>
            </w:pPr>
            <w:r>
              <w:rPr>
                <w:rFonts w:eastAsia="Times New Roman"/>
                <w:sz w:val="20"/>
                <w:szCs w:val="20"/>
              </w:rPr>
              <w:t> </w:t>
            </w:r>
          </w:p>
        </w:tc>
        <w:tc>
          <w:tcPr>
            <w:tcW w:w="360" w:type="dxa"/>
          </w:tcPr>
          <w:p w14:paraId="09DCE82A" w14:textId="77777777" w:rsidR="00DB0A0E" w:rsidRDefault="00C87F2E">
            <w:pPr>
              <w:rPr>
                <w:rFonts w:eastAsia="Times New Roman"/>
                <w:sz w:val="20"/>
                <w:szCs w:val="20"/>
              </w:rPr>
            </w:pPr>
            <w:r>
              <w:rPr>
                <w:rFonts w:eastAsia="Times New Roman"/>
                <w:sz w:val="20"/>
                <w:szCs w:val="20"/>
              </w:rPr>
              <w:t> </w:t>
            </w:r>
          </w:p>
        </w:tc>
        <w:tc>
          <w:tcPr>
            <w:tcW w:w="8445" w:type="dxa"/>
          </w:tcPr>
          <w:p w14:paraId="7AC34C20" w14:textId="77777777" w:rsidR="00DB0A0E" w:rsidRDefault="00C87F2E">
            <w:pPr>
              <w:jc w:val="both"/>
              <w:rPr>
                <w:rFonts w:eastAsia="Times New Roman"/>
                <w:sz w:val="20"/>
                <w:szCs w:val="20"/>
              </w:rPr>
            </w:pPr>
            <w:r>
              <w:rPr>
                <w:rFonts w:eastAsia="Times New Roman"/>
                <w:sz w:val="20"/>
                <w:szCs w:val="20"/>
              </w:rPr>
              <w:t> </w:t>
            </w:r>
          </w:p>
        </w:tc>
      </w:tr>
      <w:tr w:rsidR="00DB0A0E" w14:paraId="1F39F2B9" w14:textId="77777777">
        <w:tc>
          <w:tcPr>
            <w:tcW w:w="360" w:type="dxa"/>
          </w:tcPr>
          <w:p w14:paraId="5A71AAC2" w14:textId="77777777" w:rsidR="00DB0A0E" w:rsidRDefault="00C87F2E">
            <w:pPr>
              <w:jc w:val="both"/>
              <w:rPr>
                <w:rFonts w:eastAsia="Times New Roman"/>
                <w:sz w:val="20"/>
                <w:szCs w:val="20"/>
              </w:rPr>
            </w:pPr>
            <w:r>
              <w:rPr>
                <w:rFonts w:eastAsia="Times New Roman"/>
                <w:sz w:val="20"/>
                <w:szCs w:val="20"/>
              </w:rPr>
              <w:t> </w:t>
            </w:r>
          </w:p>
        </w:tc>
        <w:tc>
          <w:tcPr>
            <w:tcW w:w="360" w:type="dxa"/>
          </w:tcPr>
          <w:p w14:paraId="55B0CB9D" w14:textId="77777777" w:rsidR="00DB0A0E" w:rsidRDefault="00C87F2E">
            <w:pPr>
              <w:rPr>
                <w:rFonts w:eastAsia="Times New Roman"/>
                <w:sz w:val="20"/>
                <w:szCs w:val="20"/>
              </w:rPr>
            </w:pPr>
            <w:r>
              <w:rPr>
                <w:rFonts w:eastAsia="Times New Roman"/>
                <w:sz w:val="20"/>
                <w:szCs w:val="20"/>
              </w:rPr>
              <w:t>●</w:t>
            </w:r>
          </w:p>
        </w:tc>
        <w:tc>
          <w:tcPr>
            <w:tcW w:w="8445" w:type="dxa"/>
          </w:tcPr>
          <w:p w14:paraId="7A801887" w14:textId="77777777" w:rsidR="00DB0A0E" w:rsidRDefault="00C87F2E">
            <w:pPr>
              <w:jc w:val="both"/>
              <w:rPr>
                <w:rFonts w:eastAsia="Times New Roman"/>
                <w:sz w:val="20"/>
                <w:szCs w:val="20"/>
              </w:rPr>
            </w:pPr>
            <w:r>
              <w:rPr>
                <w:rFonts w:eastAsia="Times New Roman"/>
                <w:sz w:val="20"/>
                <w:szCs w:val="20"/>
              </w:rPr>
              <w:t xml:space="preserve">the </w:t>
            </w:r>
            <w:r>
              <w:rPr>
                <w:rFonts w:eastAsia="Times New Roman"/>
                <w:sz w:val="20"/>
                <w:szCs w:val="20"/>
              </w:rPr>
              <w:t>risk of import, export and transportation regulations and tariffs, including boycotts and embargoes;</w:t>
            </w:r>
          </w:p>
        </w:tc>
      </w:tr>
      <w:tr w:rsidR="00DB0A0E" w14:paraId="307C5A8D" w14:textId="77777777">
        <w:tc>
          <w:tcPr>
            <w:tcW w:w="360" w:type="dxa"/>
          </w:tcPr>
          <w:p w14:paraId="0D216A78" w14:textId="77777777" w:rsidR="00DB0A0E" w:rsidRDefault="00C87F2E">
            <w:pPr>
              <w:jc w:val="both"/>
              <w:rPr>
                <w:rFonts w:eastAsia="Times New Roman"/>
                <w:sz w:val="20"/>
                <w:szCs w:val="20"/>
              </w:rPr>
            </w:pPr>
            <w:r>
              <w:rPr>
                <w:rFonts w:eastAsia="Times New Roman"/>
                <w:sz w:val="20"/>
                <w:szCs w:val="20"/>
              </w:rPr>
              <w:t> </w:t>
            </w:r>
          </w:p>
        </w:tc>
        <w:tc>
          <w:tcPr>
            <w:tcW w:w="360" w:type="dxa"/>
          </w:tcPr>
          <w:p w14:paraId="55FE271A" w14:textId="77777777" w:rsidR="00DB0A0E" w:rsidRDefault="00C87F2E">
            <w:pPr>
              <w:rPr>
                <w:rFonts w:eastAsia="Times New Roman"/>
                <w:sz w:val="20"/>
                <w:szCs w:val="20"/>
              </w:rPr>
            </w:pPr>
            <w:r>
              <w:rPr>
                <w:rFonts w:eastAsia="Times New Roman"/>
                <w:sz w:val="20"/>
                <w:szCs w:val="20"/>
              </w:rPr>
              <w:t> </w:t>
            </w:r>
          </w:p>
        </w:tc>
        <w:tc>
          <w:tcPr>
            <w:tcW w:w="8445" w:type="dxa"/>
          </w:tcPr>
          <w:p w14:paraId="122F026A" w14:textId="77777777" w:rsidR="00DB0A0E" w:rsidRDefault="00C87F2E">
            <w:pPr>
              <w:jc w:val="both"/>
              <w:rPr>
                <w:rFonts w:eastAsia="Times New Roman"/>
                <w:sz w:val="20"/>
                <w:szCs w:val="20"/>
              </w:rPr>
            </w:pPr>
            <w:r>
              <w:rPr>
                <w:rFonts w:eastAsia="Times New Roman"/>
                <w:sz w:val="20"/>
                <w:szCs w:val="20"/>
              </w:rPr>
              <w:t> </w:t>
            </w:r>
          </w:p>
        </w:tc>
      </w:tr>
      <w:tr w:rsidR="00DB0A0E" w14:paraId="7E169E75" w14:textId="77777777">
        <w:tc>
          <w:tcPr>
            <w:tcW w:w="360" w:type="dxa"/>
          </w:tcPr>
          <w:p w14:paraId="2DAA95FC" w14:textId="77777777" w:rsidR="00DB0A0E" w:rsidRDefault="00C87F2E">
            <w:pPr>
              <w:jc w:val="both"/>
              <w:rPr>
                <w:rFonts w:eastAsia="Times New Roman"/>
                <w:sz w:val="20"/>
                <w:szCs w:val="20"/>
              </w:rPr>
            </w:pPr>
            <w:r>
              <w:rPr>
                <w:rFonts w:eastAsia="Times New Roman"/>
                <w:sz w:val="20"/>
                <w:szCs w:val="20"/>
              </w:rPr>
              <w:t> </w:t>
            </w:r>
          </w:p>
        </w:tc>
        <w:tc>
          <w:tcPr>
            <w:tcW w:w="360" w:type="dxa"/>
          </w:tcPr>
          <w:p w14:paraId="0448B852" w14:textId="77777777" w:rsidR="00DB0A0E" w:rsidRDefault="00C87F2E">
            <w:pPr>
              <w:rPr>
                <w:rFonts w:eastAsia="Times New Roman"/>
                <w:sz w:val="20"/>
                <w:szCs w:val="20"/>
              </w:rPr>
            </w:pPr>
            <w:r>
              <w:rPr>
                <w:rFonts w:eastAsia="Times New Roman"/>
                <w:sz w:val="20"/>
                <w:szCs w:val="20"/>
              </w:rPr>
              <w:t>●</w:t>
            </w:r>
          </w:p>
        </w:tc>
        <w:tc>
          <w:tcPr>
            <w:tcW w:w="8445" w:type="dxa"/>
          </w:tcPr>
          <w:p w14:paraId="74D3D81C" w14:textId="77777777" w:rsidR="00DB0A0E" w:rsidRDefault="00C87F2E">
            <w:pPr>
              <w:jc w:val="both"/>
              <w:rPr>
                <w:rFonts w:eastAsia="Times New Roman"/>
                <w:sz w:val="20"/>
                <w:szCs w:val="20"/>
              </w:rPr>
            </w:pPr>
            <w:r>
              <w:rPr>
                <w:rFonts w:eastAsia="Times New Roman"/>
                <w:sz w:val="20"/>
                <w:szCs w:val="20"/>
              </w:rPr>
              <w:t>the risk of not being able to procure residency and work permits for our expatriate personnel;</w:t>
            </w:r>
          </w:p>
        </w:tc>
      </w:tr>
      <w:tr w:rsidR="00DB0A0E" w14:paraId="7BC2AD4A" w14:textId="77777777">
        <w:tc>
          <w:tcPr>
            <w:tcW w:w="360" w:type="dxa"/>
          </w:tcPr>
          <w:p w14:paraId="44C9EB1C" w14:textId="77777777" w:rsidR="00DB0A0E" w:rsidRDefault="00C87F2E">
            <w:pPr>
              <w:jc w:val="both"/>
              <w:rPr>
                <w:rFonts w:eastAsia="Times New Roman"/>
                <w:sz w:val="20"/>
                <w:szCs w:val="20"/>
              </w:rPr>
            </w:pPr>
            <w:r>
              <w:rPr>
                <w:rFonts w:eastAsia="Times New Roman"/>
                <w:sz w:val="20"/>
                <w:szCs w:val="20"/>
              </w:rPr>
              <w:t> </w:t>
            </w:r>
          </w:p>
        </w:tc>
        <w:tc>
          <w:tcPr>
            <w:tcW w:w="360" w:type="dxa"/>
          </w:tcPr>
          <w:p w14:paraId="114D6DB6" w14:textId="77777777" w:rsidR="00DB0A0E" w:rsidRDefault="00C87F2E">
            <w:pPr>
              <w:rPr>
                <w:rFonts w:eastAsia="Times New Roman"/>
                <w:sz w:val="20"/>
                <w:szCs w:val="20"/>
              </w:rPr>
            </w:pPr>
            <w:r>
              <w:rPr>
                <w:rFonts w:eastAsia="Times New Roman"/>
                <w:sz w:val="20"/>
                <w:szCs w:val="20"/>
              </w:rPr>
              <w:t> </w:t>
            </w:r>
          </w:p>
        </w:tc>
        <w:tc>
          <w:tcPr>
            <w:tcW w:w="8445" w:type="dxa"/>
          </w:tcPr>
          <w:p w14:paraId="62769F1B" w14:textId="77777777" w:rsidR="00DB0A0E" w:rsidRDefault="00C87F2E">
            <w:pPr>
              <w:jc w:val="both"/>
              <w:rPr>
                <w:rFonts w:eastAsia="Times New Roman"/>
                <w:sz w:val="20"/>
                <w:szCs w:val="20"/>
              </w:rPr>
            </w:pPr>
            <w:r>
              <w:rPr>
                <w:rFonts w:eastAsia="Times New Roman"/>
                <w:sz w:val="20"/>
                <w:szCs w:val="20"/>
              </w:rPr>
              <w:t> </w:t>
            </w:r>
          </w:p>
        </w:tc>
      </w:tr>
      <w:tr w:rsidR="00DB0A0E" w14:paraId="0ED1D10C" w14:textId="77777777">
        <w:tc>
          <w:tcPr>
            <w:tcW w:w="360" w:type="dxa"/>
          </w:tcPr>
          <w:p w14:paraId="767EF1F5" w14:textId="77777777" w:rsidR="00DB0A0E" w:rsidRDefault="00C87F2E">
            <w:pPr>
              <w:jc w:val="both"/>
              <w:rPr>
                <w:rFonts w:eastAsia="Times New Roman"/>
                <w:sz w:val="20"/>
                <w:szCs w:val="20"/>
              </w:rPr>
            </w:pPr>
            <w:r>
              <w:rPr>
                <w:rFonts w:eastAsia="Times New Roman"/>
                <w:sz w:val="20"/>
                <w:szCs w:val="20"/>
              </w:rPr>
              <w:t> </w:t>
            </w:r>
          </w:p>
        </w:tc>
        <w:tc>
          <w:tcPr>
            <w:tcW w:w="360" w:type="dxa"/>
          </w:tcPr>
          <w:p w14:paraId="7F152A6D" w14:textId="77777777" w:rsidR="00DB0A0E" w:rsidRDefault="00C87F2E">
            <w:pPr>
              <w:rPr>
                <w:rFonts w:eastAsia="Times New Roman"/>
                <w:sz w:val="20"/>
                <w:szCs w:val="20"/>
              </w:rPr>
            </w:pPr>
            <w:r>
              <w:rPr>
                <w:rFonts w:eastAsia="Times New Roman"/>
                <w:sz w:val="20"/>
                <w:szCs w:val="20"/>
              </w:rPr>
              <w:t>●</w:t>
            </w:r>
          </w:p>
        </w:tc>
        <w:tc>
          <w:tcPr>
            <w:tcW w:w="8445" w:type="dxa"/>
          </w:tcPr>
          <w:p w14:paraId="6A09A37D" w14:textId="77777777" w:rsidR="00DB0A0E" w:rsidRDefault="00C87F2E">
            <w:pPr>
              <w:jc w:val="both"/>
              <w:rPr>
                <w:rFonts w:eastAsia="Times New Roman"/>
                <w:sz w:val="20"/>
                <w:szCs w:val="20"/>
              </w:rPr>
            </w:pPr>
            <w:r>
              <w:rPr>
                <w:rFonts w:eastAsia="Times New Roman"/>
                <w:sz w:val="20"/>
                <w:szCs w:val="20"/>
              </w:rPr>
              <w:t xml:space="preserve">the requirements or </w:t>
            </w:r>
            <w:r>
              <w:rPr>
                <w:rFonts w:eastAsia="Times New Roman"/>
                <w:sz w:val="20"/>
                <w:szCs w:val="20"/>
              </w:rPr>
              <w:t>regulations imposed by local governments upon local suppliers or subcontractors, or being imposed in an unexpected and rapid manner;</w:t>
            </w:r>
          </w:p>
        </w:tc>
      </w:tr>
      <w:tr w:rsidR="00DB0A0E" w14:paraId="72FFA690" w14:textId="77777777">
        <w:tc>
          <w:tcPr>
            <w:tcW w:w="360" w:type="dxa"/>
          </w:tcPr>
          <w:p w14:paraId="224D7CA6" w14:textId="77777777" w:rsidR="00DB0A0E" w:rsidRDefault="00C87F2E">
            <w:pPr>
              <w:jc w:val="both"/>
              <w:rPr>
                <w:rFonts w:eastAsia="Times New Roman"/>
                <w:sz w:val="20"/>
                <w:szCs w:val="20"/>
              </w:rPr>
            </w:pPr>
            <w:r>
              <w:rPr>
                <w:rFonts w:eastAsia="Times New Roman"/>
                <w:sz w:val="20"/>
                <w:szCs w:val="20"/>
              </w:rPr>
              <w:t> </w:t>
            </w:r>
          </w:p>
        </w:tc>
        <w:tc>
          <w:tcPr>
            <w:tcW w:w="360" w:type="dxa"/>
          </w:tcPr>
          <w:p w14:paraId="11B3A421" w14:textId="77777777" w:rsidR="00DB0A0E" w:rsidRDefault="00C87F2E">
            <w:pPr>
              <w:rPr>
                <w:rFonts w:eastAsia="Times New Roman"/>
                <w:sz w:val="20"/>
                <w:szCs w:val="20"/>
              </w:rPr>
            </w:pPr>
            <w:r>
              <w:rPr>
                <w:rFonts w:eastAsia="Times New Roman"/>
                <w:sz w:val="20"/>
                <w:szCs w:val="20"/>
              </w:rPr>
              <w:t> </w:t>
            </w:r>
          </w:p>
        </w:tc>
        <w:tc>
          <w:tcPr>
            <w:tcW w:w="8445" w:type="dxa"/>
          </w:tcPr>
          <w:p w14:paraId="33AC45D4" w14:textId="77777777" w:rsidR="00DB0A0E" w:rsidRDefault="00C87F2E">
            <w:pPr>
              <w:jc w:val="both"/>
              <w:rPr>
                <w:rFonts w:eastAsia="Times New Roman"/>
                <w:sz w:val="20"/>
                <w:szCs w:val="20"/>
              </w:rPr>
            </w:pPr>
            <w:r>
              <w:rPr>
                <w:rFonts w:eastAsia="Times New Roman"/>
                <w:sz w:val="20"/>
                <w:szCs w:val="20"/>
              </w:rPr>
              <w:t> </w:t>
            </w:r>
          </w:p>
        </w:tc>
      </w:tr>
      <w:tr w:rsidR="00DB0A0E" w14:paraId="7A587FAA" w14:textId="77777777">
        <w:tc>
          <w:tcPr>
            <w:tcW w:w="360" w:type="dxa"/>
          </w:tcPr>
          <w:p w14:paraId="54A5C644" w14:textId="77777777" w:rsidR="00DB0A0E" w:rsidRDefault="00C87F2E">
            <w:pPr>
              <w:jc w:val="both"/>
              <w:rPr>
                <w:rFonts w:eastAsia="Times New Roman"/>
                <w:sz w:val="20"/>
                <w:szCs w:val="20"/>
              </w:rPr>
            </w:pPr>
            <w:r>
              <w:rPr>
                <w:rFonts w:eastAsia="Times New Roman"/>
                <w:sz w:val="20"/>
                <w:szCs w:val="20"/>
              </w:rPr>
              <w:t> </w:t>
            </w:r>
          </w:p>
        </w:tc>
        <w:tc>
          <w:tcPr>
            <w:tcW w:w="360" w:type="dxa"/>
          </w:tcPr>
          <w:p w14:paraId="76B40487" w14:textId="77777777" w:rsidR="00DB0A0E" w:rsidRDefault="00C87F2E">
            <w:pPr>
              <w:rPr>
                <w:rFonts w:eastAsia="Times New Roman"/>
                <w:sz w:val="20"/>
                <w:szCs w:val="20"/>
              </w:rPr>
            </w:pPr>
            <w:r>
              <w:rPr>
                <w:rFonts w:eastAsia="Times New Roman"/>
                <w:sz w:val="20"/>
                <w:szCs w:val="20"/>
              </w:rPr>
              <w:t>●</w:t>
            </w:r>
          </w:p>
        </w:tc>
        <w:tc>
          <w:tcPr>
            <w:tcW w:w="8445" w:type="dxa"/>
          </w:tcPr>
          <w:p w14:paraId="731EA979" w14:textId="77777777" w:rsidR="00DB0A0E" w:rsidRDefault="00C87F2E">
            <w:pPr>
              <w:jc w:val="both"/>
              <w:rPr>
                <w:rFonts w:eastAsia="Times New Roman"/>
                <w:sz w:val="20"/>
                <w:szCs w:val="20"/>
              </w:rPr>
            </w:pPr>
            <w:r>
              <w:rPr>
                <w:rFonts w:eastAsia="Times New Roman"/>
                <w:sz w:val="20"/>
                <w:szCs w:val="20"/>
              </w:rPr>
              <w:t xml:space="preserve">taxation and revenue policies, including royalty and tax increases, retroactive tax claims and the </w:t>
            </w:r>
            <w:r>
              <w:rPr>
                <w:rFonts w:eastAsia="Times New Roman"/>
                <w:sz w:val="20"/>
                <w:szCs w:val="20"/>
              </w:rPr>
              <w:t>imposition of unexpected taxes or other payments on revenues;</w:t>
            </w:r>
          </w:p>
        </w:tc>
      </w:tr>
      <w:tr w:rsidR="00DB0A0E" w14:paraId="4D5ABF5D" w14:textId="77777777">
        <w:tc>
          <w:tcPr>
            <w:tcW w:w="360" w:type="dxa"/>
          </w:tcPr>
          <w:p w14:paraId="30268E93" w14:textId="77777777" w:rsidR="00DB0A0E" w:rsidRDefault="00C87F2E">
            <w:pPr>
              <w:jc w:val="both"/>
              <w:rPr>
                <w:rFonts w:eastAsia="Times New Roman"/>
                <w:sz w:val="20"/>
                <w:szCs w:val="20"/>
              </w:rPr>
            </w:pPr>
            <w:r>
              <w:rPr>
                <w:rFonts w:eastAsia="Times New Roman"/>
                <w:sz w:val="20"/>
                <w:szCs w:val="20"/>
              </w:rPr>
              <w:t> </w:t>
            </w:r>
          </w:p>
        </w:tc>
        <w:tc>
          <w:tcPr>
            <w:tcW w:w="360" w:type="dxa"/>
          </w:tcPr>
          <w:p w14:paraId="523873F2" w14:textId="77777777" w:rsidR="00DB0A0E" w:rsidRDefault="00C87F2E">
            <w:pPr>
              <w:rPr>
                <w:rFonts w:eastAsia="Times New Roman"/>
                <w:sz w:val="20"/>
                <w:szCs w:val="20"/>
              </w:rPr>
            </w:pPr>
            <w:r>
              <w:rPr>
                <w:rFonts w:eastAsia="Times New Roman"/>
                <w:sz w:val="20"/>
                <w:szCs w:val="20"/>
              </w:rPr>
              <w:t> </w:t>
            </w:r>
          </w:p>
        </w:tc>
        <w:tc>
          <w:tcPr>
            <w:tcW w:w="8445" w:type="dxa"/>
          </w:tcPr>
          <w:p w14:paraId="5AC4DCE2" w14:textId="77777777" w:rsidR="00DB0A0E" w:rsidRDefault="00C87F2E">
            <w:pPr>
              <w:jc w:val="both"/>
              <w:rPr>
                <w:rFonts w:eastAsia="Times New Roman"/>
                <w:sz w:val="20"/>
                <w:szCs w:val="20"/>
              </w:rPr>
            </w:pPr>
            <w:r>
              <w:rPr>
                <w:rFonts w:eastAsia="Times New Roman"/>
                <w:sz w:val="20"/>
                <w:szCs w:val="20"/>
              </w:rPr>
              <w:t> </w:t>
            </w:r>
          </w:p>
        </w:tc>
      </w:tr>
      <w:tr w:rsidR="00DB0A0E" w14:paraId="47DE0681" w14:textId="77777777">
        <w:tc>
          <w:tcPr>
            <w:tcW w:w="360" w:type="dxa"/>
          </w:tcPr>
          <w:p w14:paraId="2D6C36E4" w14:textId="77777777" w:rsidR="00DB0A0E" w:rsidRDefault="00C87F2E">
            <w:pPr>
              <w:jc w:val="both"/>
              <w:rPr>
                <w:rFonts w:eastAsia="Times New Roman"/>
                <w:sz w:val="20"/>
                <w:szCs w:val="20"/>
              </w:rPr>
            </w:pPr>
            <w:r>
              <w:rPr>
                <w:rFonts w:eastAsia="Times New Roman"/>
                <w:sz w:val="20"/>
                <w:szCs w:val="20"/>
              </w:rPr>
              <w:t> </w:t>
            </w:r>
          </w:p>
        </w:tc>
        <w:tc>
          <w:tcPr>
            <w:tcW w:w="360" w:type="dxa"/>
          </w:tcPr>
          <w:p w14:paraId="2B829615" w14:textId="77777777" w:rsidR="00DB0A0E" w:rsidRDefault="00C87F2E">
            <w:pPr>
              <w:rPr>
                <w:rFonts w:eastAsia="Times New Roman"/>
                <w:sz w:val="20"/>
                <w:szCs w:val="20"/>
              </w:rPr>
            </w:pPr>
            <w:r>
              <w:rPr>
                <w:rFonts w:eastAsia="Times New Roman"/>
                <w:sz w:val="20"/>
                <w:szCs w:val="20"/>
              </w:rPr>
              <w:t>●</w:t>
            </w:r>
          </w:p>
        </w:tc>
        <w:tc>
          <w:tcPr>
            <w:tcW w:w="8445" w:type="dxa"/>
          </w:tcPr>
          <w:p w14:paraId="4BC46185" w14:textId="77777777" w:rsidR="00DB0A0E" w:rsidRDefault="00C87F2E">
            <w:pPr>
              <w:jc w:val="both"/>
              <w:rPr>
                <w:rFonts w:eastAsia="Times New Roman"/>
                <w:sz w:val="20"/>
                <w:szCs w:val="20"/>
              </w:rPr>
            </w:pPr>
            <w:r>
              <w:rPr>
                <w:rFonts w:eastAsia="Times New Roman"/>
                <w:sz w:val="20"/>
                <w:szCs w:val="20"/>
              </w:rPr>
              <w:t>exchange controls, currency fluctuations and other uncertainties arising out of foreign government sovereignty over foreign operations;</w:t>
            </w:r>
          </w:p>
        </w:tc>
      </w:tr>
      <w:tr w:rsidR="00DB0A0E" w14:paraId="10F8C100" w14:textId="77777777">
        <w:tc>
          <w:tcPr>
            <w:tcW w:w="360" w:type="dxa"/>
          </w:tcPr>
          <w:p w14:paraId="2BAC5EE0" w14:textId="77777777" w:rsidR="00DB0A0E" w:rsidRDefault="00C87F2E">
            <w:pPr>
              <w:jc w:val="both"/>
              <w:rPr>
                <w:rFonts w:eastAsia="Times New Roman"/>
                <w:sz w:val="20"/>
                <w:szCs w:val="20"/>
              </w:rPr>
            </w:pPr>
            <w:r>
              <w:rPr>
                <w:rFonts w:eastAsia="Times New Roman"/>
                <w:sz w:val="20"/>
                <w:szCs w:val="20"/>
              </w:rPr>
              <w:t> </w:t>
            </w:r>
          </w:p>
        </w:tc>
        <w:tc>
          <w:tcPr>
            <w:tcW w:w="360" w:type="dxa"/>
          </w:tcPr>
          <w:p w14:paraId="0EC09351" w14:textId="77777777" w:rsidR="00DB0A0E" w:rsidRDefault="00C87F2E">
            <w:pPr>
              <w:rPr>
                <w:rFonts w:eastAsia="Times New Roman"/>
                <w:sz w:val="20"/>
                <w:szCs w:val="20"/>
              </w:rPr>
            </w:pPr>
            <w:r>
              <w:rPr>
                <w:rFonts w:eastAsia="Times New Roman"/>
                <w:sz w:val="20"/>
                <w:szCs w:val="20"/>
              </w:rPr>
              <w:t> </w:t>
            </w:r>
          </w:p>
        </w:tc>
        <w:tc>
          <w:tcPr>
            <w:tcW w:w="8445" w:type="dxa"/>
          </w:tcPr>
          <w:p w14:paraId="0CE03909" w14:textId="77777777" w:rsidR="00DB0A0E" w:rsidRDefault="00C87F2E">
            <w:pPr>
              <w:jc w:val="both"/>
              <w:rPr>
                <w:rFonts w:eastAsia="Times New Roman"/>
                <w:sz w:val="20"/>
                <w:szCs w:val="20"/>
              </w:rPr>
            </w:pPr>
            <w:r>
              <w:rPr>
                <w:rFonts w:eastAsia="Times New Roman"/>
                <w:sz w:val="20"/>
                <w:szCs w:val="20"/>
              </w:rPr>
              <w:t> </w:t>
            </w:r>
          </w:p>
        </w:tc>
      </w:tr>
      <w:tr w:rsidR="00DB0A0E" w14:paraId="4E75EAF1" w14:textId="77777777">
        <w:tc>
          <w:tcPr>
            <w:tcW w:w="360" w:type="dxa"/>
          </w:tcPr>
          <w:p w14:paraId="3210CF5A" w14:textId="77777777" w:rsidR="00DB0A0E" w:rsidRDefault="00C87F2E">
            <w:pPr>
              <w:jc w:val="both"/>
              <w:rPr>
                <w:rFonts w:eastAsia="Times New Roman"/>
                <w:sz w:val="20"/>
                <w:szCs w:val="20"/>
              </w:rPr>
            </w:pPr>
            <w:r>
              <w:rPr>
                <w:rFonts w:eastAsia="Times New Roman"/>
                <w:sz w:val="20"/>
                <w:szCs w:val="20"/>
              </w:rPr>
              <w:t> </w:t>
            </w:r>
          </w:p>
        </w:tc>
        <w:tc>
          <w:tcPr>
            <w:tcW w:w="360" w:type="dxa"/>
          </w:tcPr>
          <w:p w14:paraId="49EF8BEF" w14:textId="77777777" w:rsidR="00DB0A0E" w:rsidRDefault="00C87F2E">
            <w:pPr>
              <w:rPr>
                <w:rFonts w:eastAsia="Times New Roman"/>
                <w:sz w:val="20"/>
                <w:szCs w:val="20"/>
              </w:rPr>
            </w:pPr>
            <w:r>
              <w:rPr>
                <w:rFonts w:eastAsia="Times New Roman"/>
                <w:sz w:val="20"/>
                <w:szCs w:val="20"/>
              </w:rPr>
              <w:t>●</w:t>
            </w:r>
          </w:p>
        </w:tc>
        <w:tc>
          <w:tcPr>
            <w:tcW w:w="8445" w:type="dxa"/>
          </w:tcPr>
          <w:p w14:paraId="05D81A4F" w14:textId="77777777" w:rsidR="00DB0A0E" w:rsidRDefault="00C87F2E">
            <w:pPr>
              <w:jc w:val="both"/>
              <w:rPr>
                <w:rFonts w:eastAsia="Times New Roman"/>
                <w:sz w:val="20"/>
                <w:szCs w:val="20"/>
              </w:rPr>
            </w:pPr>
            <w:r>
              <w:rPr>
                <w:rFonts w:eastAsia="Times New Roman"/>
                <w:sz w:val="20"/>
                <w:szCs w:val="20"/>
              </w:rPr>
              <w:t>laws and policies of the United St</w:t>
            </w:r>
            <w:r>
              <w:rPr>
                <w:rFonts w:eastAsia="Times New Roman"/>
                <w:sz w:val="20"/>
                <w:szCs w:val="20"/>
              </w:rPr>
              <w:t xml:space="preserve">ates and of the other countries in which we may operate affecting foreign trade, </w:t>
            </w:r>
            <w:proofErr w:type="gramStart"/>
            <w:r>
              <w:rPr>
                <w:rFonts w:eastAsia="Times New Roman"/>
                <w:sz w:val="20"/>
                <w:szCs w:val="20"/>
              </w:rPr>
              <w:t>taxation</w:t>
            </w:r>
            <w:proofErr w:type="gramEnd"/>
            <w:r>
              <w:rPr>
                <w:rFonts w:eastAsia="Times New Roman"/>
                <w:sz w:val="20"/>
                <w:szCs w:val="20"/>
              </w:rPr>
              <w:t xml:space="preserve"> and investment, including anti- bribery and anti-corruption laws;</w:t>
            </w:r>
          </w:p>
        </w:tc>
      </w:tr>
    </w:tbl>
    <w:p w14:paraId="1CC2F9C4" w14:textId="77777777" w:rsidR="00DB0A0E" w:rsidRDefault="00C87F2E">
      <w:pPr>
        <w:pStyle w:val="NormalWeb"/>
        <w:spacing w:before="0" w:beforeAutospacing="0" w:after="0" w:afterAutospacing="0"/>
        <w:jc w:val="both"/>
        <w:rPr>
          <w:sz w:val="20"/>
          <w:szCs w:val="20"/>
        </w:rPr>
      </w:pPr>
      <w:r>
        <w:rPr>
          <w:sz w:val="20"/>
          <w:szCs w:val="20"/>
        </w:rPr>
        <w:t> </w:t>
      </w:r>
    </w:p>
    <w:p w14:paraId="7EF4A25A" w14:textId="77777777" w:rsidR="00DB0A0E" w:rsidRDefault="00C87F2E">
      <w:pPr>
        <w:pStyle w:val="NormalWeb"/>
        <w:spacing w:before="0" w:beforeAutospacing="0" w:after="0" w:afterAutospacing="0"/>
        <w:jc w:val="both"/>
        <w:rPr>
          <w:sz w:val="20"/>
          <w:szCs w:val="20"/>
        </w:rPr>
      </w:pPr>
      <w:r>
        <w:rPr>
          <w:sz w:val="20"/>
          <w:szCs w:val="20"/>
        </w:rPr>
        <w:t> </w:t>
      </w:r>
    </w:p>
    <w:tbl>
      <w:tblPr>
        <w:tblW w:w="9360" w:type="dxa"/>
        <w:tblLayout w:type="fixed"/>
        <w:tblCellMar>
          <w:left w:w="0" w:type="dxa"/>
          <w:right w:w="0" w:type="dxa"/>
        </w:tblCellMar>
        <w:tblLook w:val="04A0" w:firstRow="1" w:lastRow="0" w:firstColumn="1" w:lastColumn="0" w:noHBand="0" w:noVBand="1"/>
      </w:tblPr>
      <w:tblGrid>
        <w:gridCol w:w="3089"/>
        <w:gridCol w:w="3182"/>
        <w:gridCol w:w="3089"/>
      </w:tblGrid>
      <w:tr w:rsidR="00DB0A0E" w14:paraId="06BBCBB9" w14:textId="77777777">
        <w:tc>
          <w:tcPr>
            <w:tcW w:w="9360" w:type="dxa"/>
            <w:gridSpan w:val="3"/>
          </w:tcPr>
          <w:p w14:paraId="0A0541D9" w14:textId="77777777" w:rsidR="00DB0A0E" w:rsidRDefault="00C87F2E">
            <w:pPr>
              <w:jc w:val="center"/>
              <w:rPr>
                <w:rFonts w:eastAsia="Times New Roman"/>
                <w:sz w:val="20"/>
                <w:szCs w:val="20"/>
              </w:rPr>
            </w:pPr>
            <w:r>
              <w:rPr>
                <w:rFonts w:eastAsia="Times New Roman"/>
                <w:sz w:val="20"/>
                <w:szCs w:val="20"/>
              </w:rPr>
              <w:t>10</w:t>
            </w:r>
          </w:p>
        </w:tc>
      </w:tr>
      <w:tr w:rsidR="00DB0A0E" w14:paraId="1B776DD6" w14:textId="77777777">
        <w:tc>
          <w:tcPr>
            <w:tcW w:w="3089" w:type="dxa"/>
          </w:tcPr>
          <w:p w14:paraId="6D8319EC" w14:textId="77777777" w:rsidR="00DB0A0E" w:rsidRDefault="00C87F2E">
            <w:pPr>
              <w:rPr>
                <w:rFonts w:eastAsia="Times New Roman"/>
                <w:sz w:val="20"/>
                <w:szCs w:val="20"/>
              </w:rPr>
            </w:pPr>
            <w:r>
              <w:rPr>
                <w:rFonts w:eastAsia="Times New Roman"/>
                <w:sz w:val="20"/>
                <w:szCs w:val="20"/>
              </w:rPr>
              <w:t> </w:t>
            </w:r>
          </w:p>
        </w:tc>
        <w:tc>
          <w:tcPr>
            <w:tcW w:w="3182" w:type="dxa"/>
          </w:tcPr>
          <w:p w14:paraId="598668E5" w14:textId="77777777" w:rsidR="00DB0A0E" w:rsidRDefault="00C87F2E">
            <w:pPr>
              <w:rPr>
                <w:rFonts w:eastAsia="Times New Roman"/>
                <w:sz w:val="20"/>
                <w:szCs w:val="20"/>
              </w:rPr>
            </w:pPr>
            <w:r>
              <w:rPr>
                <w:rFonts w:eastAsia="Times New Roman"/>
                <w:sz w:val="20"/>
                <w:szCs w:val="20"/>
              </w:rPr>
              <w:t> </w:t>
            </w:r>
          </w:p>
        </w:tc>
        <w:tc>
          <w:tcPr>
            <w:tcW w:w="3089" w:type="dxa"/>
          </w:tcPr>
          <w:p w14:paraId="14730444" w14:textId="77777777" w:rsidR="00DB0A0E" w:rsidRDefault="00C87F2E">
            <w:pPr>
              <w:rPr>
                <w:rFonts w:eastAsia="Times New Roman"/>
                <w:sz w:val="20"/>
                <w:szCs w:val="20"/>
              </w:rPr>
            </w:pPr>
            <w:r>
              <w:rPr>
                <w:rFonts w:eastAsia="Times New Roman"/>
                <w:sz w:val="20"/>
                <w:szCs w:val="20"/>
              </w:rPr>
              <w:t> </w:t>
            </w:r>
          </w:p>
        </w:tc>
      </w:tr>
    </w:tbl>
    <w:tbl>
      <w:tblPr>
        <w:tblpPr w:leftFromText="180" w:rightFromText="180" w:vertAnchor="text" w:horzAnchor="page" w:tblpX="1366" w:tblpY="235"/>
        <w:tblOverlap w:val="never"/>
        <w:tblW w:w="9360" w:type="dxa"/>
        <w:tblLayout w:type="fixed"/>
        <w:tblCellMar>
          <w:left w:w="0" w:type="dxa"/>
          <w:right w:w="0" w:type="dxa"/>
        </w:tblCellMar>
        <w:tblLook w:val="04A0" w:firstRow="1" w:lastRow="0" w:firstColumn="1" w:lastColumn="0" w:noHBand="0" w:noVBand="1"/>
      </w:tblPr>
      <w:tblGrid>
        <w:gridCol w:w="360"/>
        <w:gridCol w:w="360"/>
        <w:gridCol w:w="8640"/>
      </w:tblGrid>
      <w:tr w:rsidR="00DB0A0E" w14:paraId="7990EFE4" w14:textId="77777777">
        <w:tc>
          <w:tcPr>
            <w:tcW w:w="360" w:type="dxa"/>
          </w:tcPr>
          <w:p w14:paraId="4FBD6902" w14:textId="77777777" w:rsidR="00DB0A0E" w:rsidRDefault="00C87F2E">
            <w:pPr>
              <w:jc w:val="both"/>
              <w:rPr>
                <w:rFonts w:eastAsia="Times New Roman"/>
                <w:sz w:val="20"/>
                <w:szCs w:val="20"/>
              </w:rPr>
            </w:pPr>
            <w:r>
              <w:rPr>
                <w:rFonts w:eastAsia="Times New Roman"/>
                <w:sz w:val="20"/>
                <w:szCs w:val="20"/>
              </w:rPr>
              <w:t> </w:t>
            </w:r>
          </w:p>
        </w:tc>
        <w:tc>
          <w:tcPr>
            <w:tcW w:w="360" w:type="dxa"/>
          </w:tcPr>
          <w:p w14:paraId="30724965" w14:textId="77777777" w:rsidR="00DB0A0E" w:rsidRDefault="00C87F2E">
            <w:pPr>
              <w:rPr>
                <w:rFonts w:eastAsia="Times New Roman"/>
                <w:sz w:val="20"/>
                <w:szCs w:val="20"/>
              </w:rPr>
            </w:pPr>
            <w:r>
              <w:rPr>
                <w:rFonts w:eastAsia="Times New Roman"/>
                <w:sz w:val="20"/>
                <w:szCs w:val="20"/>
              </w:rPr>
              <w:t>●</w:t>
            </w:r>
          </w:p>
        </w:tc>
        <w:tc>
          <w:tcPr>
            <w:tcW w:w="8640" w:type="dxa"/>
          </w:tcPr>
          <w:p w14:paraId="2B766F1A" w14:textId="77777777" w:rsidR="00DB0A0E" w:rsidRDefault="00C87F2E">
            <w:pPr>
              <w:jc w:val="both"/>
              <w:rPr>
                <w:rFonts w:eastAsia="Times New Roman"/>
                <w:sz w:val="20"/>
                <w:szCs w:val="20"/>
              </w:rPr>
            </w:pPr>
            <w:r>
              <w:rPr>
                <w:rFonts w:eastAsia="Times New Roman"/>
                <w:sz w:val="20"/>
                <w:szCs w:val="20"/>
              </w:rPr>
              <w:t xml:space="preserve">the possibility of being subjected to the exclusive jurisdiction of </w:t>
            </w:r>
            <w:r>
              <w:rPr>
                <w:rFonts w:eastAsia="Times New Roman"/>
                <w:sz w:val="20"/>
                <w:szCs w:val="20"/>
              </w:rPr>
              <w:t>foreign courts in connection with legal disputes and the possible inability to subject foreign persons to the jurisdiction of courts in the United States; and</w:t>
            </w:r>
          </w:p>
        </w:tc>
      </w:tr>
      <w:tr w:rsidR="00DB0A0E" w14:paraId="0FA3DED2" w14:textId="77777777">
        <w:tc>
          <w:tcPr>
            <w:tcW w:w="360" w:type="dxa"/>
          </w:tcPr>
          <w:p w14:paraId="484FE78D" w14:textId="77777777" w:rsidR="00DB0A0E" w:rsidRDefault="00C87F2E">
            <w:pPr>
              <w:jc w:val="both"/>
              <w:rPr>
                <w:rFonts w:eastAsia="Times New Roman"/>
                <w:sz w:val="20"/>
                <w:szCs w:val="20"/>
              </w:rPr>
            </w:pPr>
            <w:r>
              <w:rPr>
                <w:rFonts w:eastAsia="Times New Roman"/>
                <w:sz w:val="20"/>
                <w:szCs w:val="20"/>
              </w:rPr>
              <w:t> </w:t>
            </w:r>
          </w:p>
        </w:tc>
        <w:tc>
          <w:tcPr>
            <w:tcW w:w="360" w:type="dxa"/>
          </w:tcPr>
          <w:p w14:paraId="3C72F174" w14:textId="77777777" w:rsidR="00DB0A0E" w:rsidRDefault="00C87F2E">
            <w:pPr>
              <w:rPr>
                <w:rFonts w:eastAsia="Times New Roman"/>
                <w:sz w:val="20"/>
                <w:szCs w:val="20"/>
              </w:rPr>
            </w:pPr>
            <w:r>
              <w:rPr>
                <w:rFonts w:eastAsia="Times New Roman"/>
                <w:sz w:val="20"/>
                <w:szCs w:val="20"/>
              </w:rPr>
              <w:t> </w:t>
            </w:r>
          </w:p>
        </w:tc>
        <w:tc>
          <w:tcPr>
            <w:tcW w:w="8640" w:type="dxa"/>
          </w:tcPr>
          <w:p w14:paraId="20A5B1D4" w14:textId="77777777" w:rsidR="00DB0A0E" w:rsidRDefault="00C87F2E">
            <w:pPr>
              <w:jc w:val="both"/>
              <w:rPr>
                <w:rFonts w:eastAsia="Times New Roman"/>
                <w:sz w:val="20"/>
                <w:szCs w:val="20"/>
              </w:rPr>
            </w:pPr>
            <w:r>
              <w:rPr>
                <w:rFonts w:eastAsia="Times New Roman"/>
                <w:sz w:val="20"/>
                <w:szCs w:val="20"/>
              </w:rPr>
              <w:t> </w:t>
            </w:r>
          </w:p>
        </w:tc>
      </w:tr>
      <w:tr w:rsidR="00DB0A0E" w14:paraId="489A976F" w14:textId="77777777">
        <w:tc>
          <w:tcPr>
            <w:tcW w:w="360" w:type="dxa"/>
          </w:tcPr>
          <w:p w14:paraId="1CA7D8BC" w14:textId="77777777" w:rsidR="00DB0A0E" w:rsidRDefault="00C87F2E">
            <w:pPr>
              <w:jc w:val="both"/>
              <w:rPr>
                <w:rFonts w:eastAsia="Times New Roman"/>
                <w:sz w:val="20"/>
                <w:szCs w:val="20"/>
              </w:rPr>
            </w:pPr>
            <w:r>
              <w:rPr>
                <w:rFonts w:eastAsia="Times New Roman"/>
                <w:sz w:val="20"/>
                <w:szCs w:val="20"/>
              </w:rPr>
              <w:t> </w:t>
            </w:r>
          </w:p>
        </w:tc>
        <w:tc>
          <w:tcPr>
            <w:tcW w:w="360" w:type="dxa"/>
          </w:tcPr>
          <w:p w14:paraId="6E3271D8" w14:textId="77777777" w:rsidR="00DB0A0E" w:rsidRDefault="00C87F2E">
            <w:pPr>
              <w:rPr>
                <w:rFonts w:eastAsia="Times New Roman"/>
                <w:sz w:val="20"/>
                <w:szCs w:val="20"/>
              </w:rPr>
            </w:pPr>
            <w:r>
              <w:rPr>
                <w:rFonts w:eastAsia="Times New Roman"/>
                <w:sz w:val="20"/>
                <w:szCs w:val="20"/>
              </w:rPr>
              <w:t>●</w:t>
            </w:r>
          </w:p>
        </w:tc>
        <w:tc>
          <w:tcPr>
            <w:tcW w:w="8640" w:type="dxa"/>
          </w:tcPr>
          <w:p w14:paraId="20466B99" w14:textId="77777777" w:rsidR="00DB0A0E" w:rsidRDefault="00C87F2E">
            <w:pPr>
              <w:jc w:val="both"/>
              <w:rPr>
                <w:rFonts w:eastAsia="Times New Roman"/>
                <w:sz w:val="20"/>
                <w:szCs w:val="20"/>
              </w:rPr>
            </w:pPr>
            <w:r>
              <w:rPr>
                <w:rFonts w:eastAsia="Times New Roman"/>
                <w:sz w:val="20"/>
                <w:szCs w:val="20"/>
              </w:rPr>
              <w:t xml:space="preserve">the possibility of restrictions on repatriation of earnings or capital from </w:t>
            </w:r>
            <w:r>
              <w:rPr>
                <w:rFonts w:eastAsia="Times New Roman"/>
                <w:sz w:val="20"/>
                <w:szCs w:val="20"/>
              </w:rPr>
              <w:t>foreign countries.</w:t>
            </w:r>
          </w:p>
        </w:tc>
      </w:tr>
    </w:tbl>
    <w:p w14:paraId="6DB068C5" w14:textId="77777777" w:rsidR="00DB0A0E" w:rsidRDefault="00C87F2E">
      <w:pPr>
        <w:pStyle w:val="NormalWeb"/>
        <w:spacing w:before="0" w:beforeAutospacing="0" w:after="0" w:afterAutospacing="0"/>
        <w:rPr>
          <w:sz w:val="20"/>
          <w:szCs w:val="20"/>
        </w:rPr>
      </w:pPr>
      <w:r>
        <w:rPr>
          <w:sz w:val="20"/>
          <w:szCs w:val="20"/>
        </w:rPr>
        <w:t> </w:t>
      </w:r>
    </w:p>
    <w:p w14:paraId="23B0398A" w14:textId="77777777" w:rsidR="00DB0A0E" w:rsidRDefault="00DB0A0E">
      <w:pPr>
        <w:pStyle w:val="NormalWeb"/>
        <w:spacing w:before="0" w:beforeAutospacing="0" w:after="0" w:afterAutospacing="0"/>
        <w:jc w:val="both"/>
        <w:rPr>
          <w:sz w:val="20"/>
          <w:szCs w:val="20"/>
          <w:lang w:val="en-CA"/>
        </w:rPr>
      </w:pPr>
    </w:p>
    <w:p w14:paraId="3A9C333B" w14:textId="77777777" w:rsidR="00DB0A0E" w:rsidRDefault="00DB0A0E">
      <w:pPr>
        <w:pStyle w:val="NormalWeb"/>
        <w:spacing w:before="0" w:beforeAutospacing="0" w:after="0" w:afterAutospacing="0"/>
        <w:jc w:val="both"/>
        <w:rPr>
          <w:sz w:val="20"/>
          <w:szCs w:val="20"/>
          <w:lang w:val="en-CA"/>
        </w:rPr>
      </w:pPr>
    </w:p>
    <w:p w14:paraId="15663EF2" w14:textId="77777777" w:rsidR="00DB0A0E" w:rsidRDefault="00C87F2E">
      <w:pPr>
        <w:pStyle w:val="NormalWeb"/>
        <w:spacing w:before="0" w:beforeAutospacing="0" w:after="0" w:afterAutospacing="0"/>
        <w:jc w:val="both"/>
        <w:rPr>
          <w:sz w:val="20"/>
          <w:szCs w:val="20"/>
          <w:lang w:val="en-CA"/>
        </w:rPr>
      </w:pPr>
      <w:r>
        <w:rPr>
          <w:sz w:val="20"/>
          <w:szCs w:val="20"/>
          <w:lang w:val="en-CA"/>
        </w:rPr>
        <w:t>Credit Risk</w:t>
      </w:r>
    </w:p>
    <w:p w14:paraId="0E897B98" w14:textId="77777777" w:rsidR="00DB0A0E" w:rsidRDefault="00DB0A0E">
      <w:pPr>
        <w:pStyle w:val="NormalWeb"/>
        <w:spacing w:before="0" w:beforeAutospacing="0" w:after="0" w:afterAutospacing="0"/>
        <w:jc w:val="both"/>
        <w:rPr>
          <w:sz w:val="20"/>
          <w:szCs w:val="20"/>
          <w:lang w:val="en-CA"/>
        </w:rPr>
      </w:pPr>
    </w:p>
    <w:p w14:paraId="4B573A1A" w14:textId="77777777" w:rsidR="00DB0A0E" w:rsidRDefault="00C87F2E">
      <w:pPr>
        <w:pStyle w:val="NormalWeb"/>
        <w:spacing w:before="0" w:beforeAutospacing="0" w:after="0" w:afterAutospacing="0"/>
        <w:jc w:val="both"/>
        <w:rPr>
          <w:sz w:val="20"/>
          <w:szCs w:val="20"/>
          <w:lang w:val="en-CA"/>
        </w:rPr>
      </w:pPr>
      <w:r>
        <w:rPr>
          <w:sz w:val="20"/>
          <w:szCs w:val="20"/>
          <w:lang w:val="en-CA"/>
        </w:rPr>
        <w:t>Credit risk is the risk of financial loss to the Company if a customer or counterparty to a financial instrument fails to meet its payment obligations. This risk arises principally from the Company’s receivables from jo</w:t>
      </w:r>
      <w:r>
        <w:rPr>
          <w:sz w:val="20"/>
          <w:szCs w:val="20"/>
          <w:lang w:val="en-CA"/>
        </w:rPr>
        <w:t xml:space="preserve">int operators and oil and natural gas marketers. The Company sells the majority of its </w:t>
      </w:r>
      <w:r>
        <w:rPr>
          <w:sz w:val="20"/>
          <w:szCs w:val="20"/>
          <w:lang w:val="en-CA"/>
        </w:rPr>
        <w:lastRenderedPageBreak/>
        <w:t xml:space="preserve">oil production to a single oil marketer </w:t>
      </w:r>
      <w:proofErr w:type="gramStart"/>
      <w:r>
        <w:rPr>
          <w:sz w:val="20"/>
          <w:szCs w:val="20"/>
          <w:lang w:val="en-CA"/>
        </w:rPr>
        <w:t>and ,</w:t>
      </w:r>
      <w:proofErr w:type="gramEnd"/>
      <w:r>
        <w:rPr>
          <w:sz w:val="20"/>
          <w:szCs w:val="20"/>
          <w:lang w:val="en-CA"/>
        </w:rPr>
        <w:t xml:space="preserve"> therefore, is subject to concentration, historically, the Company has never experienced any collection issues with its oil </w:t>
      </w:r>
      <w:r>
        <w:rPr>
          <w:sz w:val="20"/>
          <w:szCs w:val="20"/>
          <w:lang w:val="en-CA"/>
        </w:rPr>
        <w:t xml:space="preserve">and gas marketer. </w:t>
      </w:r>
    </w:p>
    <w:p w14:paraId="6C5CE703" w14:textId="77777777" w:rsidR="00DB0A0E" w:rsidRDefault="00DB0A0E">
      <w:pPr>
        <w:pStyle w:val="NormalWeb"/>
        <w:spacing w:before="0" w:beforeAutospacing="0" w:after="0" w:afterAutospacing="0"/>
        <w:jc w:val="both"/>
        <w:rPr>
          <w:sz w:val="20"/>
          <w:szCs w:val="20"/>
          <w:lang w:val="en-CA"/>
        </w:rPr>
      </w:pPr>
    </w:p>
    <w:p w14:paraId="431749B0" w14:textId="77777777" w:rsidR="00DB0A0E" w:rsidRDefault="00C87F2E">
      <w:pPr>
        <w:pStyle w:val="NormalWeb"/>
        <w:spacing w:before="0" w:beforeAutospacing="0" w:after="0" w:afterAutospacing="0"/>
        <w:jc w:val="both"/>
        <w:rPr>
          <w:sz w:val="20"/>
          <w:szCs w:val="20"/>
          <w:lang w:val="en-CA"/>
        </w:rPr>
      </w:pPr>
      <w:r>
        <w:rPr>
          <w:sz w:val="20"/>
          <w:szCs w:val="20"/>
          <w:lang w:val="en-CA"/>
        </w:rPr>
        <w:t>Liquidity Risk</w:t>
      </w:r>
    </w:p>
    <w:p w14:paraId="6F72B87B" w14:textId="77777777" w:rsidR="00DB0A0E" w:rsidRDefault="00DB0A0E">
      <w:pPr>
        <w:pStyle w:val="NormalWeb"/>
        <w:spacing w:before="0" w:beforeAutospacing="0" w:after="0" w:afterAutospacing="0"/>
        <w:jc w:val="both"/>
        <w:rPr>
          <w:sz w:val="20"/>
          <w:szCs w:val="20"/>
          <w:lang w:val="en-CA"/>
        </w:rPr>
      </w:pPr>
    </w:p>
    <w:p w14:paraId="1F1C34D5" w14:textId="77777777" w:rsidR="00DB0A0E" w:rsidRDefault="00C87F2E">
      <w:pPr>
        <w:pStyle w:val="NormalWeb"/>
        <w:spacing w:before="0" w:beforeAutospacing="0" w:after="0" w:afterAutospacing="0"/>
        <w:jc w:val="both"/>
        <w:rPr>
          <w:sz w:val="20"/>
          <w:szCs w:val="20"/>
          <w:lang w:val="en-CA"/>
        </w:rPr>
      </w:pPr>
      <w:r>
        <w:rPr>
          <w:sz w:val="20"/>
          <w:szCs w:val="20"/>
          <w:lang w:val="en-CA"/>
        </w:rPr>
        <w:t xml:space="preserve">Liquidity risk is the risk that the Company will not be able to meet its financial obligations as they become due. The Company’s approach to managing liquidity risk it to ensure, as far as possible, that it will have </w:t>
      </w:r>
      <w:r>
        <w:rPr>
          <w:sz w:val="20"/>
          <w:szCs w:val="20"/>
          <w:lang w:val="en-CA"/>
        </w:rPr>
        <w:t xml:space="preserve">sufficient </w:t>
      </w:r>
      <w:proofErr w:type="spellStart"/>
      <w:r>
        <w:rPr>
          <w:sz w:val="20"/>
          <w:szCs w:val="20"/>
          <w:lang w:val="en-CA"/>
        </w:rPr>
        <w:t>liqiuidity</w:t>
      </w:r>
      <w:proofErr w:type="spellEnd"/>
      <w:r>
        <w:rPr>
          <w:sz w:val="20"/>
          <w:szCs w:val="20"/>
          <w:lang w:val="en-CA"/>
        </w:rPr>
        <w:t xml:space="preserve"> to meet its liabilities when they become due, under both normal and stressed conditions, without incurring unacceptable losses or risking damage to the Company.</w:t>
      </w:r>
    </w:p>
    <w:p w14:paraId="18238375" w14:textId="77777777" w:rsidR="00DB0A0E" w:rsidRDefault="00DB0A0E">
      <w:pPr>
        <w:pStyle w:val="NormalWeb"/>
        <w:spacing w:before="0" w:beforeAutospacing="0" w:after="0" w:afterAutospacing="0"/>
        <w:jc w:val="both"/>
        <w:rPr>
          <w:sz w:val="20"/>
          <w:szCs w:val="20"/>
          <w:lang w:val="en-CA"/>
        </w:rPr>
      </w:pPr>
    </w:p>
    <w:p w14:paraId="2576DC33" w14:textId="77777777" w:rsidR="00DB0A0E" w:rsidRDefault="00C87F2E">
      <w:pPr>
        <w:pStyle w:val="NormalWeb"/>
        <w:spacing w:before="0" w:beforeAutospacing="0" w:after="0" w:afterAutospacing="0"/>
        <w:jc w:val="both"/>
        <w:rPr>
          <w:sz w:val="20"/>
          <w:szCs w:val="20"/>
          <w:lang w:val="en-CA"/>
        </w:rPr>
      </w:pPr>
      <w:r>
        <w:rPr>
          <w:sz w:val="20"/>
          <w:szCs w:val="20"/>
          <w:lang w:val="en-CA"/>
        </w:rPr>
        <w:t xml:space="preserve">The Company also prepares annual capital expenditure budgets, which are </w:t>
      </w:r>
      <w:r>
        <w:rPr>
          <w:sz w:val="20"/>
          <w:szCs w:val="20"/>
          <w:lang w:val="en-CA"/>
        </w:rPr>
        <w:t>regularly monitored and updated as considered necessary. Further, the Company utilizes authorizations for expenditures on both operated and non-</w:t>
      </w:r>
      <w:proofErr w:type="spellStart"/>
      <w:r>
        <w:rPr>
          <w:sz w:val="20"/>
          <w:szCs w:val="20"/>
          <w:lang w:val="en-CA"/>
        </w:rPr>
        <w:t>opearated</w:t>
      </w:r>
      <w:proofErr w:type="spellEnd"/>
      <w:r>
        <w:rPr>
          <w:sz w:val="20"/>
          <w:szCs w:val="20"/>
          <w:lang w:val="en-CA"/>
        </w:rPr>
        <w:t xml:space="preserve"> projects to further manage capital expenditures. </w:t>
      </w:r>
    </w:p>
    <w:p w14:paraId="5BEA48F2" w14:textId="77777777" w:rsidR="00DB0A0E" w:rsidRDefault="00C87F2E">
      <w:pPr>
        <w:pStyle w:val="NormalWeb"/>
        <w:spacing w:before="0" w:beforeAutospacing="0" w:after="0" w:afterAutospacing="0"/>
        <w:jc w:val="both"/>
        <w:rPr>
          <w:sz w:val="20"/>
          <w:szCs w:val="20"/>
          <w:lang w:val="en-CA"/>
        </w:rPr>
      </w:pPr>
      <w:r>
        <w:rPr>
          <w:sz w:val="20"/>
          <w:szCs w:val="20"/>
          <w:lang w:val="en-CA"/>
        </w:rPr>
        <w:t>In light of the current volatility in oil and gas pr</w:t>
      </w:r>
      <w:r>
        <w:rPr>
          <w:sz w:val="20"/>
          <w:szCs w:val="20"/>
          <w:lang w:val="en-CA"/>
        </w:rPr>
        <w:t>ices and uncertainty regarding the timing for recovery in such prices and also with the uncertainty in the country and world economy related to Corvid-19 management’s ability to prepare financial forecasts is challenging. The economic climate may lead to a</w:t>
      </w:r>
      <w:r>
        <w:rPr>
          <w:sz w:val="20"/>
          <w:szCs w:val="20"/>
          <w:lang w:val="en-CA"/>
        </w:rPr>
        <w:t>dverse changes in cash flow, working capital levels or debt balances, which may also have a direct impact on the Company’s liquidity and ability to generate profits in the future.</w:t>
      </w:r>
    </w:p>
    <w:p w14:paraId="45FD6380" w14:textId="77777777" w:rsidR="00DB0A0E" w:rsidRDefault="00DB0A0E">
      <w:pPr>
        <w:pStyle w:val="NormalWeb"/>
        <w:spacing w:before="0" w:beforeAutospacing="0" w:after="0" w:afterAutospacing="0"/>
        <w:jc w:val="both"/>
        <w:rPr>
          <w:sz w:val="20"/>
          <w:szCs w:val="20"/>
          <w:lang w:val="en-CA"/>
        </w:rPr>
      </w:pPr>
    </w:p>
    <w:p w14:paraId="24DEFB72" w14:textId="77777777" w:rsidR="00DB0A0E" w:rsidRDefault="00C87F2E">
      <w:pPr>
        <w:pStyle w:val="NormalWeb"/>
        <w:spacing w:before="0" w:beforeAutospacing="0" w:after="0" w:afterAutospacing="0"/>
        <w:jc w:val="both"/>
        <w:rPr>
          <w:sz w:val="20"/>
          <w:szCs w:val="20"/>
          <w:lang w:val="en-CA"/>
        </w:rPr>
      </w:pPr>
      <w:r>
        <w:rPr>
          <w:sz w:val="20"/>
          <w:szCs w:val="20"/>
          <w:lang w:val="en-CA"/>
        </w:rPr>
        <w:t>Market Risk</w:t>
      </w:r>
    </w:p>
    <w:p w14:paraId="19610501" w14:textId="77777777" w:rsidR="00DB0A0E" w:rsidRDefault="00DB0A0E">
      <w:pPr>
        <w:pStyle w:val="NormalWeb"/>
        <w:spacing w:before="0" w:beforeAutospacing="0" w:after="0" w:afterAutospacing="0"/>
        <w:jc w:val="both"/>
        <w:rPr>
          <w:sz w:val="20"/>
          <w:szCs w:val="20"/>
          <w:lang w:val="en-CA"/>
        </w:rPr>
      </w:pPr>
    </w:p>
    <w:p w14:paraId="3A09C0DE" w14:textId="77777777" w:rsidR="00DB0A0E" w:rsidRDefault="00C87F2E">
      <w:pPr>
        <w:pStyle w:val="NormalWeb"/>
        <w:spacing w:before="0" w:beforeAutospacing="0" w:after="0" w:afterAutospacing="0"/>
        <w:jc w:val="both"/>
        <w:rPr>
          <w:sz w:val="20"/>
          <w:szCs w:val="20"/>
          <w:lang w:val="en-CA"/>
        </w:rPr>
      </w:pPr>
      <w:r>
        <w:rPr>
          <w:sz w:val="20"/>
          <w:szCs w:val="20"/>
          <w:lang w:val="en-CA"/>
        </w:rPr>
        <w:t xml:space="preserve">Market risk is the risk that changes </w:t>
      </w:r>
      <w:proofErr w:type="gramStart"/>
      <w:r>
        <w:rPr>
          <w:sz w:val="20"/>
          <w:szCs w:val="20"/>
          <w:lang w:val="en-CA"/>
        </w:rPr>
        <w:t>in  market</w:t>
      </w:r>
      <w:proofErr w:type="gramEnd"/>
      <w:r>
        <w:rPr>
          <w:sz w:val="20"/>
          <w:szCs w:val="20"/>
          <w:lang w:val="en-CA"/>
        </w:rPr>
        <w:t xml:space="preserve"> prices, such a</w:t>
      </w:r>
      <w:r>
        <w:rPr>
          <w:sz w:val="20"/>
          <w:szCs w:val="20"/>
          <w:lang w:val="en-CA"/>
        </w:rPr>
        <w:t>s, foreign exchange rates, commodity prices, and interest rates will affect the value of the financial instruments. Market risk is comprised of interest rate risk, foreign currency risk, commodity price risk, and other price risk.</w:t>
      </w:r>
    </w:p>
    <w:p w14:paraId="2338E5C2" w14:textId="77777777" w:rsidR="00DB0A0E" w:rsidRDefault="00DB0A0E">
      <w:pPr>
        <w:pStyle w:val="NormalWeb"/>
        <w:spacing w:before="0" w:beforeAutospacing="0" w:after="0" w:afterAutospacing="0"/>
        <w:jc w:val="both"/>
        <w:rPr>
          <w:sz w:val="20"/>
          <w:szCs w:val="20"/>
          <w:lang w:val="en-CA"/>
        </w:rPr>
      </w:pPr>
    </w:p>
    <w:p w14:paraId="58D30689" w14:textId="77777777" w:rsidR="00DB0A0E" w:rsidRDefault="00C87F2E">
      <w:pPr>
        <w:pStyle w:val="NormalWeb"/>
        <w:spacing w:before="0" w:beforeAutospacing="0" w:after="0" w:afterAutospacing="0"/>
        <w:jc w:val="both"/>
        <w:rPr>
          <w:sz w:val="20"/>
          <w:szCs w:val="20"/>
          <w:lang w:val="en-CA"/>
        </w:rPr>
      </w:pPr>
      <w:r>
        <w:rPr>
          <w:sz w:val="20"/>
          <w:szCs w:val="20"/>
          <w:lang w:val="en-CA"/>
        </w:rPr>
        <w:t>Foreign Currency Risk</w:t>
      </w:r>
    </w:p>
    <w:p w14:paraId="32AEA56A" w14:textId="77777777" w:rsidR="00DB0A0E" w:rsidRDefault="00DB0A0E">
      <w:pPr>
        <w:pStyle w:val="NormalWeb"/>
        <w:spacing w:before="0" w:beforeAutospacing="0" w:after="0" w:afterAutospacing="0"/>
        <w:jc w:val="both"/>
        <w:rPr>
          <w:sz w:val="20"/>
          <w:szCs w:val="20"/>
          <w:lang w:val="en-CA"/>
        </w:rPr>
      </w:pPr>
    </w:p>
    <w:p w14:paraId="710C9FB5" w14:textId="77777777" w:rsidR="00DB0A0E" w:rsidRDefault="00C87F2E">
      <w:pPr>
        <w:pStyle w:val="NormalWeb"/>
        <w:spacing w:before="0" w:beforeAutospacing="0" w:after="0" w:afterAutospacing="0"/>
        <w:jc w:val="both"/>
        <w:rPr>
          <w:sz w:val="20"/>
          <w:szCs w:val="20"/>
        </w:rPr>
      </w:pPr>
      <w:r>
        <w:rPr>
          <w:sz w:val="20"/>
          <w:szCs w:val="20"/>
        </w:rPr>
        <w:t>O</w:t>
      </w:r>
      <w:r>
        <w:rPr>
          <w:sz w:val="20"/>
          <w:szCs w:val="20"/>
        </w:rPr>
        <w:t>il and gas operations in Turkey will generate revenues in Turkish Lira, while expenses will be incurred in Turkish Lira or U.S. dollars. Gas production in Turkey will generate Turkish Lira. Oil and gas operations in Bulgaria will generate revenues in Bulga</w:t>
      </w:r>
      <w:r>
        <w:rPr>
          <w:sz w:val="20"/>
          <w:szCs w:val="20"/>
        </w:rPr>
        <w:t>rian Leva, while expenses will be incurred in Bulgarian Leva, U.S. dollars or Euros. Gas production in Bulgaria will generate Bulgarian Leva. As a result, any fluctuations of these currencies may result in a change in reported revenues, if any, that our pr</w:t>
      </w:r>
      <w:r>
        <w:rPr>
          <w:sz w:val="20"/>
          <w:szCs w:val="20"/>
        </w:rPr>
        <w:t>ojects could generate if they commence production. Accordingly, our future financial results are subject to risk based on changes to foreign currency rates.</w:t>
      </w:r>
    </w:p>
    <w:p w14:paraId="0C57D88B" w14:textId="77777777" w:rsidR="00DB0A0E" w:rsidRDefault="00DB0A0E">
      <w:pPr>
        <w:rPr>
          <w:b/>
          <w:bCs/>
          <w:iCs/>
          <w:sz w:val="20"/>
          <w:szCs w:val="20"/>
        </w:rPr>
      </w:pPr>
    </w:p>
    <w:p w14:paraId="211B14A7" w14:textId="77777777" w:rsidR="00DB0A0E" w:rsidRDefault="00C87F2E">
      <w:pPr>
        <w:rPr>
          <w:iCs/>
          <w:sz w:val="20"/>
          <w:szCs w:val="20"/>
          <w:lang w:val="en-CA"/>
        </w:rPr>
      </w:pPr>
      <w:r>
        <w:rPr>
          <w:iCs/>
          <w:sz w:val="20"/>
          <w:szCs w:val="20"/>
          <w:lang w:val="en-CA"/>
        </w:rPr>
        <w:t>Commodity Price Risk</w:t>
      </w:r>
    </w:p>
    <w:p w14:paraId="26F42170" w14:textId="77777777" w:rsidR="00DB0A0E" w:rsidRDefault="00C87F2E">
      <w:pPr>
        <w:rPr>
          <w:iCs/>
          <w:sz w:val="20"/>
          <w:szCs w:val="20"/>
          <w:lang w:val="en-CA"/>
        </w:rPr>
      </w:pPr>
      <w:r>
        <w:rPr>
          <w:iCs/>
          <w:sz w:val="20"/>
          <w:szCs w:val="20"/>
          <w:lang w:val="en-CA"/>
        </w:rPr>
        <w:t>Commodity prices for petroleum and natural gas are impacted by global economi</w:t>
      </w:r>
      <w:r>
        <w:rPr>
          <w:iCs/>
          <w:sz w:val="20"/>
          <w:szCs w:val="20"/>
          <w:lang w:val="en-CA"/>
        </w:rPr>
        <w:t xml:space="preserve">c events that dictate the levels of supply and demand. Significant changes in commodity prices may </w:t>
      </w:r>
      <w:proofErr w:type="spellStart"/>
      <w:r>
        <w:rPr>
          <w:iCs/>
          <w:sz w:val="20"/>
          <w:szCs w:val="20"/>
          <w:lang w:val="en-CA"/>
        </w:rPr>
        <w:t>materailly</w:t>
      </w:r>
      <w:proofErr w:type="spellEnd"/>
      <w:r>
        <w:rPr>
          <w:iCs/>
          <w:sz w:val="20"/>
          <w:szCs w:val="20"/>
          <w:lang w:val="en-CA"/>
        </w:rPr>
        <w:t xml:space="preserve"> impact the Company’s funds flow from operations, and ability to raise capital. </w:t>
      </w:r>
    </w:p>
    <w:p w14:paraId="7EB38632" w14:textId="77777777" w:rsidR="00DB0A0E" w:rsidRDefault="00C87F2E">
      <w:pPr>
        <w:rPr>
          <w:iCs/>
          <w:sz w:val="20"/>
          <w:szCs w:val="20"/>
          <w:lang w:val="en-CA"/>
        </w:rPr>
      </w:pPr>
      <w:proofErr w:type="spellStart"/>
      <w:r>
        <w:rPr>
          <w:iCs/>
          <w:sz w:val="20"/>
          <w:szCs w:val="20"/>
          <w:lang w:val="en-CA"/>
        </w:rPr>
        <w:t>Boe</w:t>
      </w:r>
      <w:proofErr w:type="spellEnd"/>
      <w:r>
        <w:rPr>
          <w:iCs/>
          <w:sz w:val="20"/>
          <w:szCs w:val="20"/>
          <w:lang w:val="en-CA"/>
        </w:rPr>
        <w:t xml:space="preserve"> Conversion</w:t>
      </w:r>
    </w:p>
    <w:p w14:paraId="48303B6D" w14:textId="77777777" w:rsidR="00DB0A0E" w:rsidRDefault="00C87F2E">
      <w:pPr>
        <w:rPr>
          <w:iCs/>
          <w:sz w:val="20"/>
          <w:szCs w:val="20"/>
          <w:lang w:val="en-CA"/>
        </w:rPr>
      </w:pPr>
      <w:r>
        <w:rPr>
          <w:iCs/>
          <w:sz w:val="20"/>
          <w:szCs w:val="20"/>
          <w:lang w:val="en-CA"/>
        </w:rPr>
        <w:t xml:space="preserve">Within this document, petroleum and natural gas </w:t>
      </w:r>
      <w:r>
        <w:rPr>
          <w:iCs/>
          <w:sz w:val="20"/>
          <w:szCs w:val="20"/>
          <w:lang w:val="en-CA"/>
        </w:rPr>
        <w:t xml:space="preserve">volumes and reserves are converted to a common unit of </w:t>
      </w:r>
      <w:proofErr w:type="spellStart"/>
      <w:r>
        <w:rPr>
          <w:iCs/>
          <w:sz w:val="20"/>
          <w:szCs w:val="20"/>
          <w:lang w:val="en-CA"/>
        </w:rPr>
        <w:t>measure,referred</w:t>
      </w:r>
      <w:proofErr w:type="spellEnd"/>
      <w:r>
        <w:rPr>
          <w:iCs/>
          <w:sz w:val="20"/>
          <w:szCs w:val="20"/>
          <w:lang w:val="en-CA"/>
        </w:rPr>
        <w:t xml:space="preserve"> to as a barrel of oil equivalent (“</w:t>
      </w:r>
      <w:proofErr w:type="spellStart"/>
      <w:r>
        <w:rPr>
          <w:iCs/>
          <w:sz w:val="20"/>
          <w:szCs w:val="20"/>
          <w:lang w:val="en-CA"/>
        </w:rPr>
        <w:t>boe</w:t>
      </w:r>
      <w:proofErr w:type="spellEnd"/>
      <w:r>
        <w:rPr>
          <w:iCs/>
          <w:sz w:val="20"/>
          <w:szCs w:val="20"/>
          <w:lang w:val="en-CA"/>
        </w:rPr>
        <w:t xml:space="preserve">”), using a ratio of 6,000 cubic feet of natural gas to one barrel of oil. Use of the term </w:t>
      </w:r>
      <w:proofErr w:type="spellStart"/>
      <w:r>
        <w:rPr>
          <w:iCs/>
          <w:sz w:val="20"/>
          <w:szCs w:val="20"/>
          <w:lang w:val="en-CA"/>
        </w:rPr>
        <w:t>boe</w:t>
      </w:r>
      <w:proofErr w:type="spellEnd"/>
      <w:r>
        <w:rPr>
          <w:iCs/>
          <w:sz w:val="20"/>
          <w:szCs w:val="20"/>
          <w:lang w:val="en-CA"/>
        </w:rPr>
        <w:t xml:space="preserve"> may be misleading, particularly if used in isolatio</w:t>
      </w:r>
      <w:r>
        <w:rPr>
          <w:iCs/>
          <w:sz w:val="20"/>
          <w:szCs w:val="20"/>
          <w:lang w:val="en-CA"/>
        </w:rPr>
        <w:t>n. The conversion ratio is based on an energy equivalent method and does not necessarily represent a value equivalency at the wellhead.</w:t>
      </w:r>
    </w:p>
    <w:p w14:paraId="7D64A9D3" w14:textId="77777777" w:rsidR="00DB0A0E" w:rsidRDefault="00DB0A0E">
      <w:pPr>
        <w:rPr>
          <w:iCs/>
          <w:sz w:val="20"/>
          <w:szCs w:val="20"/>
        </w:rPr>
      </w:pPr>
    </w:p>
    <w:p w14:paraId="19D3ECB4" w14:textId="77777777" w:rsidR="00DB0A0E" w:rsidRDefault="00C87F2E">
      <w:pPr>
        <w:pStyle w:val="NormalWeb"/>
        <w:spacing w:before="0" w:beforeAutospacing="0" w:after="0" w:afterAutospacing="0"/>
        <w:rPr>
          <w:sz w:val="20"/>
          <w:szCs w:val="20"/>
        </w:rPr>
      </w:pPr>
      <w:r>
        <w:rPr>
          <w:sz w:val="20"/>
          <w:szCs w:val="20"/>
        </w:rPr>
        <w:t>Forward-Looking Statements</w:t>
      </w:r>
    </w:p>
    <w:p w14:paraId="722C8257" w14:textId="77777777" w:rsidR="00DB0A0E" w:rsidRDefault="00C87F2E">
      <w:pPr>
        <w:pStyle w:val="NormalWeb"/>
        <w:spacing w:before="0" w:beforeAutospacing="0" w:after="0" w:afterAutospacing="0"/>
        <w:jc w:val="center"/>
        <w:rPr>
          <w:sz w:val="20"/>
          <w:szCs w:val="20"/>
        </w:rPr>
      </w:pPr>
      <w:r>
        <w:rPr>
          <w:sz w:val="20"/>
          <w:szCs w:val="20"/>
        </w:rPr>
        <w:t> </w:t>
      </w:r>
    </w:p>
    <w:p w14:paraId="3091325A" w14:textId="77777777" w:rsidR="00DB0A0E" w:rsidRDefault="00C87F2E">
      <w:pPr>
        <w:pStyle w:val="NormalWeb"/>
        <w:spacing w:before="0" w:beforeAutospacing="0" w:after="0" w:afterAutospacing="0"/>
        <w:jc w:val="both"/>
        <w:rPr>
          <w:sz w:val="20"/>
          <w:szCs w:val="20"/>
        </w:rPr>
      </w:pPr>
      <w:r>
        <w:rPr>
          <w:sz w:val="20"/>
          <w:szCs w:val="20"/>
        </w:rPr>
        <w:t>Certain statements in this Annual Report constitute “forward-looking statements” within th</w:t>
      </w:r>
      <w:r>
        <w:rPr>
          <w:sz w:val="20"/>
          <w:szCs w:val="20"/>
        </w:rPr>
        <w:t>e meaning of applicable U.S. securities legislation. Additionally, forward-looking statements may be made orally or in press releases, conferences, reports, on our website or otherwise, in the future, by us or on our behalf. Such statements are generally i</w:t>
      </w:r>
      <w:r>
        <w:rPr>
          <w:sz w:val="20"/>
          <w:szCs w:val="20"/>
        </w:rPr>
        <w:t xml:space="preserve">dentifiable by the terminology used such as “plans,” “expects,” </w:t>
      </w:r>
      <w:r>
        <w:rPr>
          <w:sz w:val="20"/>
          <w:szCs w:val="20"/>
        </w:rPr>
        <w:lastRenderedPageBreak/>
        <w:t>“estimates,” “budgets,” “intends,” “anticipates,” “believes,” “projects,” “indicates,” “targets,” “objective,” “could,” “should,” “may” or other similar words.</w:t>
      </w:r>
    </w:p>
    <w:p w14:paraId="4D456C27" w14:textId="77777777" w:rsidR="00DB0A0E" w:rsidRDefault="00C87F2E">
      <w:pPr>
        <w:pStyle w:val="NormalWeb"/>
        <w:spacing w:before="0" w:beforeAutospacing="0" w:after="0" w:afterAutospacing="0"/>
        <w:jc w:val="both"/>
        <w:rPr>
          <w:sz w:val="20"/>
          <w:szCs w:val="20"/>
        </w:rPr>
      </w:pPr>
      <w:r>
        <w:rPr>
          <w:sz w:val="20"/>
          <w:szCs w:val="20"/>
        </w:rPr>
        <w:t> </w:t>
      </w:r>
    </w:p>
    <w:p w14:paraId="7B52FC9D" w14:textId="77777777" w:rsidR="00DB0A0E" w:rsidRDefault="00C87F2E">
      <w:pPr>
        <w:pStyle w:val="NormalWeb"/>
        <w:spacing w:before="0" w:beforeAutospacing="0" w:after="0" w:afterAutospacing="0"/>
        <w:jc w:val="both"/>
        <w:rPr>
          <w:sz w:val="20"/>
          <w:szCs w:val="20"/>
        </w:rPr>
      </w:pPr>
      <w:r>
        <w:rPr>
          <w:sz w:val="20"/>
          <w:szCs w:val="20"/>
        </w:rPr>
        <w:t>By their very nature, forward-</w:t>
      </w:r>
      <w:r>
        <w:rPr>
          <w:sz w:val="20"/>
          <w:szCs w:val="20"/>
        </w:rPr>
        <w:t xml:space="preserve">looking statements require us to make assumptions that may not materialize or that may not be accurate. Forward-looking statements are subject to known and unknown risks and uncertainties and other factors that may cause actual results, levels of activity </w:t>
      </w:r>
      <w:r>
        <w:rPr>
          <w:sz w:val="20"/>
          <w:szCs w:val="20"/>
        </w:rPr>
        <w:t>and achievements to differ materially from those expressed or implied by such statements, including the factors discussed under Item 1A. Risk Factors in this Annual Report on Form 10-K. Such factors include, but are not limited to, the following: fluctuati</w:t>
      </w:r>
      <w:r>
        <w:rPr>
          <w:sz w:val="20"/>
          <w:szCs w:val="20"/>
        </w:rPr>
        <w:t>ons in and volatility of the market prices for oil and natural gas products; the ability to produce and transport oil and natural gas; the results of exploration and development drilling and related activities; global economic conditions, particularly in t</w:t>
      </w:r>
      <w:r>
        <w:rPr>
          <w:sz w:val="20"/>
          <w:szCs w:val="20"/>
        </w:rPr>
        <w:t>he countries in which we carry on business, especially economic slowdowns; actions by governmental authorities including increases in taxes, legislative and regulatory initiatives related to fracture stimulation activities, changes in environmental and oth</w:t>
      </w:r>
      <w:r>
        <w:rPr>
          <w:sz w:val="20"/>
          <w:szCs w:val="20"/>
        </w:rPr>
        <w:t>er regulations, and renegotiations of contracts; political uncertainty, including actions by insurgent groups or other conflicts; the negotiation and closing of material contracts; future capital requirements and the availability of financing; estimates an</w:t>
      </w:r>
      <w:r>
        <w:rPr>
          <w:sz w:val="20"/>
          <w:szCs w:val="20"/>
        </w:rPr>
        <w:t>d economic assumptions used in connection with our acquisitions; risks associated with drilling, operating and decommissioning wells; actions of third-party co-owners of interests in properties in which we also own an interest; our ability to effectively i</w:t>
      </w:r>
      <w:r>
        <w:rPr>
          <w:sz w:val="20"/>
          <w:szCs w:val="20"/>
        </w:rPr>
        <w:t>ntegrate companies and properties that we acquire; our limited operating history; our history of operating losses; our lack of insurance coverage; and the other factors discussed in other documents that we file with or furnish to the U.S. Securities and Ex</w:t>
      </w:r>
      <w:r>
        <w:rPr>
          <w:sz w:val="20"/>
          <w:szCs w:val="20"/>
        </w:rPr>
        <w:t xml:space="preserve">change Commission (the “SEC” or the “Commission”). The impact of any one factor on a </w:t>
      </w:r>
      <w:proofErr w:type="gramStart"/>
      <w:r>
        <w:rPr>
          <w:sz w:val="20"/>
          <w:szCs w:val="20"/>
        </w:rPr>
        <w:t>particular forward-looking</w:t>
      </w:r>
      <w:proofErr w:type="gramEnd"/>
      <w:r>
        <w:rPr>
          <w:sz w:val="20"/>
          <w:szCs w:val="20"/>
        </w:rPr>
        <w:t xml:space="preserve"> statement is not determinable with certainty as such factors are interdependent upon other factors and our course of action would depend upon ou</w:t>
      </w:r>
      <w:r>
        <w:rPr>
          <w:sz w:val="20"/>
          <w:szCs w:val="20"/>
        </w:rPr>
        <w:t>r assessment of the future, considering all information then available. In that regard, any statements as to: future oil or natural gas production levels; capital expenditures; the allocation of capital expenditures to exploration and development activitie</w:t>
      </w:r>
      <w:r>
        <w:rPr>
          <w:sz w:val="20"/>
          <w:szCs w:val="20"/>
        </w:rPr>
        <w:t>s; sources of funding for our capital expenditure programs; drilling of new wells; demand for oil and natural gas products; expenditures and allowances relating to environmental matters; dates by which certain areas will be developed or will come on-stream</w:t>
      </w:r>
      <w:r>
        <w:rPr>
          <w:sz w:val="20"/>
          <w:szCs w:val="20"/>
        </w:rPr>
        <w:t xml:space="preserve">; expected finding and development costs; future production rates; ultimate recoverability of reserves, including the ability to convert probable and possible reserves </w:t>
      </w:r>
      <w:proofErr w:type="spellStart"/>
      <w:r>
        <w:rPr>
          <w:sz w:val="20"/>
          <w:szCs w:val="20"/>
        </w:rPr>
        <w:t>to proved</w:t>
      </w:r>
      <w:proofErr w:type="spellEnd"/>
      <w:r>
        <w:rPr>
          <w:sz w:val="20"/>
          <w:szCs w:val="20"/>
        </w:rPr>
        <w:t xml:space="preserve"> reserves; dates by which transactions are expected to close; future cash flows</w:t>
      </w:r>
      <w:r>
        <w:rPr>
          <w:sz w:val="20"/>
          <w:szCs w:val="20"/>
        </w:rPr>
        <w:t>, uses of cash flows, collectability of receivables and availability of trade credit; expected operating costs; changes in any of the foregoing and other statements using forward-looking terminology are forward-looking statements, and there can be no assur</w:t>
      </w:r>
      <w:r>
        <w:rPr>
          <w:sz w:val="20"/>
          <w:szCs w:val="20"/>
        </w:rPr>
        <w:t>ance that the expectations conveyed by such forward-looking statements will, in fact, be realized.</w:t>
      </w:r>
    </w:p>
    <w:p w14:paraId="39B21B2E" w14:textId="77777777" w:rsidR="00DB0A0E" w:rsidRDefault="00C87F2E">
      <w:pPr>
        <w:pStyle w:val="NormalWeb"/>
        <w:spacing w:before="0" w:beforeAutospacing="0" w:after="0" w:afterAutospacing="0"/>
        <w:jc w:val="both"/>
        <w:rPr>
          <w:sz w:val="20"/>
          <w:szCs w:val="20"/>
        </w:rPr>
      </w:pPr>
      <w:r>
        <w:rPr>
          <w:sz w:val="20"/>
          <w:szCs w:val="20"/>
        </w:rPr>
        <w:t> </w:t>
      </w:r>
    </w:p>
    <w:p w14:paraId="00C98F34" w14:textId="77777777" w:rsidR="00DB0A0E" w:rsidRDefault="00C87F2E">
      <w:pPr>
        <w:pStyle w:val="NormalWeb"/>
        <w:spacing w:before="0" w:beforeAutospacing="0" w:after="0" w:afterAutospacing="0"/>
        <w:jc w:val="both"/>
        <w:rPr>
          <w:sz w:val="20"/>
          <w:szCs w:val="20"/>
        </w:rPr>
      </w:pPr>
      <w:r>
        <w:rPr>
          <w:sz w:val="20"/>
          <w:szCs w:val="20"/>
        </w:rPr>
        <w:t>Although we believe that the expectations conveyed by the forward-looking statements are reasonable based on information available to us on the date such f</w:t>
      </w:r>
      <w:r>
        <w:rPr>
          <w:sz w:val="20"/>
          <w:szCs w:val="20"/>
        </w:rPr>
        <w:t>orward-looking statements were made, no assurances can be given as to future results, levels of activity, achievements or financial condition.</w:t>
      </w:r>
    </w:p>
    <w:p w14:paraId="4F87690C" w14:textId="77777777" w:rsidR="00DB0A0E" w:rsidRDefault="00C87F2E">
      <w:pPr>
        <w:pStyle w:val="NormalWeb"/>
        <w:spacing w:before="0" w:beforeAutospacing="0" w:after="0" w:afterAutospacing="0"/>
        <w:jc w:val="both"/>
        <w:rPr>
          <w:sz w:val="20"/>
          <w:szCs w:val="20"/>
        </w:rPr>
      </w:pPr>
      <w:r>
        <w:rPr>
          <w:sz w:val="20"/>
          <w:szCs w:val="20"/>
        </w:rPr>
        <w:t> </w:t>
      </w:r>
    </w:p>
    <w:p w14:paraId="18D5E32E" w14:textId="77777777" w:rsidR="00DB0A0E" w:rsidRDefault="00C87F2E">
      <w:pPr>
        <w:pStyle w:val="NormalWeb"/>
        <w:spacing w:before="0" w:beforeAutospacing="0" w:after="0" w:afterAutospacing="0"/>
        <w:jc w:val="both"/>
        <w:rPr>
          <w:sz w:val="20"/>
          <w:szCs w:val="20"/>
        </w:rPr>
      </w:pPr>
      <w:r>
        <w:rPr>
          <w:sz w:val="20"/>
          <w:szCs w:val="20"/>
        </w:rPr>
        <w:t xml:space="preserve">Readers should not place undue reliance on any forward-looking statement and should recognize that the </w:t>
      </w:r>
      <w:r>
        <w:rPr>
          <w:sz w:val="20"/>
          <w:szCs w:val="20"/>
        </w:rPr>
        <w:t xml:space="preserve">statements are predictions of future results that may not occur as anticipated. Actual results could differ materially from those anticipated in the forward-looking statements and from historical results due to the risks and uncertainties described above, </w:t>
      </w:r>
      <w:r>
        <w:rPr>
          <w:sz w:val="20"/>
          <w:szCs w:val="20"/>
        </w:rPr>
        <w:t>as well as others not now anticipated. The foregoing statements are not exclusive and further information concerning us, including factors that potentially could materially affect our financial results, may emerge from time to time. We do not intend to upd</w:t>
      </w:r>
      <w:r>
        <w:rPr>
          <w:sz w:val="20"/>
          <w:szCs w:val="20"/>
        </w:rPr>
        <w:t>ate forward-looking statements to reflect actual results or changes in factors or assumptions affecting such forward-looking statements.</w:t>
      </w:r>
    </w:p>
    <w:p w14:paraId="60791747" w14:textId="77777777" w:rsidR="00DB0A0E" w:rsidRDefault="00C87F2E">
      <w:pPr>
        <w:pStyle w:val="NormalWeb"/>
        <w:spacing w:before="0" w:beforeAutospacing="0" w:after="0" w:afterAutospacing="0"/>
        <w:jc w:val="both"/>
        <w:rPr>
          <w:sz w:val="20"/>
          <w:szCs w:val="20"/>
        </w:rPr>
      </w:pPr>
      <w:r>
        <w:rPr>
          <w:sz w:val="20"/>
          <w:szCs w:val="20"/>
        </w:rPr>
        <w:t> </w:t>
      </w:r>
    </w:p>
    <w:p w14:paraId="207EE825" w14:textId="77777777" w:rsidR="00DB0A0E" w:rsidRDefault="00C87F2E">
      <w:pPr>
        <w:rPr>
          <w:b/>
          <w:bCs/>
          <w:iCs/>
          <w:sz w:val="20"/>
          <w:szCs w:val="20"/>
          <w:lang w:val="en-CA"/>
        </w:rPr>
      </w:pPr>
      <w:r>
        <w:rPr>
          <w:b/>
          <w:bCs/>
          <w:iCs/>
          <w:sz w:val="20"/>
          <w:szCs w:val="20"/>
          <w:lang w:val="en-CA"/>
        </w:rPr>
        <w:t>Reserve Advisories</w:t>
      </w:r>
    </w:p>
    <w:p w14:paraId="3F9C95C1" w14:textId="77777777" w:rsidR="00DB0A0E" w:rsidRDefault="00DB0A0E">
      <w:pPr>
        <w:rPr>
          <w:b/>
          <w:bCs/>
          <w:iCs/>
          <w:sz w:val="20"/>
          <w:szCs w:val="20"/>
          <w:lang w:val="en-CA"/>
        </w:rPr>
      </w:pPr>
    </w:p>
    <w:p w14:paraId="7529DD6F" w14:textId="77777777" w:rsidR="00DB0A0E" w:rsidRDefault="00C87F2E" w:rsidP="00B93AF9">
      <w:pPr>
        <w:jc w:val="both"/>
        <w:rPr>
          <w:iCs/>
          <w:sz w:val="20"/>
          <w:szCs w:val="20"/>
          <w:lang w:val="en-CA"/>
        </w:rPr>
      </w:pPr>
      <w:r>
        <w:rPr>
          <w:iCs/>
          <w:sz w:val="20"/>
          <w:szCs w:val="20"/>
          <w:lang w:val="en-CA"/>
        </w:rPr>
        <w:t>It should not be assumed that the net present value of the estimate net revenues of the reserve p</w:t>
      </w:r>
      <w:r>
        <w:rPr>
          <w:iCs/>
          <w:sz w:val="20"/>
          <w:szCs w:val="20"/>
          <w:lang w:val="en-CA"/>
        </w:rPr>
        <w:t>resented in herein represent the fair market value of the reserves. There is no assurance that the forecast prices and costs assumptions upon which such estimates are made will be attained and variances could be material. The reserve estimates of Trillions</w:t>
      </w:r>
      <w:r>
        <w:rPr>
          <w:iCs/>
          <w:sz w:val="20"/>
          <w:szCs w:val="20"/>
          <w:lang w:val="en-CA"/>
        </w:rPr>
        <w:t xml:space="preserve"> crude oil, natural gas reserves and any estimated recovery </w:t>
      </w:r>
      <w:r>
        <w:rPr>
          <w:iCs/>
          <w:sz w:val="20"/>
          <w:szCs w:val="20"/>
          <w:lang w:val="en-CA"/>
        </w:rPr>
        <w:lastRenderedPageBreak/>
        <w:t>factors provided herein are estimates only and there is no guarantee that the estimated reserves will be recovered. Actual crude oil, natural gas and natural gas liquids reserves may be greater th</w:t>
      </w:r>
      <w:r>
        <w:rPr>
          <w:iCs/>
          <w:sz w:val="20"/>
          <w:szCs w:val="20"/>
          <w:lang w:val="en-CA"/>
        </w:rPr>
        <w:t>an or less than the estimates provided herein.</w:t>
      </w:r>
    </w:p>
    <w:p w14:paraId="6220E0BC" w14:textId="77777777" w:rsidR="00DB0A0E" w:rsidRDefault="00DB0A0E">
      <w:pPr>
        <w:rPr>
          <w:iCs/>
          <w:sz w:val="20"/>
          <w:szCs w:val="20"/>
          <w:lang w:val="en-CA"/>
        </w:rPr>
      </w:pPr>
    </w:p>
    <w:p w14:paraId="225A7E6A" w14:textId="77777777" w:rsidR="00DB0A0E" w:rsidRDefault="00DB0A0E">
      <w:pPr>
        <w:rPr>
          <w:iCs/>
          <w:sz w:val="20"/>
          <w:szCs w:val="20"/>
          <w:lang w:val="en-CA"/>
        </w:rPr>
      </w:pPr>
    </w:p>
    <w:sectPr w:rsidR="00DB0A0E">
      <w:headerReference w:type="default" r:id="rId11"/>
      <w:footerReference w:type="default" r:id="rId12"/>
      <w:pgSz w:w="11906" w:h="16838"/>
      <w:pgMar w:top="1440" w:right="1800" w:bottom="1440" w:left="180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4E9A4" w14:textId="77777777" w:rsidR="00C87F2E" w:rsidRDefault="00C87F2E">
      <w:pPr>
        <w:spacing w:after="0" w:line="240" w:lineRule="auto"/>
      </w:pPr>
      <w:r>
        <w:separator/>
      </w:r>
    </w:p>
  </w:endnote>
  <w:endnote w:type="continuationSeparator" w:id="0">
    <w:p w14:paraId="41E9A0AA" w14:textId="77777777" w:rsidR="00C87F2E" w:rsidRDefault="00C8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64F7" w14:textId="77777777" w:rsidR="00DB0A0E" w:rsidRDefault="00C87F2E">
    <w:pPr>
      <w:pStyle w:val="Footer"/>
    </w:pPr>
    <w:r>
      <w:rPr>
        <w:noProof/>
      </w:rPr>
      <mc:AlternateContent>
        <mc:Choice Requires="wps">
          <w:drawing>
            <wp:anchor distT="0" distB="0" distL="114300" distR="114300" simplePos="0" relativeHeight="251658240" behindDoc="0" locked="0" layoutInCell="1" allowOverlap="1" wp14:anchorId="40FAB350" wp14:editId="6CBDE997">
              <wp:simplePos x="0" y="0"/>
              <wp:positionH relativeFrom="margin">
                <wp:align>outside</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B7246A" w14:textId="77777777" w:rsidR="00DB0A0E" w:rsidRDefault="00C87F2E">
                          <w:pPr>
                            <w:pStyle w:val="Footer"/>
                            <w:rPr>
                              <w:lang w:val="en-CA"/>
                            </w:rPr>
                          </w:pPr>
                          <w:r>
                            <w:rPr>
                              <w:lang w:val="en-CA"/>
                            </w:rPr>
                            <w:fldChar w:fldCharType="begin"/>
                          </w:r>
                          <w:r>
                            <w:rPr>
                              <w:lang w:val="en-CA"/>
                            </w:rPr>
                            <w:instrText xml:space="preserve"> PAGE  \* MERGEFORMAT </w:instrText>
                          </w:r>
                          <w:r>
                            <w:rPr>
                              <w:lang w:val="en-CA"/>
                            </w:rPr>
                            <w:fldChar w:fldCharType="separate"/>
                          </w:r>
                          <w:r>
                            <w:rPr>
                              <w:lang w:val="en-CA"/>
                            </w:rPr>
                            <w:t>1</w:t>
                          </w:r>
                          <w:r>
                            <w:rPr>
                              <w:lang w:val="en-C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0FAB350" id="_x0000_t202" coordsize="21600,21600" o:spt="202" path="m,l,21600r21600,l21600,xe">
              <v:stroke joinstyle="miter"/>
              <v:path gradientshapeok="t" o:connecttype="rect"/>
            </v:shapetype>
            <v:shape id="Text Box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14:paraId="4CB7246A" w14:textId="77777777" w:rsidR="00DB0A0E" w:rsidRDefault="00C87F2E">
                    <w:pPr>
                      <w:pStyle w:val="Footer"/>
                      <w:rPr>
                        <w:lang w:val="en-CA"/>
                      </w:rPr>
                    </w:pPr>
                    <w:r>
                      <w:rPr>
                        <w:lang w:val="en-CA"/>
                      </w:rPr>
                      <w:fldChar w:fldCharType="begin"/>
                    </w:r>
                    <w:r>
                      <w:rPr>
                        <w:lang w:val="en-CA"/>
                      </w:rPr>
                      <w:instrText xml:space="preserve"> PAGE  \* MERGEFORMAT </w:instrText>
                    </w:r>
                    <w:r>
                      <w:rPr>
                        <w:lang w:val="en-CA"/>
                      </w:rPr>
                      <w:fldChar w:fldCharType="separate"/>
                    </w:r>
                    <w:r>
                      <w:rPr>
                        <w:lang w:val="en-CA"/>
                      </w:rPr>
                      <w:t>1</w:t>
                    </w:r>
                    <w:r>
                      <w:rPr>
                        <w:lang w:val="en-C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60A12" w14:textId="77777777" w:rsidR="00C87F2E" w:rsidRDefault="00C87F2E">
      <w:pPr>
        <w:spacing w:after="0" w:line="240" w:lineRule="auto"/>
      </w:pPr>
      <w:r>
        <w:separator/>
      </w:r>
    </w:p>
  </w:footnote>
  <w:footnote w:type="continuationSeparator" w:id="0">
    <w:p w14:paraId="10E31B42" w14:textId="77777777" w:rsidR="00C87F2E" w:rsidRDefault="00C87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187C6" w14:textId="77777777" w:rsidR="00DB0A0E" w:rsidRDefault="00C87F2E">
    <w:pPr>
      <w:pStyle w:val="Header"/>
      <w:jc w:val="center"/>
      <w:rPr>
        <w:sz w:val="24"/>
        <w:szCs w:val="24"/>
        <w:lang w:val="en-CA"/>
      </w:rPr>
    </w:pPr>
    <w:r>
      <w:rPr>
        <w:sz w:val="24"/>
        <w:szCs w:val="24"/>
        <w:lang w:val="en-CA"/>
      </w:rPr>
      <w:t>Trillion Energy International Inc.  2019 Management’s Discussion and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E2"/>
    <w:rsid w:val="00086CB1"/>
    <w:rsid w:val="001801C4"/>
    <w:rsid w:val="002211E2"/>
    <w:rsid w:val="002B497A"/>
    <w:rsid w:val="0041002D"/>
    <w:rsid w:val="009F7CE9"/>
    <w:rsid w:val="00AE3951"/>
    <w:rsid w:val="00AF04A5"/>
    <w:rsid w:val="00B93AF9"/>
    <w:rsid w:val="00BE724D"/>
    <w:rsid w:val="00C67EF5"/>
    <w:rsid w:val="00C87F2E"/>
    <w:rsid w:val="00D829DA"/>
    <w:rsid w:val="00DB0A0E"/>
    <w:rsid w:val="00FF4A77"/>
    <w:rsid w:val="03CE0A50"/>
    <w:rsid w:val="04A561B6"/>
    <w:rsid w:val="0C28361C"/>
    <w:rsid w:val="0DA658D5"/>
    <w:rsid w:val="17E80462"/>
    <w:rsid w:val="18605E6E"/>
    <w:rsid w:val="2E224438"/>
    <w:rsid w:val="337A7633"/>
    <w:rsid w:val="35B4047B"/>
    <w:rsid w:val="394831A0"/>
    <w:rsid w:val="3BA02121"/>
    <w:rsid w:val="411A4D8D"/>
    <w:rsid w:val="48C16D38"/>
    <w:rsid w:val="49CD5C0A"/>
    <w:rsid w:val="4D25317D"/>
    <w:rsid w:val="523B4620"/>
    <w:rsid w:val="538A21C9"/>
    <w:rsid w:val="58921436"/>
    <w:rsid w:val="593D055F"/>
    <w:rsid w:val="5A437918"/>
    <w:rsid w:val="5F5F4BE8"/>
    <w:rsid w:val="60C925B5"/>
    <w:rsid w:val="6814247A"/>
    <w:rsid w:val="6EB57D67"/>
    <w:rsid w:val="763E4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36DAC"/>
  <w15:docId w15:val="{404478CA-E842-4996-88EF-F9E16B51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line="240" w:lineRule="auto"/>
    </w:pPr>
    <w:rPr>
      <w:rFonts w:ascii="Segoe UI" w:hAnsi="Segoe UI" w:cs="Segoe UI"/>
      <w:sz w:val="18"/>
      <w:szCs w:val="18"/>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pPr>
      <w:spacing w:line="240" w:lineRule="auto"/>
    </w:pPr>
    <w:rPr>
      <w:b/>
      <w:bCs/>
      <w:sz w:val="20"/>
      <w:szCs w:val="20"/>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basedOn w:val="Normal"/>
    <w:uiPriority w:val="99"/>
    <w:unhideWhenUsed/>
    <w:qFormat/>
    <w:pPr>
      <w:spacing w:before="100" w:beforeAutospacing="1" w:after="100" w:afterAutospacing="1"/>
    </w:pPr>
  </w:style>
  <w:style w:type="character" w:styleId="CommentReference">
    <w:name w:val="annotation reference"/>
    <w:basedOn w:val="DefaultParagraphFont"/>
    <w:qFormat/>
    <w:rPr>
      <w:sz w:val="16"/>
      <w:szCs w:val="16"/>
    </w:rPr>
  </w:style>
  <w:style w:type="character" w:styleId="Hyperlink">
    <w:name w:val="Hyperlink"/>
    <w:basedOn w:val="DefaultParagraphFont"/>
    <w:qFormat/>
    <w:rPr>
      <w:color w:val="0000FF"/>
      <w:u w:val="single"/>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Pr>
      <w:rFonts w:ascii="Segoe UI" w:eastAsiaTheme="minorEastAsia" w:hAnsi="Segoe UI" w:cs="Segoe UI"/>
      <w:sz w:val="18"/>
      <w:szCs w:val="18"/>
    </w:rPr>
  </w:style>
  <w:style w:type="character" w:customStyle="1" w:styleId="CommentTextChar">
    <w:name w:val="Comment Text Char"/>
    <w:basedOn w:val="DefaultParagraphFont"/>
    <w:link w:val="CommentText"/>
    <w:rPr>
      <w:rFonts w:eastAsiaTheme="minorEastAsia"/>
      <w:sz w:val="24"/>
      <w:szCs w:val="24"/>
    </w:rPr>
  </w:style>
  <w:style w:type="character" w:customStyle="1" w:styleId="CommentSubjectChar">
    <w:name w:val="Comment Subject Char"/>
    <w:basedOn w:val="CommentTextChar"/>
    <w:link w:val="CommentSubject"/>
    <w:qFormat/>
    <w:rPr>
      <w:rFonts w:eastAsiaTheme="minorEastAs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rillionenerg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dar." TargetMode="External"/><Relationship Id="rId4" Type="http://schemas.openxmlformats.org/officeDocument/2006/relationships/webSettings" Target="webSettings.xml"/><Relationship Id="rId9" Type="http://schemas.openxmlformats.org/officeDocument/2006/relationships/hyperlink" Target="http://www.trillioneneergy.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5257</Words>
  <Characters>29966</Characters>
  <Application>Microsoft Office Word</Application>
  <DocSecurity>0</DocSecurity>
  <Lines>249</Lines>
  <Paragraphs>70</Paragraphs>
  <ScaleCrop>false</ScaleCrop>
  <Company/>
  <LinksUpToDate>false</LinksUpToDate>
  <CharactersWithSpaces>35153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Info Trillion Energy</cp:lastModifiedBy>
  <cp:revision>2</cp:revision>
  <dcterms:created xsi:type="dcterms:W3CDTF">2020-05-14T00:00:00Z</dcterms:created>
  <dcterms:modified xsi:type="dcterms:W3CDTF">2020-05-14T00:00:00Z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