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8A9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8B8AF88" w14:textId="33E37AD3"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3D2A65">
        <w:rPr>
          <w:rFonts w:ascii="Arial" w:hAnsi="Arial"/>
          <w:b/>
          <w:bCs/>
          <w:color w:val="000000"/>
          <w:u w:val="single"/>
        </w:rPr>
        <w:t>TransCanna Holdings Inc.</w:t>
      </w:r>
      <w:r>
        <w:rPr>
          <w:rFonts w:ascii="Arial" w:hAnsi="Arial"/>
          <w:color w:val="000000"/>
          <w:u w:val="single"/>
        </w:rPr>
        <w:tab/>
      </w:r>
      <w:r>
        <w:rPr>
          <w:rFonts w:ascii="Arial" w:hAnsi="Arial"/>
          <w:color w:val="000000"/>
          <w:u w:val="single"/>
        </w:rPr>
        <w:tab/>
      </w:r>
      <w:r>
        <w:rPr>
          <w:rFonts w:ascii="Arial" w:hAnsi="Arial"/>
          <w:color w:val="000000"/>
        </w:rPr>
        <w:t>(the “Issuer”).</w:t>
      </w:r>
    </w:p>
    <w:p w14:paraId="4032CFF8" w14:textId="39C18D5A"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D2A65" w:rsidRPr="003D2A65">
        <w:rPr>
          <w:rFonts w:ascii="Arial" w:hAnsi="Arial"/>
          <w:b/>
          <w:bCs/>
          <w:color w:val="000000"/>
        </w:rPr>
        <w:t>TCAN</w:t>
      </w:r>
      <w:r>
        <w:rPr>
          <w:rFonts w:ascii="Arial" w:hAnsi="Arial"/>
          <w:color w:val="000000"/>
          <w:u w:val="single"/>
        </w:rPr>
        <w:tab/>
      </w:r>
      <w:r>
        <w:rPr>
          <w:rFonts w:ascii="Arial" w:hAnsi="Arial"/>
          <w:color w:val="000000"/>
          <w:u w:val="single"/>
        </w:rPr>
        <w:tab/>
      </w:r>
    </w:p>
    <w:p w14:paraId="78613595" w14:textId="0A19AAB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D2A65">
        <w:rPr>
          <w:rFonts w:ascii="Arial" w:hAnsi="Arial"/>
          <w:color w:val="000000"/>
        </w:rPr>
        <w:t>34,111,036</w:t>
      </w:r>
      <w:r>
        <w:rPr>
          <w:rFonts w:ascii="Arial" w:hAnsi="Arial"/>
          <w:color w:val="000000"/>
          <w:u w:val="single"/>
        </w:rPr>
        <w:tab/>
      </w:r>
      <w:r>
        <w:rPr>
          <w:rFonts w:ascii="Arial" w:hAnsi="Arial"/>
          <w:color w:val="000000"/>
          <w:u w:val="single"/>
        </w:rPr>
        <w:tab/>
      </w:r>
    </w:p>
    <w:p w14:paraId="445182D3" w14:textId="6B6CE26C"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2C4E89">
        <w:rPr>
          <w:rFonts w:ascii="Arial" w:hAnsi="Arial"/>
          <w:color w:val="000000"/>
        </w:rPr>
        <w:t>October 31</w:t>
      </w:r>
      <w:r w:rsidR="0055263D">
        <w:rPr>
          <w:rFonts w:ascii="Arial" w:hAnsi="Arial"/>
          <w:color w:val="000000"/>
        </w:rPr>
        <w:t>,</w:t>
      </w:r>
      <w:r w:rsidR="003D2A65">
        <w:rPr>
          <w:rFonts w:ascii="Arial" w:hAnsi="Arial"/>
          <w:color w:val="000000"/>
        </w:rPr>
        <w:t xml:space="preserve"> 2019</w:t>
      </w:r>
      <w:r>
        <w:rPr>
          <w:rFonts w:ascii="Arial" w:hAnsi="Arial"/>
          <w:color w:val="000000"/>
          <w:u w:val="single"/>
        </w:rPr>
        <w:tab/>
      </w:r>
      <w:r>
        <w:rPr>
          <w:rFonts w:ascii="Arial" w:hAnsi="Arial"/>
          <w:color w:val="000000"/>
          <w:u w:val="single"/>
        </w:rPr>
        <w:tab/>
      </w:r>
    </w:p>
    <w:p w14:paraId="0614AF8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29D629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ADD2C2D"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1F49FF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0A912C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143476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D16D05E" w14:textId="77777777" w:rsidR="00640E94" w:rsidRDefault="00640E94">
      <w:pPr>
        <w:pStyle w:val="List"/>
        <w:keepLines/>
        <w:spacing w:before="120"/>
        <w:ind w:left="0" w:firstLine="0"/>
        <w:rPr>
          <w:rFonts w:ascii="Arial" w:hAnsi="Arial"/>
          <w:b/>
        </w:rPr>
      </w:pPr>
      <w:r>
        <w:rPr>
          <w:rFonts w:ascii="Arial" w:hAnsi="Arial"/>
          <w:b/>
        </w:rPr>
        <w:t>Report on Business</w:t>
      </w:r>
    </w:p>
    <w:p w14:paraId="6F44AED1" w14:textId="57C87FD4"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B9CF37C" w14:textId="433702ED" w:rsidR="00E57076" w:rsidRDefault="003D2A65" w:rsidP="00E57076">
      <w:pPr>
        <w:pStyle w:val="List"/>
        <w:spacing w:before="120"/>
        <w:ind w:left="720" w:firstLine="0"/>
        <w:jc w:val="both"/>
        <w:rPr>
          <w:rFonts w:ascii="Arial" w:hAnsi="Arial"/>
          <w:b/>
          <w:bCs/>
          <w:lang w:val="en-US"/>
        </w:rPr>
      </w:pPr>
      <w:r w:rsidRPr="003D2A65">
        <w:rPr>
          <w:rFonts w:ascii="Arial" w:hAnsi="Arial"/>
          <w:b/>
          <w:bCs/>
        </w:rPr>
        <w:t>During the month</w:t>
      </w:r>
      <w:r w:rsidR="00E57076">
        <w:rPr>
          <w:rFonts w:ascii="Arial" w:hAnsi="Arial"/>
          <w:b/>
          <w:bCs/>
        </w:rPr>
        <w:t xml:space="preserve"> of</w:t>
      </w:r>
      <w:r w:rsidR="00E57076" w:rsidRPr="00E57076">
        <w:rPr>
          <w:rFonts w:ascii="Arial" w:hAnsi="Arial"/>
          <w:b/>
          <w:bCs/>
          <w:lang w:val="en-US"/>
        </w:rPr>
        <w:t xml:space="preserve"> October, the Company built out its</w:t>
      </w:r>
      <w:r w:rsidR="00E57076">
        <w:rPr>
          <w:rFonts w:ascii="Arial" w:hAnsi="Arial"/>
          <w:b/>
          <w:bCs/>
          <w:lang w:val="en-US"/>
        </w:rPr>
        <w:t xml:space="preserve"> </w:t>
      </w:r>
      <w:r w:rsidR="00E57076" w:rsidRPr="00E57076">
        <w:rPr>
          <w:rFonts w:ascii="Arial" w:hAnsi="Arial"/>
          <w:b/>
          <w:bCs/>
          <w:lang w:val="en-US"/>
        </w:rPr>
        <w:t xml:space="preserve">infrastructure by doubling the production capacity for </w:t>
      </w:r>
      <w:proofErr w:type="spellStart"/>
      <w:r w:rsidR="00E57076" w:rsidRPr="00E57076">
        <w:rPr>
          <w:rFonts w:ascii="Arial" w:hAnsi="Arial"/>
          <w:b/>
          <w:bCs/>
          <w:lang w:val="en-US"/>
        </w:rPr>
        <w:t>SolDaze</w:t>
      </w:r>
      <w:proofErr w:type="spellEnd"/>
      <w:r w:rsidR="00E57076" w:rsidRPr="00E57076">
        <w:rPr>
          <w:rFonts w:ascii="Arial" w:hAnsi="Arial"/>
          <w:b/>
          <w:bCs/>
          <w:lang w:val="en-US"/>
        </w:rPr>
        <w:t xml:space="preserve"> </w:t>
      </w:r>
      <w:proofErr w:type="gramStart"/>
      <w:r w:rsidR="00E57076" w:rsidRPr="00E57076">
        <w:rPr>
          <w:rFonts w:ascii="Arial" w:hAnsi="Arial"/>
          <w:b/>
          <w:bCs/>
          <w:lang w:val="en-US"/>
        </w:rPr>
        <w:t xml:space="preserve">and  </w:t>
      </w:r>
      <w:proofErr w:type="spellStart"/>
      <w:r w:rsidR="00E57076" w:rsidRPr="00E57076">
        <w:rPr>
          <w:rFonts w:ascii="Arial" w:hAnsi="Arial"/>
          <w:b/>
          <w:bCs/>
          <w:lang w:val="en-US"/>
        </w:rPr>
        <w:t>Lyfted</w:t>
      </w:r>
      <w:proofErr w:type="spellEnd"/>
      <w:proofErr w:type="gramEnd"/>
      <w:r w:rsidR="00E57076" w:rsidRPr="00E57076">
        <w:rPr>
          <w:rFonts w:ascii="Arial" w:hAnsi="Arial"/>
          <w:b/>
          <w:bCs/>
          <w:lang w:val="en-US"/>
        </w:rPr>
        <w:t xml:space="preserve"> Farms business units.  The first monthly revenue numbers for October exceeded CAD $250,000 and the company will continue to scale the production and revenues in the </w:t>
      </w:r>
      <w:proofErr w:type="spellStart"/>
      <w:r w:rsidR="00E57076" w:rsidRPr="00E57076">
        <w:rPr>
          <w:rFonts w:ascii="Arial" w:hAnsi="Arial"/>
          <w:b/>
          <w:bCs/>
          <w:lang w:val="en-US"/>
        </w:rPr>
        <w:t>comimg</w:t>
      </w:r>
      <w:proofErr w:type="spellEnd"/>
      <w:r w:rsidR="00E57076" w:rsidRPr="00E57076">
        <w:rPr>
          <w:rFonts w:ascii="Arial" w:hAnsi="Arial"/>
          <w:b/>
          <w:bCs/>
          <w:lang w:val="en-US"/>
        </w:rPr>
        <w:t xml:space="preserve"> months.</w:t>
      </w:r>
    </w:p>
    <w:p w14:paraId="3017D37E" w14:textId="450B7557" w:rsidR="00E57076" w:rsidRPr="00E57076" w:rsidRDefault="00E57076" w:rsidP="00E57076">
      <w:pPr>
        <w:pStyle w:val="List"/>
        <w:spacing w:before="120"/>
        <w:ind w:left="720" w:firstLine="0"/>
        <w:jc w:val="both"/>
        <w:rPr>
          <w:rFonts w:ascii="Arial" w:hAnsi="Arial"/>
          <w:b/>
          <w:bCs/>
        </w:rPr>
      </w:pPr>
    </w:p>
    <w:p w14:paraId="38F36DC1" w14:textId="63A1746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43FB7F8A" w14:textId="221EDCF5" w:rsidR="00E57076" w:rsidRDefault="00E57076" w:rsidP="00E57076">
      <w:pPr>
        <w:pStyle w:val="List"/>
        <w:spacing w:before="120"/>
        <w:ind w:left="720" w:firstLine="0"/>
        <w:jc w:val="both"/>
        <w:rPr>
          <w:rFonts w:ascii="Arial" w:hAnsi="Arial"/>
          <w:b/>
          <w:bCs/>
          <w:lang w:val="en-US"/>
        </w:rPr>
      </w:pPr>
      <w:r w:rsidRPr="00E57076">
        <w:rPr>
          <w:rFonts w:ascii="Arial" w:hAnsi="Arial"/>
          <w:b/>
          <w:bCs/>
          <w:lang w:val="en-US"/>
        </w:rPr>
        <w:t xml:space="preserve">Of the revenue generated in October, 90% came from recurring revenue streams. For the last week of October revenues from the </w:t>
      </w:r>
      <w:proofErr w:type="spellStart"/>
      <w:r w:rsidRPr="00E57076">
        <w:rPr>
          <w:rFonts w:ascii="Arial" w:hAnsi="Arial"/>
          <w:b/>
          <w:bCs/>
          <w:lang w:val="en-US"/>
        </w:rPr>
        <w:t>SolDaze</w:t>
      </w:r>
      <w:proofErr w:type="spellEnd"/>
      <w:r w:rsidRPr="00E57076">
        <w:rPr>
          <w:rFonts w:ascii="Arial" w:hAnsi="Arial"/>
          <w:b/>
          <w:bCs/>
          <w:lang w:val="en-US"/>
        </w:rPr>
        <w:t xml:space="preserve"> edibles brands hit CAD $65,000 and the </w:t>
      </w:r>
      <w:proofErr w:type="gramStart"/>
      <w:r w:rsidRPr="00E57076">
        <w:rPr>
          <w:rFonts w:ascii="Arial" w:hAnsi="Arial"/>
          <w:b/>
          <w:bCs/>
          <w:lang w:val="en-US"/>
        </w:rPr>
        <w:t>company  anticipates</w:t>
      </w:r>
      <w:proofErr w:type="gramEnd"/>
      <w:r w:rsidRPr="00E57076">
        <w:rPr>
          <w:rFonts w:ascii="Arial" w:hAnsi="Arial"/>
          <w:b/>
          <w:bCs/>
          <w:lang w:val="en-US"/>
        </w:rPr>
        <w:t xml:space="preserve"> that weekly revenue amount to continue.  As the build out of </w:t>
      </w:r>
      <w:proofErr w:type="spellStart"/>
      <w:r w:rsidRPr="00E57076">
        <w:rPr>
          <w:rFonts w:ascii="Arial" w:hAnsi="Arial"/>
          <w:b/>
          <w:bCs/>
          <w:lang w:val="en-US"/>
        </w:rPr>
        <w:t>Lyfted</w:t>
      </w:r>
      <w:proofErr w:type="spellEnd"/>
      <w:r w:rsidRPr="00E57076">
        <w:rPr>
          <w:rFonts w:ascii="Arial" w:hAnsi="Arial"/>
          <w:b/>
          <w:bCs/>
          <w:lang w:val="en-US"/>
        </w:rPr>
        <w:t xml:space="preserve"> Farms operations continues, there will be a commensurate increase in sales.</w:t>
      </w:r>
    </w:p>
    <w:p w14:paraId="150F6206" w14:textId="0985D5D4" w:rsidR="00E57076" w:rsidRDefault="00E57076" w:rsidP="00E57076">
      <w:pPr>
        <w:pStyle w:val="List"/>
        <w:spacing w:before="120"/>
        <w:ind w:left="720" w:firstLine="0"/>
        <w:jc w:val="both"/>
        <w:rPr>
          <w:rFonts w:ascii="Arial" w:hAnsi="Arial"/>
          <w:b/>
          <w:bCs/>
          <w:lang w:val="en-US"/>
        </w:rPr>
      </w:pPr>
      <w:r w:rsidRPr="00E57076">
        <w:rPr>
          <w:rFonts w:ascii="Arial" w:hAnsi="Arial"/>
          <w:b/>
          <w:bCs/>
          <w:lang w:val="en-US"/>
        </w:rPr>
        <w:t xml:space="preserve">The Company has greater production capability and as each individual </w:t>
      </w:r>
      <w:proofErr w:type="spellStart"/>
      <w:r w:rsidRPr="00E57076">
        <w:rPr>
          <w:rFonts w:ascii="Arial" w:hAnsi="Arial"/>
          <w:b/>
          <w:bCs/>
          <w:lang w:val="en-US"/>
        </w:rPr>
        <w:t>sku</w:t>
      </w:r>
      <w:proofErr w:type="spellEnd"/>
      <w:r w:rsidRPr="00E57076">
        <w:rPr>
          <w:rFonts w:ascii="Arial" w:hAnsi="Arial"/>
          <w:b/>
          <w:bCs/>
          <w:lang w:val="en-US"/>
        </w:rPr>
        <w:t xml:space="preserve"> (stock keeping unit) undergoes independent testing and approvals, each business unit will manage production levels accordingly. The Company has set up systems to pass regulatory and compliance testing, and has organized their distribution for increased efficiencies.</w:t>
      </w:r>
    </w:p>
    <w:p w14:paraId="6DC65941" w14:textId="4B082E60"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3E801A1" w14:textId="30781371" w:rsidR="00E57076" w:rsidRPr="00E57076" w:rsidRDefault="00E57076" w:rsidP="00E57076">
      <w:pPr>
        <w:pStyle w:val="List"/>
        <w:spacing w:before="120"/>
        <w:ind w:left="1800"/>
        <w:jc w:val="both"/>
        <w:rPr>
          <w:rFonts w:ascii="Arial" w:hAnsi="Arial"/>
          <w:b/>
          <w:bCs/>
        </w:rPr>
      </w:pPr>
      <w:bookmarkStart w:id="5" w:name="_Hlk26795613"/>
      <w:r w:rsidRPr="00E57076">
        <w:rPr>
          <w:rFonts w:ascii="Arial" w:hAnsi="Arial"/>
          <w:b/>
          <w:bCs/>
        </w:rPr>
        <w:t>Not applicable for the month of October</w:t>
      </w:r>
      <w:r>
        <w:rPr>
          <w:rFonts w:ascii="Arial" w:hAnsi="Arial"/>
          <w:b/>
          <w:bCs/>
        </w:rPr>
        <w:t>.</w:t>
      </w:r>
    </w:p>
    <w:bookmarkEnd w:id="5"/>
    <w:p w14:paraId="6D5B1224" w14:textId="098EAB9F"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EE72AB3" w14:textId="77777777" w:rsidR="00E57076" w:rsidRPr="00E57076" w:rsidRDefault="00E57076" w:rsidP="00E57076">
      <w:pPr>
        <w:pStyle w:val="List"/>
        <w:spacing w:before="120"/>
        <w:ind w:left="1800"/>
        <w:jc w:val="both"/>
        <w:rPr>
          <w:rFonts w:ascii="Arial" w:hAnsi="Arial"/>
          <w:b/>
          <w:bCs/>
        </w:rPr>
      </w:pPr>
      <w:bookmarkStart w:id="6" w:name="_Hlk26795746"/>
      <w:r w:rsidRPr="00E57076">
        <w:rPr>
          <w:rFonts w:ascii="Arial" w:hAnsi="Arial"/>
          <w:b/>
          <w:bCs/>
        </w:rPr>
        <w:t>Not applicable for the month of October</w:t>
      </w:r>
      <w:r>
        <w:rPr>
          <w:rFonts w:ascii="Arial" w:hAnsi="Arial"/>
          <w:b/>
          <w:bCs/>
        </w:rPr>
        <w:t>.</w:t>
      </w:r>
      <w:bookmarkEnd w:id="6"/>
    </w:p>
    <w:p w14:paraId="59D3CEE9" w14:textId="455DDFCE"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D5FC651" w14:textId="5AF5D7BC" w:rsidR="00E57076" w:rsidRDefault="002A756B" w:rsidP="002A756B">
      <w:pPr>
        <w:pStyle w:val="List"/>
        <w:spacing w:before="120"/>
        <w:ind w:left="720" w:firstLine="0"/>
        <w:jc w:val="both"/>
        <w:rPr>
          <w:rFonts w:ascii="Arial" w:hAnsi="Arial"/>
        </w:rPr>
      </w:pPr>
      <w:r w:rsidRPr="002A756B">
        <w:rPr>
          <w:rFonts w:ascii="Arial" w:hAnsi="Arial"/>
          <w:b/>
          <w:bCs/>
          <w:lang w:val="en-US"/>
        </w:rPr>
        <w:t>The Company further announces that it has entered into a consulting agreement with Green Times Ltd. In consideration for the Agreement, the parties have agreed to the issuance of shares for a 60-day business development contract and will settle such indebtedness through the issuance of 300,000 common shares of the Company at a deemed price of CDN$0.62 per Share. The Shares are subject to certain restrictions on trading in accordance with applicable securities laws.</w:t>
      </w:r>
    </w:p>
    <w:p w14:paraId="2DB5A6C6" w14:textId="582D57C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E8E7517" w14:textId="4EBD8907" w:rsidR="00E57076" w:rsidRDefault="00E57076" w:rsidP="00E57076">
      <w:pPr>
        <w:pStyle w:val="List"/>
        <w:spacing w:before="120"/>
        <w:ind w:left="1800"/>
        <w:jc w:val="both"/>
        <w:rPr>
          <w:rFonts w:ascii="Arial" w:hAnsi="Arial"/>
        </w:rPr>
      </w:pPr>
      <w:r w:rsidRPr="00E57076">
        <w:rPr>
          <w:rFonts w:ascii="Arial" w:hAnsi="Arial"/>
          <w:b/>
          <w:bCs/>
          <w:lang w:val="en-US"/>
        </w:rPr>
        <w:t>Not applicable for the month of October.</w:t>
      </w:r>
    </w:p>
    <w:p w14:paraId="2CCBC383" w14:textId="3B551DDB"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Pr>
          <w:rFonts w:ascii="Arial" w:hAnsi="Arial"/>
        </w:rPr>
        <w:lastRenderedPageBreak/>
        <w:t>disposition was to a Related Person of the Issuer and provide details of the relationship.</w:t>
      </w:r>
    </w:p>
    <w:p w14:paraId="4B673C57" w14:textId="235A7DC1" w:rsidR="00E57076" w:rsidRDefault="00E57076" w:rsidP="00E57076">
      <w:pPr>
        <w:pStyle w:val="List"/>
        <w:spacing w:before="120"/>
        <w:ind w:left="1800"/>
        <w:jc w:val="both"/>
        <w:rPr>
          <w:rFonts w:ascii="Arial" w:hAnsi="Arial"/>
          <w:b/>
          <w:bCs/>
          <w:lang w:val="en-US"/>
        </w:rPr>
      </w:pPr>
      <w:r w:rsidRPr="00E57076">
        <w:rPr>
          <w:rFonts w:ascii="Arial" w:hAnsi="Arial"/>
          <w:b/>
          <w:bCs/>
          <w:lang w:val="en-US"/>
        </w:rPr>
        <w:t>Not applicable for the month of October.</w:t>
      </w:r>
    </w:p>
    <w:p w14:paraId="20183A4E" w14:textId="74FD7F10"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C008DE3" w14:textId="054135B2" w:rsidR="00E57076" w:rsidRDefault="00E57076" w:rsidP="00E57076">
      <w:pPr>
        <w:pStyle w:val="List"/>
        <w:spacing w:before="120"/>
        <w:ind w:left="1800"/>
        <w:jc w:val="both"/>
        <w:rPr>
          <w:rFonts w:ascii="Arial" w:hAnsi="Arial"/>
        </w:rPr>
      </w:pPr>
      <w:r w:rsidRPr="00E57076">
        <w:rPr>
          <w:rFonts w:ascii="Arial" w:hAnsi="Arial"/>
          <w:b/>
          <w:bCs/>
          <w:lang w:val="en-US"/>
        </w:rPr>
        <w:t>Not applicable for the month of October.</w:t>
      </w:r>
    </w:p>
    <w:p w14:paraId="5C818146" w14:textId="7CC32E9C"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6E006D6" w14:textId="15600F46" w:rsidR="00E57076" w:rsidRDefault="002A756B" w:rsidP="002A756B">
      <w:pPr>
        <w:pStyle w:val="List"/>
        <w:spacing w:before="120"/>
        <w:ind w:left="1800"/>
        <w:jc w:val="both"/>
        <w:rPr>
          <w:rFonts w:ascii="Arial" w:hAnsi="Arial"/>
        </w:rPr>
      </w:pPr>
      <w:bookmarkStart w:id="7" w:name="_Hlk26796140"/>
      <w:bookmarkStart w:id="8" w:name="_Hlk26796416"/>
      <w:r w:rsidRPr="002A756B">
        <w:rPr>
          <w:rFonts w:ascii="Arial" w:hAnsi="Arial"/>
          <w:b/>
          <w:bCs/>
          <w:lang w:val="en-US"/>
        </w:rPr>
        <w:t>Not applicable for the month of October</w:t>
      </w:r>
      <w:bookmarkEnd w:id="7"/>
      <w:r w:rsidRPr="002A756B">
        <w:rPr>
          <w:rFonts w:ascii="Arial" w:hAnsi="Arial"/>
          <w:b/>
          <w:bCs/>
          <w:lang w:val="en-US"/>
        </w:rPr>
        <w:t>.</w:t>
      </w:r>
      <w:bookmarkEnd w:id="8"/>
    </w:p>
    <w:p w14:paraId="6F494A72" w14:textId="4BCFC3B3"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C937926" w14:textId="6FC200F6" w:rsidR="002A756B" w:rsidRPr="002A756B" w:rsidRDefault="002A756B" w:rsidP="002A756B">
      <w:pPr>
        <w:pStyle w:val="List"/>
        <w:spacing w:before="120"/>
        <w:ind w:left="720" w:firstLine="0"/>
        <w:jc w:val="both"/>
        <w:rPr>
          <w:rFonts w:ascii="Arial" w:hAnsi="Arial"/>
          <w:b/>
          <w:bCs/>
        </w:rPr>
      </w:pPr>
      <w:r w:rsidRPr="002A756B">
        <w:rPr>
          <w:rFonts w:ascii="Arial" w:hAnsi="Arial"/>
          <w:b/>
          <w:bCs/>
        </w:rPr>
        <w:t>The Company appointed Michele Pillon as chief financial officer</w:t>
      </w:r>
      <w:r>
        <w:rPr>
          <w:rFonts w:ascii="Arial" w:hAnsi="Arial"/>
          <w:b/>
          <w:bCs/>
        </w:rPr>
        <w:t xml:space="preserve"> replacing Mr. Greg Ball</w:t>
      </w:r>
      <w:r w:rsidRPr="002A756B">
        <w:rPr>
          <w:rFonts w:ascii="Arial" w:hAnsi="Arial"/>
          <w:b/>
          <w:bCs/>
        </w:rPr>
        <w:t>. Ms. Pillon has over 25 years of experience providing accounting, finance and regulatory services to public companies in Canada with a concentration in the natural resource sector.</w:t>
      </w:r>
    </w:p>
    <w:p w14:paraId="69B9E675" w14:textId="0B092574"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8EE997F" w14:textId="71174F40" w:rsidR="002A756B" w:rsidRDefault="002A756B" w:rsidP="002A756B">
      <w:pPr>
        <w:pStyle w:val="List"/>
        <w:spacing w:before="120"/>
        <w:ind w:left="1800"/>
        <w:jc w:val="both"/>
        <w:rPr>
          <w:rFonts w:ascii="Arial" w:hAnsi="Arial"/>
        </w:rPr>
      </w:pPr>
      <w:r w:rsidRPr="002A756B">
        <w:rPr>
          <w:rFonts w:ascii="Arial" w:hAnsi="Arial"/>
          <w:b/>
          <w:bCs/>
          <w:lang w:val="en-US"/>
        </w:rPr>
        <w:t>Not applicable</w:t>
      </w:r>
      <w:r w:rsidR="00F07A0C">
        <w:rPr>
          <w:rFonts w:ascii="Arial" w:hAnsi="Arial"/>
          <w:b/>
          <w:bCs/>
          <w:lang w:val="en-US"/>
        </w:rPr>
        <w:t>.</w:t>
      </w:r>
    </w:p>
    <w:p w14:paraId="1BCAF7D7" w14:textId="00ABCB84"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9AB3B07" w14:textId="737A4A3D" w:rsidR="002A756B" w:rsidRDefault="002A756B" w:rsidP="002A756B">
      <w:pPr>
        <w:pStyle w:val="List"/>
        <w:spacing w:before="120"/>
        <w:ind w:left="1800"/>
        <w:jc w:val="both"/>
        <w:rPr>
          <w:rFonts w:ascii="Arial" w:hAnsi="Arial"/>
        </w:rPr>
      </w:pPr>
      <w:r w:rsidRPr="002A756B">
        <w:rPr>
          <w:rFonts w:ascii="Arial" w:hAnsi="Arial"/>
          <w:b/>
          <w:bCs/>
          <w:lang w:val="en-US"/>
        </w:rPr>
        <w:t>Not applicable for the month of October.</w:t>
      </w:r>
    </w:p>
    <w:p w14:paraId="5492A4B5" w14:textId="4EB2635D"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C9AC426" w14:textId="30EBAFED" w:rsidR="002A756B" w:rsidRDefault="002A756B" w:rsidP="002A756B">
      <w:pPr>
        <w:pStyle w:val="List"/>
        <w:spacing w:before="120"/>
        <w:ind w:left="1800"/>
        <w:jc w:val="both"/>
        <w:rPr>
          <w:rFonts w:ascii="Arial" w:hAnsi="Arial"/>
        </w:rPr>
      </w:pPr>
      <w:r w:rsidRPr="002A756B">
        <w:rPr>
          <w:rFonts w:ascii="Arial" w:hAnsi="Arial"/>
          <w:b/>
          <w:bCs/>
          <w:lang w:val="en-US"/>
        </w:rPr>
        <w:t>Not applicable for the month of October.</w:t>
      </w:r>
    </w:p>
    <w:p w14:paraId="18C5970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F400198"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61A43FC0" w14:textId="77777777">
        <w:tc>
          <w:tcPr>
            <w:tcW w:w="2394" w:type="dxa"/>
          </w:tcPr>
          <w:p w14:paraId="058A0F7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C7F393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7C1F02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62702D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125851E1" w14:textId="77777777">
        <w:tc>
          <w:tcPr>
            <w:tcW w:w="2394" w:type="dxa"/>
          </w:tcPr>
          <w:p w14:paraId="752EA68D" w14:textId="1BD8591C" w:rsidR="00640E94" w:rsidRDefault="00F07A0C">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19B86E74" w14:textId="7868E427" w:rsidR="00640E94" w:rsidRDefault="00F07A0C" w:rsidP="00F07A0C">
            <w:pPr>
              <w:pStyle w:val="List"/>
              <w:tabs>
                <w:tab w:val="left" w:pos="360"/>
              </w:tabs>
              <w:spacing w:before="0" w:line="280" w:lineRule="exact"/>
              <w:ind w:left="0" w:firstLine="0"/>
              <w:jc w:val="right"/>
              <w:rPr>
                <w:rFonts w:ascii="Arial" w:hAnsi="Arial"/>
              </w:rPr>
            </w:pPr>
            <w:r>
              <w:rPr>
                <w:rFonts w:ascii="Arial" w:hAnsi="Arial"/>
              </w:rPr>
              <w:t>300,000</w:t>
            </w:r>
          </w:p>
        </w:tc>
        <w:tc>
          <w:tcPr>
            <w:tcW w:w="2394" w:type="dxa"/>
          </w:tcPr>
          <w:p w14:paraId="53721C1A" w14:textId="78E38814" w:rsidR="00640E94" w:rsidRDefault="00F07A0C">
            <w:pPr>
              <w:pStyle w:val="List"/>
              <w:tabs>
                <w:tab w:val="left" w:pos="360"/>
              </w:tabs>
              <w:spacing w:before="0" w:line="280" w:lineRule="exact"/>
              <w:ind w:left="0" w:firstLine="0"/>
              <w:jc w:val="both"/>
              <w:rPr>
                <w:rFonts w:ascii="Arial" w:hAnsi="Arial"/>
              </w:rPr>
            </w:pPr>
            <w:r>
              <w:rPr>
                <w:rFonts w:ascii="Arial" w:hAnsi="Arial"/>
              </w:rPr>
              <w:t>Per 5. above</w:t>
            </w:r>
          </w:p>
        </w:tc>
        <w:tc>
          <w:tcPr>
            <w:tcW w:w="2394" w:type="dxa"/>
          </w:tcPr>
          <w:p w14:paraId="5BACE19E" w14:textId="290730E8" w:rsidR="00640E94" w:rsidRDefault="00F07A0C">
            <w:pPr>
              <w:pStyle w:val="List"/>
              <w:tabs>
                <w:tab w:val="left" w:pos="360"/>
              </w:tabs>
              <w:spacing w:before="0" w:line="280" w:lineRule="exact"/>
              <w:ind w:left="0" w:firstLine="0"/>
              <w:jc w:val="both"/>
              <w:rPr>
                <w:rFonts w:ascii="Arial" w:hAnsi="Arial"/>
              </w:rPr>
            </w:pPr>
            <w:r>
              <w:rPr>
                <w:rFonts w:ascii="Arial" w:hAnsi="Arial"/>
              </w:rPr>
              <w:t>N/A</w:t>
            </w:r>
          </w:p>
        </w:tc>
      </w:tr>
      <w:tr w:rsidR="00640E94" w14:paraId="02597E74" w14:textId="77777777">
        <w:tc>
          <w:tcPr>
            <w:tcW w:w="2394" w:type="dxa"/>
          </w:tcPr>
          <w:p w14:paraId="6149D24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81571D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9BE3DB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51ACA8" w14:textId="77777777" w:rsidR="00640E94" w:rsidRDefault="00640E94">
            <w:pPr>
              <w:pStyle w:val="List"/>
              <w:tabs>
                <w:tab w:val="left" w:pos="360"/>
              </w:tabs>
              <w:spacing w:before="0" w:line="280" w:lineRule="exact"/>
              <w:ind w:left="0" w:firstLine="0"/>
              <w:jc w:val="both"/>
              <w:rPr>
                <w:rFonts w:ascii="Arial" w:hAnsi="Arial"/>
              </w:rPr>
            </w:pPr>
          </w:p>
        </w:tc>
      </w:tr>
      <w:tr w:rsidR="00640E94" w14:paraId="67C77268" w14:textId="77777777">
        <w:tc>
          <w:tcPr>
            <w:tcW w:w="2394" w:type="dxa"/>
          </w:tcPr>
          <w:p w14:paraId="3E54DE5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8E1896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F619CF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ED0B548" w14:textId="77777777" w:rsidR="00640E94" w:rsidRDefault="00640E94">
            <w:pPr>
              <w:pStyle w:val="List"/>
              <w:tabs>
                <w:tab w:val="left" w:pos="360"/>
              </w:tabs>
              <w:spacing w:before="0" w:line="280" w:lineRule="exact"/>
              <w:ind w:left="0" w:firstLine="0"/>
              <w:jc w:val="both"/>
              <w:rPr>
                <w:rFonts w:ascii="Arial" w:hAnsi="Arial"/>
              </w:rPr>
            </w:pPr>
          </w:p>
        </w:tc>
      </w:tr>
    </w:tbl>
    <w:p w14:paraId="697CE528"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7702684" w14:textId="26483BB1"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C26CF71" w14:textId="4C24F59A" w:rsidR="00F07A0C" w:rsidRDefault="00F07A0C" w:rsidP="00F07A0C">
      <w:pPr>
        <w:pStyle w:val="List"/>
        <w:keepNext/>
        <w:keepLines/>
        <w:spacing w:before="120"/>
        <w:ind w:left="1800"/>
        <w:jc w:val="both"/>
        <w:rPr>
          <w:rFonts w:ascii="Arial" w:hAnsi="Arial"/>
        </w:rPr>
      </w:pPr>
      <w:r w:rsidRPr="00F07A0C">
        <w:rPr>
          <w:rFonts w:ascii="Arial" w:hAnsi="Arial"/>
          <w:b/>
          <w:bCs/>
          <w:lang w:val="en-US"/>
        </w:rPr>
        <w:t>Not applicable for the month of October.</w:t>
      </w:r>
    </w:p>
    <w:p w14:paraId="248280E1" w14:textId="416C34E8"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F368989" w14:textId="1408B66E" w:rsidR="00F07A0C" w:rsidRDefault="00F07A0C" w:rsidP="00F07A0C">
      <w:pPr>
        <w:pStyle w:val="List"/>
        <w:keepNext/>
        <w:keepLines/>
        <w:spacing w:before="120"/>
        <w:ind w:left="1800"/>
        <w:jc w:val="both"/>
        <w:rPr>
          <w:rFonts w:ascii="Arial" w:hAnsi="Arial"/>
        </w:rPr>
      </w:pPr>
      <w:r w:rsidRPr="00F07A0C">
        <w:rPr>
          <w:rFonts w:ascii="Arial" w:hAnsi="Arial"/>
          <w:b/>
          <w:bCs/>
          <w:lang w:val="en-US"/>
        </w:rPr>
        <w:t>Not applicable for the month of October.</w:t>
      </w:r>
    </w:p>
    <w:p w14:paraId="3D96F302" w14:textId="60A6EA24"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7FAE61F" w14:textId="77777777" w:rsidR="00F07A0C" w:rsidRPr="00512B19" w:rsidRDefault="00F07A0C" w:rsidP="00F07A0C">
      <w:pPr>
        <w:widowControl w:val="0"/>
        <w:autoSpaceDE w:val="0"/>
        <w:autoSpaceDN w:val="0"/>
        <w:adjustRightInd w:val="0"/>
        <w:spacing w:before="120" w:after="240"/>
        <w:jc w:val="both"/>
        <w:rPr>
          <w:rFonts w:ascii="Arial" w:hAnsi="Arial" w:cs="Arial"/>
          <w:b/>
          <w:sz w:val="24"/>
          <w:szCs w:val="24"/>
          <w:u w:val="single"/>
          <w:lang w:val="en-CA"/>
        </w:rPr>
      </w:pPr>
      <w:r w:rsidRPr="00512B19">
        <w:rPr>
          <w:rFonts w:ascii="Arial" w:hAnsi="Arial" w:cs="Arial"/>
          <w:b/>
          <w:sz w:val="24"/>
          <w:szCs w:val="24"/>
          <w:u w:val="single"/>
          <w:lang w:val="en-CA"/>
        </w:rPr>
        <w:lastRenderedPageBreak/>
        <w:t>United States Regulatory Environment Applicable to the Cannabis Industry</w:t>
      </w:r>
    </w:p>
    <w:p w14:paraId="7F5B2081" w14:textId="77777777" w:rsidR="00F07A0C" w:rsidRPr="00512B19" w:rsidRDefault="00F07A0C" w:rsidP="00F07A0C">
      <w:pPr>
        <w:pStyle w:val="Heading2"/>
        <w:keepNext w:val="0"/>
        <w:widowControl w:val="0"/>
        <w:tabs>
          <w:tab w:val="num" w:pos="-90"/>
          <w:tab w:val="left" w:pos="0"/>
        </w:tabs>
        <w:spacing w:before="0"/>
        <w:ind w:left="0" w:firstLine="0"/>
        <w:jc w:val="both"/>
        <w:rPr>
          <w:rFonts w:cs="Arial"/>
          <w:sz w:val="24"/>
        </w:rPr>
      </w:pPr>
      <w:r w:rsidRPr="00512B19">
        <w:rPr>
          <w:rFonts w:cs="Arial"/>
          <w:sz w:val="24"/>
        </w:rPr>
        <w:t>Cannabis is a Schedule I controlled substance under the Federal Controlled Substance Act (the “CSA”). Even in those states, and the District of Columbia, in which the cultivation, manufacture and use of medical or adult-use cannabis has been legalized, the possession, use, cultivation and transfer of cannabis remains a violation of federal law. Federal law criminalizing the use of cannabis pre</w:t>
      </w:r>
      <w:r>
        <w:rPr>
          <w:rFonts w:cs="Arial"/>
          <w:sz w:val="24"/>
        </w:rPr>
        <w:t>-</w:t>
      </w:r>
      <w:r w:rsidRPr="00512B19">
        <w:rPr>
          <w:rFonts w:cs="Arial"/>
          <w:sz w:val="24"/>
        </w:rPr>
        <w:t xml:space="preserve">empts state laws legalizing the use of cannabis for medicinal or adult-use purposes and, therefore, strict enforcement of federal law regarding cannabis would severely restrict the ability of </w:t>
      </w:r>
      <w:r>
        <w:rPr>
          <w:rFonts w:cs="Arial"/>
          <w:sz w:val="24"/>
        </w:rPr>
        <w:t>the Issuer</w:t>
      </w:r>
      <w:r w:rsidRPr="00512B19">
        <w:rPr>
          <w:rFonts w:cs="Arial"/>
          <w:sz w:val="24"/>
        </w:rPr>
        <w:t xml:space="preserve"> to implement its business plan. </w:t>
      </w:r>
    </w:p>
    <w:p w14:paraId="65FAEE9F" w14:textId="77777777" w:rsidR="00F07A0C" w:rsidRPr="00512B19" w:rsidRDefault="00F07A0C" w:rsidP="00F07A0C">
      <w:pPr>
        <w:pStyle w:val="Heading2"/>
        <w:keepNext w:val="0"/>
        <w:widowControl w:val="0"/>
        <w:tabs>
          <w:tab w:val="num" w:pos="450"/>
        </w:tabs>
        <w:ind w:left="0" w:firstLine="0"/>
        <w:jc w:val="both"/>
        <w:rPr>
          <w:rFonts w:cs="Arial"/>
          <w:sz w:val="24"/>
        </w:rPr>
      </w:pPr>
      <w:r w:rsidRPr="00512B19">
        <w:rPr>
          <w:rFonts w:cs="Arial"/>
          <w:sz w:val="24"/>
        </w:rPr>
        <w:t>The U.S. Department of Justice (the “DOJ”) under the Obama administration issued memoranda, including the so-called “Cole Memorandum” issued on August 29, 2013, describing DOJ’s priorities for enforcement of federal cannabis prohibitions under the CSA. Generally, the DOJ described the prosecution of individuals and companies engaged in the use, manufacture and distribution of medical cannabis when such individuals or companies were in compliance with state regulatory systems as an inefficient use of federal investigative and prosecutorial resources. The DOJ’s position is predicated on state regulatory and enforcement efforts that are effective with respect to certain enumerated federal enforcement priorities under the CSA. In the “Cole Memo,” the DOJ advised all federal prosecutors that federal enforcement of the CSA against cannabis-related conduct should be focused on eight priorities, which are the prevention of: (1) distribution of cannabis to minors; (2) diversion of revenue from sale of cannabis to criminal enterprises, gangs and cartels; (3) transfer of cannabis from states where it is legal to states where it is illegal; (4) the use of cannabis activity as a pretext for trafficking in other illegal drugs or engaging in illegal activity; (5) violence or use of firearms in cannabis cultivation and distribution; (6) drugged driving and adverse public health consequences from cannabis use; (7) growth of cannabis on federal lands; and (8) cannabis possession or use on federal property.</w:t>
      </w:r>
    </w:p>
    <w:p w14:paraId="66A12A0B" w14:textId="77777777" w:rsidR="00F07A0C" w:rsidRPr="00512B19" w:rsidRDefault="00F07A0C" w:rsidP="00F07A0C">
      <w:pPr>
        <w:pStyle w:val="Heading2"/>
        <w:keepNext w:val="0"/>
        <w:widowControl w:val="0"/>
        <w:tabs>
          <w:tab w:val="num" w:pos="450"/>
        </w:tabs>
        <w:ind w:left="0" w:firstLine="0"/>
        <w:jc w:val="both"/>
        <w:rPr>
          <w:rFonts w:cs="Arial"/>
          <w:sz w:val="24"/>
        </w:rPr>
      </w:pPr>
      <w:r w:rsidRPr="00512B19">
        <w:rPr>
          <w:rFonts w:cs="Arial"/>
          <w:sz w:val="24"/>
        </w:rPr>
        <w:t xml:space="preserve">In addition, Congress enacted an omnibus spending bill for fiscal year 2016 including a provision prohibiting the DOJ (which includes the Drug Enforcement Administration) from using funds appropriated by that bill to prevent states from implementing their medical-use cannabis laws. This provision was renewed on December 22, 2017; however, it is effective only until </w:t>
      </w:r>
      <w:r>
        <w:rPr>
          <w:rFonts w:cs="Arial"/>
          <w:sz w:val="24"/>
        </w:rPr>
        <w:t>April</w:t>
      </w:r>
      <w:r w:rsidRPr="00512B19">
        <w:rPr>
          <w:rFonts w:cs="Arial"/>
          <w:sz w:val="24"/>
        </w:rPr>
        <w:t xml:space="preserve"> 19, 2018 and must be renewed by Congress in subsequent years. This prohibition must be included in the Senate version of the fiscal year 2018 Commerce, Justice, and Science (CJS) Appropriations bill to remain effective. Currently, only the Senate version of the CJS Appropriations bill includes the prohibition and the House version does not. A final decision is dependent on the outcome of the House-Senate conference committee’s final version of the bill. In USA v. McIntosh, the United States Circuit Court of Appeals for the Ninth Circuit held that this provision prohibits the DOJ from spending funds from relevant appropriations acts to prosecute individuals who engage in conduct permitted by state medical-use cannabis laws and who strictly comply with such laws. The Ninth Circuit’s opinion, which only applies in the states of Alaska, Arizona, California, Hawaii and Idaho, also held that persons </w:t>
      </w:r>
      <w:r w:rsidRPr="00512B19">
        <w:rPr>
          <w:rFonts w:cs="Arial"/>
          <w:sz w:val="24"/>
        </w:rPr>
        <w:lastRenderedPageBreak/>
        <w:t>who do not strictly comply with all state laws and regulations regarding the distribution, possession and cultivation of medical-use cannabis have engaged in conduct that is unauthorized, and in such instances the U.S. Department of Justice may prosecute those individuals.</w:t>
      </w:r>
    </w:p>
    <w:p w14:paraId="4FD6D17F" w14:textId="77777777" w:rsidR="00F07A0C" w:rsidRPr="00512B19" w:rsidRDefault="00F07A0C" w:rsidP="00734FF6">
      <w:pPr>
        <w:pStyle w:val="Heading2"/>
        <w:keepNext w:val="0"/>
        <w:widowControl w:val="0"/>
        <w:tabs>
          <w:tab w:val="num" w:pos="450"/>
        </w:tabs>
        <w:ind w:left="0" w:firstLine="0"/>
        <w:jc w:val="both"/>
        <w:rPr>
          <w:rFonts w:cs="Arial"/>
          <w:sz w:val="24"/>
        </w:rPr>
      </w:pPr>
      <w:r>
        <w:rPr>
          <w:rFonts w:cs="Arial"/>
          <w:sz w:val="24"/>
        </w:rPr>
        <w:t>Issuer</w:t>
      </w:r>
      <w:r w:rsidRPr="00512B19">
        <w:rPr>
          <w:rFonts w:cs="Arial"/>
          <w:sz w:val="24"/>
        </w:rPr>
        <w:t xml:space="preserve"> does not intend to engage in any of the activities enumerated in the Cole Memo, but federal prosecutors have significant discretion in their interpretation of these priorities. Therefore, no assurance can be given that the federal prosecutor in the judicial district where the Issuer is engaged in its cannabis activity will agree that those activities do not involve the activities enumerated in the Cole Memo. There is also no guarantee that the current administration or future administrations will not revise the federal enforcement priorities enumerated in the Cole Memo or otherwise choose to strictly enforce the federal laws governing cannabis cultivation, manufacturing, distribution or retail sales. Penalties for violation of federal laws related to cannabis-related business could result in prosecution and in the event of conviction, fines or asset forfeiture.  In addition, the federal government has in the past seized the assets of cannabis businesses under civil forfeiture statutes.</w:t>
      </w:r>
    </w:p>
    <w:p w14:paraId="7F2FC562" w14:textId="77777777" w:rsidR="00F07A0C" w:rsidRPr="00512B19" w:rsidRDefault="00F07A0C" w:rsidP="00734FF6">
      <w:pPr>
        <w:pStyle w:val="Heading2"/>
        <w:keepNext w:val="0"/>
        <w:widowControl w:val="0"/>
        <w:tabs>
          <w:tab w:val="left" w:pos="-180"/>
          <w:tab w:val="left" w:pos="-90"/>
        </w:tabs>
        <w:ind w:left="0" w:firstLine="0"/>
        <w:jc w:val="both"/>
        <w:rPr>
          <w:rFonts w:cs="Arial"/>
          <w:sz w:val="24"/>
        </w:rPr>
      </w:pPr>
      <w:r w:rsidRPr="00512B19">
        <w:rPr>
          <w:rFonts w:cs="Arial"/>
          <w:sz w:val="24"/>
        </w:rPr>
        <w:t>Political and regulatory risks also exist due to the recent election of Donald Trump to the U.S. presidency. Mr. Trump’s positions regarding marijuana are difficult to discern. It remains unclear what stance the Department of Justice under the new administration might take toward legalization efforts in U.S. states, but federal enforcement of the Controlled Substances Act and other applicable laws is possible.</w:t>
      </w:r>
    </w:p>
    <w:p w14:paraId="66B42F0B"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Despite the legal, regulatory, and political obstacles the marijuana industry currently faces, the industry has continued to grow.</w:t>
      </w:r>
    </w:p>
    <w:p w14:paraId="55BB3C45" w14:textId="77777777" w:rsidR="00F07A0C" w:rsidRPr="00512B19" w:rsidRDefault="00F07A0C" w:rsidP="00734FF6">
      <w:pPr>
        <w:pStyle w:val="Heading2"/>
        <w:keepNext w:val="0"/>
        <w:widowControl w:val="0"/>
        <w:ind w:left="0" w:firstLine="0"/>
        <w:jc w:val="both"/>
        <w:rPr>
          <w:rFonts w:cs="Arial"/>
          <w:sz w:val="24"/>
          <w:u w:val="single"/>
        </w:rPr>
      </w:pPr>
      <w:r w:rsidRPr="00512B19">
        <w:rPr>
          <w:rFonts w:cs="Arial"/>
          <w:sz w:val="24"/>
          <w:u w:val="single"/>
        </w:rPr>
        <w:t>U.S. Federal Laws in Respect of Banking</w:t>
      </w:r>
    </w:p>
    <w:p w14:paraId="0B04035A"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Under U.S. federal law it may be a violation of federal money laundering statutes for financial institutions to accept the deposit of proceeds from marijuana sales or any other Schedule I substance. Canadian banks are also hesitant to deal with cannabis companies, due to the uncertain legal and regulatory framework of the industry. Banks and other financial institutions could be prosecuted and possibly convicted of money laundering for providing services to cannabis businesses. Under U.S. federal law, banks or other financial institutions that provide a cannabis business with a checking account, debit or credit card, small business loan, or any other service could be found guilty of money laundering or conspiracy. Despite these laws, the U.S. Treasury Department issued a memorandum in </w:t>
      </w:r>
      <w:r>
        <w:rPr>
          <w:rFonts w:cs="Arial"/>
          <w:sz w:val="24"/>
        </w:rPr>
        <w:t>April</w:t>
      </w:r>
      <w:r w:rsidRPr="00512B19">
        <w:rPr>
          <w:rFonts w:cs="Arial"/>
          <w:sz w:val="24"/>
        </w:rPr>
        <w:t xml:space="preserve"> of 2014 outlining the pathways for financial institutions to bank marijuana businesses in compliance with federal law. </w:t>
      </w:r>
    </w:p>
    <w:p w14:paraId="340156D5" w14:textId="77777777" w:rsidR="00F07A0C" w:rsidRPr="00512B19" w:rsidRDefault="00F07A0C" w:rsidP="00734FF6">
      <w:pPr>
        <w:pStyle w:val="Heading2"/>
        <w:keepNext w:val="0"/>
        <w:widowControl w:val="0"/>
        <w:tabs>
          <w:tab w:val="left" w:pos="-360"/>
          <w:tab w:val="num" w:pos="450"/>
        </w:tabs>
        <w:ind w:left="0" w:firstLine="0"/>
        <w:jc w:val="both"/>
        <w:rPr>
          <w:rFonts w:cs="Arial"/>
          <w:sz w:val="24"/>
        </w:rPr>
      </w:pPr>
      <w:r w:rsidRPr="00512B19">
        <w:rPr>
          <w:rFonts w:cs="Arial"/>
          <w:sz w:val="24"/>
        </w:rPr>
        <w:t xml:space="preserve">Under these guidelines, financial institutions must submit a “suspicious activity report” (“SAR”) as required by federal money laundering laws. These marijuana-related SARs are divided into three categories: marijuana limited, marijuana priority, and marijuana terminated, based on the financial institution’s belief that </w:t>
      </w:r>
      <w:r w:rsidRPr="00512B19">
        <w:rPr>
          <w:rFonts w:cs="Arial"/>
          <w:sz w:val="24"/>
        </w:rPr>
        <w:lastRenderedPageBreak/>
        <w:t xml:space="preserve">the marijuana business follows state law, is operating out of compliance with state law, or where the banking relationship has been terminated. The memorandum also outlines the due diligence required of banks dealing with marijuana-related businesses. The due diligence requirements may act to limit participation by many banks.  On April 27, 2017, Rep. Perlmutter introduced H.R. 2215 – the Secure and Fair Enforcement Banking Act of 2017 to grant banks and other financial institutions immunity from federal criminal prosecution for servicing marijuana-related businesses if the underlying marijuana business complies with state law. The bill was referred to the Subcommittee on Crime, Terrorism, Homeland Security, and Investigations on September 21, 2017. There can be no assurance that H.R. 2215 will be passed in its current form or at all. In both Canada and the United States, transactions involving banks and other financial institutions are both difficult and unpredictable under the current legal and regulatory landscape. Legislative changes to help reduce these challenges would eliminate these challenges for companies in the cannabis space, and would improve the efficiency of both significant and minor financial transactions. </w:t>
      </w:r>
    </w:p>
    <w:p w14:paraId="326CF9A1" w14:textId="77777777" w:rsidR="00F07A0C" w:rsidRPr="00512B19" w:rsidRDefault="00F07A0C" w:rsidP="00734FF6">
      <w:pPr>
        <w:pStyle w:val="Heading2"/>
        <w:keepNext w:val="0"/>
        <w:widowControl w:val="0"/>
        <w:tabs>
          <w:tab w:val="num" w:pos="450"/>
        </w:tabs>
        <w:ind w:left="0" w:firstLine="0"/>
        <w:jc w:val="both"/>
        <w:rPr>
          <w:rFonts w:cs="Arial"/>
          <w:sz w:val="24"/>
          <w:u w:val="single"/>
        </w:rPr>
      </w:pPr>
      <w:r w:rsidRPr="00512B19">
        <w:rPr>
          <w:rFonts w:cs="Arial"/>
          <w:sz w:val="24"/>
          <w:u w:val="single"/>
        </w:rPr>
        <w:t xml:space="preserve">California State Laws Applicable to the Medical-Use Cannabis Industry </w:t>
      </w:r>
    </w:p>
    <w:p w14:paraId="19B15D92" w14:textId="77777777" w:rsidR="00F07A0C" w:rsidRPr="00512B19" w:rsidRDefault="00F07A0C" w:rsidP="00734FF6">
      <w:pPr>
        <w:pStyle w:val="Heading2"/>
        <w:keepNext w:val="0"/>
        <w:widowControl w:val="0"/>
        <w:tabs>
          <w:tab w:val="num" w:pos="-270"/>
        </w:tabs>
        <w:ind w:left="0" w:firstLine="0"/>
        <w:jc w:val="both"/>
        <w:rPr>
          <w:rFonts w:cs="Arial"/>
          <w:sz w:val="24"/>
        </w:rPr>
      </w:pPr>
      <w:proofErr w:type="gramStart"/>
      <w:r w:rsidRPr="00512B19">
        <w:rPr>
          <w:rFonts w:cs="Arial"/>
          <w:sz w:val="24"/>
        </w:rPr>
        <w:t>On  27</w:t>
      </w:r>
      <w:proofErr w:type="gramEnd"/>
      <w:r w:rsidRPr="00512B19">
        <w:rPr>
          <w:rFonts w:cs="Arial"/>
          <w:sz w:val="24"/>
        </w:rPr>
        <w:t xml:space="preserve">, 2017, Governor Jerry Brown signed the Medicinal and Adult-Use Cannabis Regulation and Safety Act (“MAUCRSA”) to reconcile the Control, Regulate and Tax Adult Use of Marijuana Act with California’s previous medical marijuana laws. California was the first state to pass medical marijuana in 1996, allowing for a not-for-profit patient/caregiver system, but there was no state licensing authority to oversee businesses that emerged. “Patient/caregiver” system refers to the type of non-commercial medical marijuana laws that were passed from 1996 to 2008. These laws permitted qualified patients to cultivate their own medical marijuana or designate a caregiver to cultivate on behalf of a patient or patients. </w:t>
      </w:r>
    </w:p>
    <w:p w14:paraId="445F79D6"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MAUCRSA establishes a licensing and regulatory framework for medical marijuana businesses and adult-use marijuana businesses in California. The system has multiple license types for dispensaries, infused products manufacturers, nurseries, cultivation facilities, testing laboratories, transportation companies, and distributors. Licenses will be designated as either “M” for medical marijuana or “A” for adult-use.  All transactions involving cannabis, other than dispensary sales, must be conducted between holders of a California license.  In addition, “M” licensees may only sell to other “M” licensees or, in the case of an “M” dispensary, to holders of a physician recommendation. Likewise, “A” licensees may only sell to other “A” licensees or, in the case of an “A” Dispensary, to individuals over the age of 21. Edible infused product manufacturers require either volatile solvent or </w:t>
      </w:r>
      <w:proofErr w:type="spellStart"/>
      <w:r w:rsidRPr="00512B19">
        <w:rPr>
          <w:rFonts w:cs="Arial"/>
          <w:sz w:val="24"/>
        </w:rPr>
        <w:t>nonvolatile</w:t>
      </w:r>
      <w:proofErr w:type="spellEnd"/>
      <w:r w:rsidRPr="00512B19">
        <w:rPr>
          <w:rFonts w:cs="Arial"/>
          <w:sz w:val="24"/>
        </w:rPr>
        <w:t xml:space="preserve"> solvent manufacturing licenses depending on their specific extraction methodology. Multiple agencies oversee different aspects of the program and businesses </w:t>
      </w:r>
      <w:r>
        <w:rPr>
          <w:rFonts w:cs="Arial"/>
          <w:sz w:val="24"/>
        </w:rPr>
        <w:t>are r</w:t>
      </w:r>
      <w:r w:rsidRPr="00512B19">
        <w:rPr>
          <w:rFonts w:cs="Arial"/>
          <w:sz w:val="24"/>
        </w:rPr>
        <w:t>equire</w:t>
      </w:r>
      <w:r>
        <w:rPr>
          <w:rFonts w:cs="Arial"/>
          <w:sz w:val="24"/>
        </w:rPr>
        <w:t>d</w:t>
      </w:r>
      <w:r w:rsidRPr="00512B19">
        <w:rPr>
          <w:rFonts w:cs="Arial"/>
          <w:sz w:val="24"/>
        </w:rPr>
        <w:t xml:space="preserve"> </w:t>
      </w:r>
      <w:r>
        <w:rPr>
          <w:rFonts w:cs="Arial"/>
          <w:sz w:val="24"/>
        </w:rPr>
        <w:t>to apply and receive</w:t>
      </w:r>
      <w:r w:rsidRPr="00512B19">
        <w:rPr>
          <w:rFonts w:cs="Arial"/>
          <w:sz w:val="24"/>
        </w:rPr>
        <w:t xml:space="preserve"> state license and local approval</w:t>
      </w:r>
      <w:r>
        <w:rPr>
          <w:rFonts w:cs="Arial"/>
          <w:sz w:val="24"/>
        </w:rPr>
        <w:t>s</w:t>
      </w:r>
      <w:r w:rsidRPr="00512B19">
        <w:rPr>
          <w:rFonts w:cs="Arial"/>
          <w:sz w:val="24"/>
        </w:rPr>
        <w:t xml:space="preserve"> to operate. California </w:t>
      </w:r>
      <w:r>
        <w:rPr>
          <w:rFonts w:cs="Arial"/>
          <w:sz w:val="24"/>
        </w:rPr>
        <w:t>bega</w:t>
      </w:r>
      <w:r w:rsidRPr="00512B19">
        <w:rPr>
          <w:rFonts w:cs="Arial"/>
          <w:sz w:val="24"/>
        </w:rPr>
        <w:t xml:space="preserve">n licensing both medical marijuana businesses and adult-use marijuana business at the state level under MAUCRSA after </w:t>
      </w:r>
      <w:r>
        <w:rPr>
          <w:rFonts w:cs="Arial"/>
          <w:sz w:val="24"/>
        </w:rPr>
        <w:t>April</w:t>
      </w:r>
      <w:r w:rsidRPr="00512B19">
        <w:rPr>
          <w:rFonts w:cs="Arial"/>
          <w:sz w:val="24"/>
        </w:rPr>
        <w:t xml:space="preserve"> 1, 2018. </w:t>
      </w:r>
    </w:p>
    <w:p w14:paraId="1DD1F1BE"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An applicant under the MAUCRSA must obtain local approval and a state license. The state license approval process is not competitive, and localities are accepting </w:t>
      </w:r>
      <w:r w:rsidRPr="00512B19">
        <w:rPr>
          <w:rFonts w:cs="Arial"/>
          <w:sz w:val="24"/>
        </w:rPr>
        <w:lastRenderedPageBreak/>
        <w:t xml:space="preserve">licenses based on timelines within their individual ordinances. Localities may prohibit medical marijuana business or limit the number of licenses offered in their jurisdiction. The Bureau of Cannabis Control, the Department of Food and Agriculture, and the Department of Public Health released emergency regulations for MAUCRSA on November 16, 2017. Cities and counties across the state are either adopting local licensing and regulations around both medical and adult-use cannabis or modifying their current regulations for consistency with MAUCRSA. </w:t>
      </w:r>
    </w:p>
    <w:p w14:paraId="1A33C830" w14:textId="77777777" w:rsidR="00F07A0C"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The application process for a state license requires submission of policies and procedures designed to ensure compliance with the emergency regulations.  The policies and procedures relate to personnel, safety, security, building design and related matters.  </w:t>
      </w:r>
    </w:p>
    <w:p w14:paraId="4F939BD3" w14:textId="403795B7" w:rsidR="00F07A0C" w:rsidRPr="00A92518" w:rsidRDefault="00F07A0C" w:rsidP="00734FF6">
      <w:pPr>
        <w:pStyle w:val="Heading2"/>
        <w:ind w:left="0" w:firstLine="0"/>
        <w:rPr>
          <w:rFonts w:cs="Arial"/>
          <w:sz w:val="24"/>
          <w:u w:val="single"/>
        </w:rPr>
      </w:pPr>
      <w:r w:rsidRPr="00A92518">
        <w:rPr>
          <w:rFonts w:cs="Arial"/>
          <w:sz w:val="24"/>
          <w:u w:val="single"/>
        </w:rPr>
        <w:t xml:space="preserve">Risks Related to Conflicting Federal and State Laws </w:t>
      </w:r>
    </w:p>
    <w:p w14:paraId="6CCDC4F1" w14:textId="77777777" w:rsidR="00F07A0C" w:rsidRPr="00872AB9" w:rsidRDefault="00F07A0C" w:rsidP="00734FF6">
      <w:pPr>
        <w:pStyle w:val="BodyText"/>
        <w:jc w:val="both"/>
        <w:rPr>
          <w:rFonts w:ascii="Arial" w:hAnsi="Arial" w:cs="Arial"/>
          <w:b/>
        </w:rPr>
      </w:pPr>
      <w:r w:rsidRPr="00872AB9">
        <w:rPr>
          <w:rFonts w:ascii="Arial" w:hAnsi="Arial" w:cs="Arial"/>
          <w:b/>
        </w:rPr>
        <w:t xml:space="preserve">The cannabis industry is currently conducted in </w:t>
      </w:r>
      <w:proofErr w:type="gramStart"/>
      <w:r>
        <w:rPr>
          <w:rFonts w:ascii="Arial" w:hAnsi="Arial" w:cs="Arial"/>
          <w:b/>
        </w:rPr>
        <w:t>thirty three</w:t>
      </w:r>
      <w:proofErr w:type="gramEnd"/>
      <w:r w:rsidRPr="00872AB9">
        <w:rPr>
          <w:rFonts w:ascii="Arial" w:hAnsi="Arial" w:cs="Arial"/>
          <w:b/>
        </w:rPr>
        <w:t xml:space="preserve"> states and the District of Columbia. These jurisdictions have passed laws either decriminalizing or legalizing the medicinal or recreational use of cannabis. However, under U.S. Federal law, the possession, use, cultivation, and transfer of cannabis remains illegal. The Federal, and, in some cases, State law enforcement authorities have frequently closed down retail dispensaries, growers, and producers of cannabis products and have investigated or closed physician offices that provide medicinal cannabis recommendations. To the extent that an affected retail dispensary, grower, producer, or physician office is a customer of the </w:t>
      </w:r>
      <w:r>
        <w:rPr>
          <w:rFonts w:ascii="Arial" w:hAnsi="Arial" w:cs="Arial"/>
          <w:b/>
        </w:rPr>
        <w:t xml:space="preserve">Issuer or </w:t>
      </w:r>
      <w:r w:rsidRPr="00872AB9">
        <w:rPr>
          <w:rFonts w:ascii="Arial" w:hAnsi="Arial" w:cs="Arial"/>
          <w:b/>
        </w:rPr>
        <w:t xml:space="preserve">Issuer’s licensee, it will affect the Issuer’s revenue. Enforcement actions that impact new retail dispensaries, growers, producers and physician offices entering the cannabis industry may materially affect the Issuer’s business and operations. </w:t>
      </w:r>
    </w:p>
    <w:p w14:paraId="2D0942D8" w14:textId="02D944B0" w:rsidR="00F07A0C" w:rsidRPr="00A92518" w:rsidRDefault="00F07A0C" w:rsidP="00F07A0C">
      <w:pPr>
        <w:pStyle w:val="Heading2"/>
        <w:rPr>
          <w:rFonts w:cs="Arial"/>
          <w:sz w:val="24"/>
          <w:u w:val="single"/>
        </w:rPr>
      </w:pPr>
      <w:r w:rsidRPr="00A92518">
        <w:rPr>
          <w:rFonts w:cs="Arial"/>
          <w:sz w:val="24"/>
          <w:u w:val="single"/>
        </w:rPr>
        <w:t xml:space="preserve">Risks Related to the Current Operating Model </w:t>
      </w:r>
    </w:p>
    <w:p w14:paraId="57562485" w14:textId="77777777" w:rsidR="00F07A0C" w:rsidRPr="00872AB9" w:rsidRDefault="00F07A0C" w:rsidP="00734FF6">
      <w:pPr>
        <w:pStyle w:val="BodyText"/>
        <w:jc w:val="both"/>
        <w:rPr>
          <w:rFonts w:ascii="Arial" w:hAnsi="Arial" w:cs="Arial"/>
          <w:b/>
        </w:rPr>
      </w:pPr>
      <w:r w:rsidRPr="00872AB9">
        <w:rPr>
          <w:rFonts w:ascii="Arial" w:hAnsi="Arial" w:cs="Arial"/>
          <w:b/>
        </w:rPr>
        <w:t>Under U.S. Federal law, the possession, use, cultivation, and transfer of cannabis is illega</w:t>
      </w:r>
      <w:r w:rsidRPr="0047594C">
        <w:rPr>
          <w:rFonts w:ascii="Arial" w:hAnsi="Arial" w:cs="Arial"/>
          <w:b/>
        </w:rPr>
        <w:t xml:space="preserve">l. The Issuer </w:t>
      </w:r>
      <w:r w:rsidRPr="005A5A95">
        <w:rPr>
          <w:rFonts w:ascii="Arial" w:hAnsi="Arial" w:cs="Arial"/>
          <w:b/>
        </w:rPr>
        <w:t>sells and transports cannabis to its</w:t>
      </w:r>
      <w:r w:rsidRPr="0047594C">
        <w:rPr>
          <w:rFonts w:ascii="Arial" w:hAnsi="Arial" w:cs="Arial"/>
          <w:b/>
        </w:rPr>
        <w:t xml:space="preserve"> customers </w:t>
      </w:r>
      <w:r w:rsidRPr="005A5A95">
        <w:rPr>
          <w:rFonts w:ascii="Arial" w:hAnsi="Arial" w:cs="Arial"/>
          <w:b/>
        </w:rPr>
        <w:t xml:space="preserve">who </w:t>
      </w:r>
      <w:r w:rsidRPr="0047594C">
        <w:rPr>
          <w:rFonts w:ascii="Arial" w:hAnsi="Arial" w:cs="Arial"/>
          <w:b/>
        </w:rPr>
        <w:t>are engaged in the possession, use, cultivation and transfer of cannabis. A</w:t>
      </w:r>
      <w:r w:rsidRPr="00872AB9">
        <w:rPr>
          <w:rFonts w:ascii="Arial" w:hAnsi="Arial" w:cs="Arial"/>
          <w:b/>
        </w:rPr>
        <w:t xml:space="preserve">s a result, law enforcement authorities may seek to bring an action or actions against the Issuer, on the basis of, but not limited to, a claim of aiding and abetting another criminal’s activities. The Issuer will vigorously defend all such actions but such actions would have a material effect on the Issuer’s business and operations. </w:t>
      </w:r>
    </w:p>
    <w:p w14:paraId="1EC3EA2B" w14:textId="348A56FD" w:rsidR="00F07A0C" w:rsidRPr="00A92518" w:rsidRDefault="00F07A0C" w:rsidP="00734FF6">
      <w:pPr>
        <w:pStyle w:val="Heading2"/>
        <w:ind w:left="0" w:firstLine="0"/>
        <w:rPr>
          <w:rFonts w:cs="Arial"/>
          <w:sz w:val="24"/>
          <w:u w:val="single"/>
        </w:rPr>
      </w:pPr>
      <w:r w:rsidRPr="00A92518">
        <w:rPr>
          <w:rFonts w:cs="Arial"/>
          <w:sz w:val="24"/>
          <w:u w:val="single"/>
        </w:rPr>
        <w:t>Regulatory Risks</w:t>
      </w:r>
    </w:p>
    <w:p w14:paraId="5CFB4405" w14:textId="77777777" w:rsidR="00F07A0C" w:rsidRDefault="00F07A0C" w:rsidP="00734FF6">
      <w:pPr>
        <w:pStyle w:val="BodyText"/>
        <w:jc w:val="both"/>
        <w:rPr>
          <w:rFonts w:ascii="Arial" w:hAnsi="Arial" w:cs="Arial"/>
          <w:b/>
        </w:rPr>
      </w:pPr>
      <w:r w:rsidRPr="003606E5">
        <w:rPr>
          <w:rFonts w:ascii="Arial" w:hAnsi="Arial" w:cs="Arial"/>
          <w:b/>
        </w:rPr>
        <w:t xml:space="preserve">The activities of the Issuer </w:t>
      </w:r>
      <w:r>
        <w:rPr>
          <w:rFonts w:ascii="Arial" w:hAnsi="Arial" w:cs="Arial"/>
          <w:b/>
        </w:rPr>
        <w:t xml:space="preserve">are </w:t>
      </w:r>
      <w:r w:rsidRPr="003606E5">
        <w:rPr>
          <w:rFonts w:ascii="Arial" w:hAnsi="Arial" w:cs="Arial"/>
          <w:b/>
        </w:rPr>
        <w:t xml:space="preserve">subject to intense regulation by governmental authorities. Achievement of the Issuer’s business objectives are contingent, in part, upon compliance with regulatory requirements enacted by these governmental authorities and obtaining all regulatory approvals, where necessary, for the sale of its products. The Issuer cannot predict the time required to secure all appropriate regulatory approvals for its products, or the extent of testing and documentation that may be required by governmental authorities. Any delays in obtaining, or failure to obtain regulatory approvals would significantly delay the </w:t>
      </w:r>
      <w:r w:rsidRPr="003606E5">
        <w:rPr>
          <w:rFonts w:ascii="Arial" w:hAnsi="Arial" w:cs="Arial"/>
          <w:b/>
        </w:rPr>
        <w:lastRenderedPageBreak/>
        <w:t>development of markets and products and could have a material adverse effect on the business, results of operations and financial condition of the Issuer.</w:t>
      </w:r>
    </w:p>
    <w:p w14:paraId="2E6D49D6" w14:textId="77777777" w:rsidR="00F07A0C" w:rsidRPr="00A92518" w:rsidRDefault="00F07A0C" w:rsidP="00734FF6">
      <w:pPr>
        <w:pStyle w:val="Heading2"/>
        <w:ind w:left="0" w:firstLine="0"/>
        <w:rPr>
          <w:rFonts w:cs="Arial"/>
          <w:sz w:val="24"/>
          <w:u w:val="single"/>
        </w:rPr>
      </w:pPr>
      <w:r w:rsidRPr="00A92518">
        <w:rPr>
          <w:rFonts w:cs="Arial"/>
          <w:sz w:val="24"/>
          <w:u w:val="single"/>
        </w:rPr>
        <w:t>Risks Associated with Clearing Shares of Cannabis</w:t>
      </w:r>
      <w:r>
        <w:rPr>
          <w:rFonts w:cs="Arial"/>
          <w:sz w:val="24"/>
          <w:u w:val="single"/>
        </w:rPr>
        <w:t xml:space="preserve"> Companies with U.S. assets</w:t>
      </w:r>
    </w:p>
    <w:p w14:paraId="31B65E4D" w14:textId="77777777" w:rsidR="00F07A0C" w:rsidRDefault="00F07A0C" w:rsidP="00F07A0C">
      <w:pPr>
        <w:rPr>
          <w:rFonts w:ascii="Arial" w:hAnsi="Arial" w:cs="Arial"/>
        </w:rPr>
      </w:pPr>
    </w:p>
    <w:p w14:paraId="3C4C755B" w14:textId="77777777" w:rsidR="00F07A0C" w:rsidRDefault="00F07A0C" w:rsidP="00734FF6">
      <w:pPr>
        <w:jc w:val="both"/>
        <w:rPr>
          <w:rFonts w:ascii="Arial" w:hAnsi="Arial" w:cs="Arial"/>
        </w:rPr>
      </w:pPr>
      <w:r w:rsidRPr="00A92518">
        <w:rPr>
          <w:rFonts w:ascii="Arial" w:hAnsi="Arial" w:cs="Arial"/>
          <w:b/>
          <w:sz w:val="24"/>
          <w:lang w:val="en-GB"/>
        </w:rPr>
        <w:t>The Canadian Depository for Securities (CDS) is</w:t>
      </w:r>
      <w:r>
        <w:rPr>
          <w:rFonts w:ascii="Arial" w:hAnsi="Arial" w:cs="Arial"/>
          <w:b/>
          <w:sz w:val="24"/>
          <w:lang w:val="en-GB"/>
        </w:rPr>
        <w:t xml:space="preserve"> currently</w:t>
      </w:r>
      <w:r w:rsidRPr="00A92518">
        <w:rPr>
          <w:rFonts w:ascii="Arial" w:hAnsi="Arial" w:cs="Arial"/>
          <w:b/>
          <w:sz w:val="24"/>
          <w:lang w:val="en-GB"/>
        </w:rPr>
        <w:t xml:space="preserve"> reviewing </w:t>
      </w:r>
      <w:r>
        <w:rPr>
          <w:rFonts w:ascii="Arial" w:hAnsi="Arial" w:cs="Arial"/>
          <w:b/>
          <w:sz w:val="24"/>
          <w:lang w:val="en-GB"/>
        </w:rPr>
        <w:t xml:space="preserve">a possibility to change its policy which </w:t>
      </w:r>
      <w:r w:rsidRPr="00A92518">
        <w:rPr>
          <w:rFonts w:ascii="Arial" w:hAnsi="Arial" w:cs="Arial"/>
          <w:b/>
          <w:sz w:val="24"/>
          <w:lang w:val="en-GB"/>
        </w:rPr>
        <w:t xml:space="preserve">would </w:t>
      </w:r>
      <w:r>
        <w:rPr>
          <w:rFonts w:ascii="Arial" w:hAnsi="Arial" w:cs="Arial"/>
          <w:b/>
          <w:sz w:val="24"/>
          <w:lang w:val="en-GB"/>
        </w:rPr>
        <w:t xml:space="preserve">allow CDS to </w:t>
      </w:r>
      <w:r w:rsidRPr="00A92518">
        <w:rPr>
          <w:rFonts w:ascii="Arial" w:hAnsi="Arial" w:cs="Arial"/>
          <w:b/>
          <w:sz w:val="24"/>
          <w:lang w:val="en-GB"/>
        </w:rPr>
        <w:t>refuse to settle trades in a small group of cannabis f</w:t>
      </w:r>
      <w:r>
        <w:rPr>
          <w:rFonts w:ascii="Arial" w:hAnsi="Arial" w:cs="Arial"/>
          <w:b/>
          <w:sz w:val="24"/>
          <w:lang w:val="en-GB"/>
        </w:rPr>
        <w:t xml:space="preserve">irms with American investments. If implemented, this policy change would make it </w:t>
      </w:r>
      <w:r w:rsidRPr="00A92518">
        <w:rPr>
          <w:rFonts w:ascii="Arial" w:hAnsi="Arial" w:cs="Arial"/>
          <w:b/>
          <w:sz w:val="24"/>
          <w:lang w:val="en-GB"/>
        </w:rPr>
        <w:t>diff</w:t>
      </w:r>
      <w:r>
        <w:rPr>
          <w:rFonts w:ascii="Arial" w:hAnsi="Arial" w:cs="Arial"/>
          <w:b/>
          <w:sz w:val="24"/>
          <w:lang w:val="en-GB"/>
        </w:rPr>
        <w:t>icult for the Issuers’ current investors to trade the Issuer’s stock. The statement from the CSE made on Friday, August 4, 2017, noted that it continues to accept new stock listings of companies in the cannabis industries as long as these companies meet disclosure rules and other listing standards. The Issuer believes that it is in compliance with all required standards and has provided its shareholders with all regulatory and risk disclosures that may apply to it.</w:t>
      </w:r>
    </w:p>
    <w:p w14:paraId="7E714170" w14:textId="77777777" w:rsidR="00F07A0C" w:rsidRDefault="00F07A0C" w:rsidP="00F07A0C">
      <w:pPr>
        <w:pStyle w:val="List"/>
        <w:spacing w:before="120"/>
        <w:jc w:val="both"/>
        <w:rPr>
          <w:rFonts w:ascii="Arial" w:hAnsi="Arial"/>
        </w:rPr>
      </w:pPr>
    </w:p>
    <w:p w14:paraId="62F5613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A9EDAAF" w14:textId="77777777" w:rsidR="00640E94" w:rsidRDefault="00640E94">
      <w:pPr>
        <w:pStyle w:val="BodyText"/>
        <w:keepNext/>
        <w:rPr>
          <w:rFonts w:ascii="Arial" w:hAnsi="Arial"/>
        </w:rPr>
      </w:pPr>
      <w:r>
        <w:rPr>
          <w:rFonts w:ascii="Arial" w:hAnsi="Arial"/>
        </w:rPr>
        <w:t>The undersigned hereby certifies that:</w:t>
      </w:r>
    </w:p>
    <w:p w14:paraId="3B3860C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CE4F5F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D493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6ADC0D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2CB71BC" w14:textId="1B93CC2F" w:rsidR="00640E94" w:rsidRDefault="00640E94">
      <w:pPr>
        <w:pStyle w:val="BodyText"/>
        <w:tabs>
          <w:tab w:val="left" w:pos="4680"/>
          <w:tab w:val="left" w:pos="7200"/>
        </w:tabs>
        <w:spacing w:before="480"/>
        <w:jc w:val="both"/>
        <w:rPr>
          <w:rFonts w:ascii="Arial" w:hAnsi="Arial"/>
        </w:rPr>
      </w:pPr>
      <w:r>
        <w:rPr>
          <w:rFonts w:ascii="Arial" w:hAnsi="Arial"/>
        </w:rPr>
        <w:t>Dated</w:t>
      </w:r>
      <w:r w:rsidR="00F07A0C">
        <w:rPr>
          <w:rFonts w:ascii="Arial" w:hAnsi="Arial"/>
        </w:rPr>
        <w:t>:</w:t>
      </w:r>
      <w:r>
        <w:rPr>
          <w:rFonts w:ascii="Arial" w:hAnsi="Arial"/>
        </w:rPr>
        <w:t xml:space="preserve"> </w:t>
      </w:r>
      <w:r w:rsidR="00F07A0C">
        <w:rPr>
          <w:rFonts w:ascii="Arial" w:hAnsi="Arial"/>
        </w:rPr>
        <w:t xml:space="preserve"> </w:t>
      </w:r>
      <w:r w:rsidR="00F07A0C" w:rsidRPr="00F07A0C">
        <w:rPr>
          <w:rFonts w:ascii="Arial" w:hAnsi="Arial"/>
          <w:b/>
          <w:bCs/>
        </w:rPr>
        <w:t>December 9, 2019</w:t>
      </w:r>
      <w:r w:rsidRPr="00F07A0C">
        <w:rPr>
          <w:rFonts w:ascii="Arial" w:hAnsi="Arial"/>
          <w:b/>
          <w:bCs/>
        </w:rPr>
        <w:t>.</w:t>
      </w:r>
    </w:p>
    <w:p w14:paraId="31D728A4" w14:textId="5E8BE2CE" w:rsidR="00640E94" w:rsidRDefault="00640E94">
      <w:pPr>
        <w:pStyle w:val="List"/>
        <w:tabs>
          <w:tab w:val="left" w:pos="9180"/>
        </w:tabs>
        <w:ind w:left="5760" w:hanging="5760"/>
        <w:rPr>
          <w:rFonts w:ascii="Arial" w:hAnsi="Arial"/>
        </w:rPr>
      </w:pPr>
      <w:r>
        <w:rPr>
          <w:rFonts w:ascii="Arial" w:hAnsi="Arial"/>
        </w:rPr>
        <w:tab/>
      </w:r>
      <w:r w:rsidR="00F07A0C" w:rsidRPr="00F07A0C">
        <w:rPr>
          <w:rFonts w:ascii="Arial" w:hAnsi="Arial"/>
          <w:u w:val="single"/>
        </w:rPr>
        <w:t>Michele Pillon</w:t>
      </w:r>
      <w:r w:rsidRPr="00F07A0C">
        <w:rPr>
          <w:rFonts w:ascii="Arial" w:hAnsi="Arial"/>
          <w:u w:val="single"/>
        </w:rPr>
        <w:tab/>
      </w:r>
      <w:r>
        <w:rPr>
          <w:rFonts w:ascii="Arial" w:hAnsi="Arial"/>
          <w:u w:val="single"/>
        </w:rPr>
        <w:br/>
      </w:r>
      <w:r>
        <w:rPr>
          <w:rFonts w:ascii="Arial" w:hAnsi="Arial"/>
        </w:rPr>
        <w:t>Name of Director or Senior Officer</w:t>
      </w:r>
    </w:p>
    <w:p w14:paraId="263EF246" w14:textId="21C8C0CF" w:rsidR="00640E94" w:rsidRDefault="00640E94">
      <w:pPr>
        <w:pStyle w:val="List"/>
        <w:tabs>
          <w:tab w:val="left" w:pos="9180"/>
          <w:tab w:val="left" w:pos="9360"/>
        </w:tabs>
        <w:ind w:left="5760" w:hanging="5760"/>
        <w:rPr>
          <w:rFonts w:ascii="Arial" w:hAnsi="Arial"/>
        </w:rPr>
      </w:pPr>
      <w:r>
        <w:rPr>
          <w:rFonts w:ascii="Arial" w:hAnsi="Arial"/>
        </w:rPr>
        <w:tab/>
      </w:r>
      <w:r w:rsidR="00876A1A">
        <w:rPr>
          <w:rFonts w:ascii="Arial" w:hAnsi="Arial"/>
        </w:rPr>
        <w:t>“Michele Pillon”</w:t>
      </w:r>
      <w:bookmarkStart w:id="9" w:name="_GoBack"/>
      <w:bookmarkEnd w:id="9"/>
      <w:r>
        <w:rPr>
          <w:rFonts w:ascii="Arial" w:hAnsi="Arial"/>
        </w:rPr>
        <w:br/>
        <w:t>Signature</w:t>
      </w:r>
    </w:p>
    <w:p w14:paraId="57E120F9" w14:textId="3AB34D91" w:rsidR="00640E94" w:rsidRDefault="00F07A0C">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14:paraId="72BADD7A" w14:textId="77777777" w:rsidR="00640E94" w:rsidRDefault="00640E94">
      <w:pPr>
        <w:pStyle w:val="BodyText"/>
        <w:tabs>
          <w:tab w:val="left" w:pos="9180"/>
        </w:tabs>
        <w:spacing w:before="0"/>
        <w:ind w:left="5760"/>
        <w:rPr>
          <w:rFonts w:ascii="Arial" w:hAnsi="Arial"/>
        </w:rPr>
      </w:pPr>
    </w:p>
    <w:tbl>
      <w:tblPr>
        <w:tblW w:w="954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7"/>
        <w:gridCol w:w="2520"/>
        <w:gridCol w:w="2902"/>
        <w:gridCol w:w="8"/>
      </w:tblGrid>
      <w:tr w:rsidR="00640E94" w14:paraId="189D8826" w14:textId="77777777" w:rsidTr="00F07A0C">
        <w:trPr>
          <w:gridAfter w:val="1"/>
          <w:wAfter w:w="8" w:type="dxa"/>
        </w:trPr>
        <w:tc>
          <w:tcPr>
            <w:tcW w:w="4117" w:type="dxa"/>
            <w:tcBorders>
              <w:top w:val="single" w:sz="18" w:space="0" w:color="auto"/>
              <w:bottom w:val="nil"/>
              <w:right w:val="single" w:sz="18" w:space="0" w:color="auto"/>
            </w:tcBorders>
          </w:tcPr>
          <w:p w14:paraId="05CF762D" w14:textId="77777777" w:rsidR="00640E94" w:rsidRDefault="00640E94">
            <w:pPr>
              <w:pStyle w:val="BodyText"/>
              <w:spacing w:before="0"/>
              <w:rPr>
                <w:rFonts w:ascii="Arial" w:hAnsi="Arial"/>
                <w:b/>
                <w:i/>
              </w:rPr>
            </w:pPr>
            <w:r>
              <w:rPr>
                <w:rFonts w:ascii="Arial" w:hAnsi="Arial"/>
                <w:b/>
                <w:i/>
              </w:rPr>
              <w:t>Issuer Details</w:t>
            </w:r>
          </w:p>
          <w:p w14:paraId="02F562B6" w14:textId="77777777" w:rsidR="00640E94" w:rsidRDefault="00640E94">
            <w:pPr>
              <w:pStyle w:val="BodyText"/>
              <w:spacing w:before="0"/>
              <w:rPr>
                <w:rFonts w:ascii="Arial" w:hAnsi="Arial"/>
              </w:rPr>
            </w:pPr>
            <w:r>
              <w:rPr>
                <w:rFonts w:ascii="Arial" w:hAnsi="Arial"/>
              </w:rPr>
              <w:t>Name of Issuer</w:t>
            </w:r>
          </w:p>
          <w:p w14:paraId="1AD882BD" w14:textId="1738E4D7" w:rsidR="00640E94" w:rsidRDefault="00F07A0C">
            <w:pPr>
              <w:pStyle w:val="BodyText"/>
              <w:rPr>
                <w:rFonts w:ascii="Arial" w:hAnsi="Arial"/>
              </w:rPr>
            </w:pPr>
            <w:r>
              <w:rPr>
                <w:rFonts w:ascii="Arial" w:hAnsi="Arial"/>
              </w:rPr>
              <w:t>TransCanna Holdings Inc.</w:t>
            </w:r>
          </w:p>
        </w:tc>
        <w:tc>
          <w:tcPr>
            <w:tcW w:w="2520" w:type="dxa"/>
            <w:tcBorders>
              <w:top w:val="single" w:sz="18" w:space="0" w:color="auto"/>
              <w:left w:val="single" w:sz="18" w:space="0" w:color="auto"/>
              <w:bottom w:val="nil"/>
              <w:right w:val="single" w:sz="18" w:space="0" w:color="auto"/>
            </w:tcBorders>
          </w:tcPr>
          <w:p w14:paraId="7E669C83" w14:textId="7507ED46" w:rsidR="00640E94" w:rsidRDefault="00640E94">
            <w:pPr>
              <w:pStyle w:val="BodyText"/>
              <w:spacing w:before="0"/>
              <w:rPr>
                <w:rFonts w:ascii="Arial" w:hAnsi="Arial"/>
              </w:rPr>
            </w:pPr>
            <w:r>
              <w:rPr>
                <w:rFonts w:ascii="Arial" w:hAnsi="Arial"/>
              </w:rPr>
              <w:t>For Month End</w:t>
            </w:r>
          </w:p>
          <w:p w14:paraId="306C04B8" w14:textId="77777777" w:rsidR="00F07A0C" w:rsidRDefault="00F07A0C">
            <w:pPr>
              <w:pStyle w:val="BodyText"/>
              <w:spacing w:before="0"/>
              <w:rPr>
                <w:rFonts w:ascii="Arial" w:hAnsi="Arial"/>
              </w:rPr>
            </w:pPr>
          </w:p>
          <w:p w14:paraId="05E68F4E" w14:textId="77777777" w:rsidR="00F07A0C" w:rsidRDefault="00F07A0C">
            <w:pPr>
              <w:pStyle w:val="BodyText"/>
              <w:spacing w:before="0"/>
              <w:rPr>
                <w:rFonts w:ascii="Arial" w:hAnsi="Arial"/>
              </w:rPr>
            </w:pPr>
          </w:p>
          <w:p w14:paraId="7F1C3CFD" w14:textId="56968832" w:rsidR="00F07A0C" w:rsidRDefault="00F07A0C">
            <w:pPr>
              <w:pStyle w:val="BodyText"/>
              <w:spacing w:before="0"/>
              <w:rPr>
                <w:rFonts w:ascii="Arial" w:hAnsi="Arial"/>
              </w:rPr>
            </w:pPr>
            <w:r>
              <w:rPr>
                <w:rFonts w:ascii="Arial" w:hAnsi="Arial"/>
              </w:rPr>
              <w:t>October 31, 2019</w:t>
            </w:r>
          </w:p>
        </w:tc>
        <w:tc>
          <w:tcPr>
            <w:tcW w:w="2902" w:type="dxa"/>
            <w:tcBorders>
              <w:top w:val="single" w:sz="18" w:space="0" w:color="auto"/>
              <w:left w:val="single" w:sz="18" w:space="0" w:color="auto"/>
              <w:bottom w:val="nil"/>
            </w:tcBorders>
          </w:tcPr>
          <w:p w14:paraId="795CACD1" w14:textId="77777777" w:rsidR="00640E94" w:rsidRDefault="00640E94">
            <w:pPr>
              <w:pStyle w:val="BodyText"/>
              <w:spacing w:before="0"/>
              <w:rPr>
                <w:rFonts w:ascii="Arial" w:hAnsi="Arial"/>
              </w:rPr>
            </w:pPr>
            <w:r>
              <w:rPr>
                <w:rFonts w:ascii="Arial" w:hAnsi="Arial"/>
              </w:rPr>
              <w:t>Date of Report</w:t>
            </w:r>
          </w:p>
          <w:p w14:paraId="5CB082CC" w14:textId="77777777" w:rsidR="00640E94" w:rsidRDefault="00640E94">
            <w:pPr>
              <w:pStyle w:val="BodyText"/>
              <w:spacing w:before="0"/>
              <w:rPr>
                <w:rFonts w:ascii="Arial" w:hAnsi="Arial"/>
              </w:rPr>
            </w:pPr>
            <w:r>
              <w:rPr>
                <w:rFonts w:ascii="Arial" w:hAnsi="Arial"/>
              </w:rPr>
              <w:t>YY/MM/D</w:t>
            </w:r>
          </w:p>
          <w:p w14:paraId="19EEF6C9" w14:textId="77777777" w:rsidR="00F07A0C" w:rsidRDefault="00F07A0C">
            <w:pPr>
              <w:pStyle w:val="BodyText"/>
              <w:spacing w:before="0"/>
              <w:rPr>
                <w:rFonts w:ascii="Arial" w:hAnsi="Arial"/>
              </w:rPr>
            </w:pPr>
          </w:p>
          <w:p w14:paraId="735ED851" w14:textId="791446D9" w:rsidR="00F07A0C" w:rsidRDefault="00F07A0C">
            <w:pPr>
              <w:pStyle w:val="BodyText"/>
              <w:spacing w:before="0"/>
              <w:rPr>
                <w:rFonts w:ascii="Arial" w:hAnsi="Arial"/>
              </w:rPr>
            </w:pPr>
            <w:r>
              <w:rPr>
                <w:rFonts w:ascii="Arial" w:hAnsi="Arial"/>
              </w:rPr>
              <w:t>19/12/09</w:t>
            </w:r>
          </w:p>
        </w:tc>
      </w:tr>
      <w:tr w:rsidR="00640E94" w14:paraId="47357825" w14:textId="77777777" w:rsidTr="00F07A0C">
        <w:trPr>
          <w:cantSplit/>
        </w:trPr>
        <w:tc>
          <w:tcPr>
            <w:tcW w:w="9547" w:type="dxa"/>
            <w:gridSpan w:val="4"/>
            <w:tcBorders>
              <w:top w:val="single" w:sz="18" w:space="0" w:color="auto"/>
              <w:bottom w:val="single" w:sz="18" w:space="0" w:color="auto"/>
            </w:tcBorders>
          </w:tcPr>
          <w:p w14:paraId="6E7CE2DB" w14:textId="77777777" w:rsidR="00640E94" w:rsidRDefault="00640E94">
            <w:pPr>
              <w:pStyle w:val="BodyText"/>
              <w:spacing w:before="0"/>
              <w:rPr>
                <w:rFonts w:ascii="Arial" w:hAnsi="Arial"/>
              </w:rPr>
            </w:pPr>
            <w:r>
              <w:rPr>
                <w:rFonts w:ascii="Arial" w:hAnsi="Arial"/>
              </w:rPr>
              <w:t>Issuer Address</w:t>
            </w:r>
          </w:p>
          <w:p w14:paraId="4817EF95" w14:textId="77777777" w:rsidR="00640E94" w:rsidRDefault="00640E94">
            <w:pPr>
              <w:pStyle w:val="BodyText"/>
              <w:spacing w:before="0"/>
              <w:rPr>
                <w:rFonts w:ascii="Arial" w:hAnsi="Arial"/>
              </w:rPr>
            </w:pPr>
          </w:p>
          <w:p w14:paraId="594F0311" w14:textId="7595FBF0" w:rsidR="00640E94" w:rsidRDefault="00F07A0C">
            <w:pPr>
              <w:pStyle w:val="BodyText"/>
              <w:spacing w:before="0"/>
              <w:rPr>
                <w:rFonts w:ascii="Arial" w:hAnsi="Arial"/>
              </w:rPr>
            </w:pPr>
            <w:r>
              <w:rPr>
                <w:rFonts w:ascii="Arial" w:hAnsi="Arial"/>
              </w:rPr>
              <w:t>#928 – 1030 West Georgia St.</w:t>
            </w:r>
          </w:p>
        </w:tc>
      </w:tr>
      <w:tr w:rsidR="00640E94" w14:paraId="1AF76B29" w14:textId="77777777" w:rsidTr="00F07A0C">
        <w:trPr>
          <w:gridAfter w:val="1"/>
          <w:wAfter w:w="8" w:type="dxa"/>
        </w:trPr>
        <w:tc>
          <w:tcPr>
            <w:tcW w:w="4117" w:type="dxa"/>
            <w:tcBorders>
              <w:top w:val="single" w:sz="18" w:space="0" w:color="auto"/>
              <w:bottom w:val="single" w:sz="18" w:space="0" w:color="auto"/>
              <w:right w:val="single" w:sz="18" w:space="0" w:color="auto"/>
            </w:tcBorders>
          </w:tcPr>
          <w:p w14:paraId="694EFC87" w14:textId="77777777" w:rsidR="00640E94" w:rsidRDefault="00640E94">
            <w:pPr>
              <w:pStyle w:val="BodyText"/>
              <w:spacing w:before="0"/>
              <w:rPr>
                <w:rFonts w:ascii="Arial" w:hAnsi="Arial"/>
              </w:rPr>
            </w:pPr>
            <w:r>
              <w:rPr>
                <w:rFonts w:ascii="Arial" w:hAnsi="Arial"/>
              </w:rPr>
              <w:t>City/Province/Postal Code</w:t>
            </w:r>
          </w:p>
          <w:p w14:paraId="163AC620" w14:textId="77777777" w:rsidR="00640E94" w:rsidRDefault="00640E94">
            <w:pPr>
              <w:pStyle w:val="BodyText"/>
              <w:spacing w:before="0"/>
              <w:rPr>
                <w:rFonts w:ascii="Arial" w:hAnsi="Arial"/>
              </w:rPr>
            </w:pPr>
          </w:p>
          <w:p w14:paraId="67CF6F7F" w14:textId="6F2EC81B" w:rsidR="00640E94" w:rsidRDefault="00F07A0C">
            <w:pPr>
              <w:pStyle w:val="BodyText"/>
              <w:spacing w:before="0"/>
              <w:rPr>
                <w:rFonts w:ascii="Arial" w:hAnsi="Arial"/>
              </w:rPr>
            </w:pPr>
            <w:r>
              <w:rPr>
                <w:rFonts w:ascii="Arial" w:hAnsi="Arial"/>
              </w:rPr>
              <w:t>Vancouver, BC V6E 2Y3</w:t>
            </w:r>
          </w:p>
        </w:tc>
        <w:tc>
          <w:tcPr>
            <w:tcW w:w="2520" w:type="dxa"/>
            <w:tcBorders>
              <w:top w:val="single" w:sz="18" w:space="0" w:color="auto"/>
              <w:left w:val="single" w:sz="18" w:space="0" w:color="auto"/>
              <w:bottom w:val="single" w:sz="18" w:space="0" w:color="auto"/>
              <w:right w:val="single" w:sz="18" w:space="0" w:color="auto"/>
            </w:tcBorders>
          </w:tcPr>
          <w:p w14:paraId="1BF54BFB" w14:textId="77777777" w:rsidR="00640E94" w:rsidRDefault="00640E94">
            <w:pPr>
              <w:pStyle w:val="BodyText"/>
              <w:spacing w:before="0"/>
              <w:rPr>
                <w:rFonts w:ascii="Arial" w:hAnsi="Arial"/>
              </w:rPr>
            </w:pPr>
            <w:r>
              <w:rPr>
                <w:rFonts w:ascii="Arial" w:hAnsi="Arial"/>
              </w:rPr>
              <w:t>Issuer Fax No.</w:t>
            </w:r>
          </w:p>
          <w:p w14:paraId="2C70A4CA" w14:textId="77777777" w:rsidR="00640E94" w:rsidRDefault="00640E94">
            <w:pPr>
              <w:pStyle w:val="BodyText"/>
              <w:spacing w:before="0"/>
              <w:rPr>
                <w:rFonts w:ascii="Arial" w:hAnsi="Arial"/>
              </w:rPr>
            </w:pPr>
            <w:r>
              <w:rPr>
                <w:rFonts w:ascii="Arial" w:hAnsi="Arial"/>
              </w:rPr>
              <w:t>(     )</w:t>
            </w:r>
          </w:p>
        </w:tc>
        <w:tc>
          <w:tcPr>
            <w:tcW w:w="2902" w:type="dxa"/>
            <w:tcBorders>
              <w:top w:val="single" w:sz="18" w:space="0" w:color="auto"/>
              <w:left w:val="single" w:sz="18" w:space="0" w:color="auto"/>
              <w:bottom w:val="single" w:sz="18" w:space="0" w:color="auto"/>
            </w:tcBorders>
          </w:tcPr>
          <w:p w14:paraId="786EB398" w14:textId="77777777" w:rsidR="00640E94" w:rsidRDefault="00640E94">
            <w:pPr>
              <w:pStyle w:val="BodyText"/>
              <w:spacing w:before="0"/>
              <w:rPr>
                <w:rFonts w:ascii="Arial" w:hAnsi="Arial"/>
              </w:rPr>
            </w:pPr>
            <w:r>
              <w:rPr>
                <w:rFonts w:ascii="Arial" w:hAnsi="Arial"/>
              </w:rPr>
              <w:t>Issuer Telephone No.</w:t>
            </w:r>
          </w:p>
          <w:p w14:paraId="49ECC2BB" w14:textId="77777777" w:rsidR="00640E94" w:rsidRDefault="00640E94">
            <w:pPr>
              <w:pStyle w:val="BodyText"/>
              <w:spacing w:before="0"/>
              <w:rPr>
                <w:rFonts w:ascii="Arial" w:hAnsi="Arial"/>
              </w:rPr>
            </w:pPr>
            <w:r>
              <w:rPr>
                <w:rFonts w:ascii="Arial" w:hAnsi="Arial"/>
              </w:rPr>
              <w:t>(     )</w:t>
            </w:r>
          </w:p>
        </w:tc>
      </w:tr>
      <w:tr w:rsidR="00640E94" w14:paraId="3D97D06B" w14:textId="77777777" w:rsidTr="00F07A0C">
        <w:trPr>
          <w:gridAfter w:val="1"/>
          <w:wAfter w:w="8" w:type="dxa"/>
        </w:trPr>
        <w:tc>
          <w:tcPr>
            <w:tcW w:w="4117" w:type="dxa"/>
            <w:tcBorders>
              <w:top w:val="single" w:sz="18" w:space="0" w:color="auto"/>
              <w:bottom w:val="single" w:sz="18" w:space="0" w:color="auto"/>
              <w:right w:val="single" w:sz="18" w:space="0" w:color="auto"/>
            </w:tcBorders>
          </w:tcPr>
          <w:p w14:paraId="20D6B49A" w14:textId="77777777" w:rsidR="00640E94" w:rsidRDefault="00640E94">
            <w:pPr>
              <w:pStyle w:val="BodyText"/>
              <w:spacing w:before="0"/>
              <w:rPr>
                <w:rFonts w:ascii="Arial" w:hAnsi="Arial"/>
              </w:rPr>
            </w:pPr>
            <w:r>
              <w:rPr>
                <w:rFonts w:ascii="Arial" w:hAnsi="Arial"/>
              </w:rPr>
              <w:t>Contact Name</w:t>
            </w:r>
          </w:p>
          <w:p w14:paraId="67DB2DF7" w14:textId="77777777" w:rsidR="00640E94" w:rsidRDefault="00640E94">
            <w:pPr>
              <w:pStyle w:val="BodyText"/>
              <w:spacing w:before="0"/>
              <w:rPr>
                <w:rFonts w:ascii="Arial" w:hAnsi="Arial"/>
              </w:rPr>
            </w:pPr>
          </w:p>
          <w:p w14:paraId="5E7F5B82" w14:textId="055346C4" w:rsidR="00640E94" w:rsidRDefault="00F07A0C">
            <w:pPr>
              <w:pStyle w:val="BodyText"/>
              <w:spacing w:before="0"/>
              <w:rPr>
                <w:rFonts w:ascii="Arial" w:hAnsi="Arial"/>
              </w:rPr>
            </w:pPr>
            <w:r>
              <w:rPr>
                <w:rFonts w:ascii="Arial" w:hAnsi="Arial"/>
              </w:rPr>
              <w:t>Michele Pillon</w:t>
            </w:r>
          </w:p>
        </w:tc>
        <w:tc>
          <w:tcPr>
            <w:tcW w:w="2520" w:type="dxa"/>
            <w:tcBorders>
              <w:top w:val="single" w:sz="18" w:space="0" w:color="auto"/>
              <w:left w:val="single" w:sz="18" w:space="0" w:color="auto"/>
              <w:bottom w:val="single" w:sz="18" w:space="0" w:color="auto"/>
              <w:right w:val="single" w:sz="18" w:space="0" w:color="auto"/>
            </w:tcBorders>
          </w:tcPr>
          <w:p w14:paraId="1970B8CD" w14:textId="77777777" w:rsidR="00640E94" w:rsidRDefault="00640E94">
            <w:pPr>
              <w:pStyle w:val="BodyText"/>
              <w:spacing w:before="0"/>
              <w:rPr>
                <w:rFonts w:ascii="Arial" w:hAnsi="Arial"/>
              </w:rPr>
            </w:pPr>
            <w:r>
              <w:rPr>
                <w:rFonts w:ascii="Arial" w:hAnsi="Arial"/>
              </w:rPr>
              <w:t>Contact Position</w:t>
            </w:r>
          </w:p>
          <w:p w14:paraId="683F6FC5" w14:textId="77777777" w:rsidR="00F07A0C" w:rsidRDefault="00F07A0C">
            <w:pPr>
              <w:pStyle w:val="BodyText"/>
              <w:spacing w:before="0"/>
              <w:rPr>
                <w:rFonts w:ascii="Arial" w:hAnsi="Arial"/>
              </w:rPr>
            </w:pPr>
          </w:p>
          <w:p w14:paraId="56E670F4" w14:textId="76756173" w:rsidR="00F07A0C" w:rsidRDefault="00F07A0C">
            <w:pPr>
              <w:pStyle w:val="BodyText"/>
              <w:spacing w:before="0"/>
              <w:rPr>
                <w:rFonts w:ascii="Arial" w:hAnsi="Arial"/>
              </w:rPr>
            </w:pPr>
            <w:r>
              <w:rPr>
                <w:rFonts w:ascii="Arial" w:hAnsi="Arial"/>
              </w:rPr>
              <w:t>CFO</w:t>
            </w:r>
          </w:p>
        </w:tc>
        <w:tc>
          <w:tcPr>
            <w:tcW w:w="2902" w:type="dxa"/>
            <w:tcBorders>
              <w:top w:val="single" w:sz="18" w:space="0" w:color="auto"/>
              <w:left w:val="single" w:sz="18" w:space="0" w:color="auto"/>
              <w:bottom w:val="single" w:sz="18" w:space="0" w:color="auto"/>
            </w:tcBorders>
          </w:tcPr>
          <w:p w14:paraId="79184523" w14:textId="77777777" w:rsidR="00640E94" w:rsidRDefault="00640E94">
            <w:pPr>
              <w:pStyle w:val="BodyText"/>
              <w:spacing w:before="0"/>
              <w:rPr>
                <w:rFonts w:ascii="Arial" w:hAnsi="Arial"/>
              </w:rPr>
            </w:pPr>
            <w:r>
              <w:rPr>
                <w:rFonts w:ascii="Arial" w:hAnsi="Arial"/>
              </w:rPr>
              <w:t>Contact Telephone No.</w:t>
            </w:r>
          </w:p>
          <w:p w14:paraId="1C748531" w14:textId="77777777" w:rsidR="00F07A0C" w:rsidRDefault="00F07A0C">
            <w:pPr>
              <w:pStyle w:val="BodyText"/>
              <w:spacing w:before="0"/>
              <w:rPr>
                <w:rFonts w:ascii="Arial" w:hAnsi="Arial"/>
              </w:rPr>
            </w:pPr>
          </w:p>
          <w:p w14:paraId="61881B9A" w14:textId="53A17F49" w:rsidR="00F07A0C" w:rsidRDefault="00F07A0C">
            <w:pPr>
              <w:pStyle w:val="BodyText"/>
              <w:spacing w:before="0"/>
              <w:rPr>
                <w:rFonts w:ascii="Arial" w:hAnsi="Arial"/>
              </w:rPr>
            </w:pPr>
            <w:r>
              <w:rPr>
                <w:rFonts w:ascii="Arial" w:hAnsi="Arial"/>
              </w:rPr>
              <w:t>604-657-2109</w:t>
            </w:r>
          </w:p>
        </w:tc>
      </w:tr>
      <w:tr w:rsidR="00640E94" w14:paraId="43BFD0A6" w14:textId="77777777" w:rsidTr="00F07A0C">
        <w:trPr>
          <w:cantSplit/>
        </w:trPr>
        <w:tc>
          <w:tcPr>
            <w:tcW w:w="4117" w:type="dxa"/>
            <w:tcBorders>
              <w:top w:val="single" w:sz="18" w:space="0" w:color="auto"/>
              <w:bottom w:val="single" w:sz="18" w:space="0" w:color="auto"/>
              <w:right w:val="single" w:sz="18" w:space="0" w:color="auto"/>
            </w:tcBorders>
          </w:tcPr>
          <w:p w14:paraId="04235AD0" w14:textId="77777777" w:rsidR="00640E94" w:rsidRDefault="00640E94">
            <w:pPr>
              <w:pStyle w:val="BodyText"/>
              <w:spacing w:before="0"/>
              <w:rPr>
                <w:rFonts w:ascii="Arial" w:hAnsi="Arial"/>
              </w:rPr>
            </w:pPr>
            <w:r>
              <w:rPr>
                <w:rFonts w:ascii="Arial" w:hAnsi="Arial"/>
              </w:rPr>
              <w:t>Contact Email Address</w:t>
            </w:r>
          </w:p>
          <w:p w14:paraId="5B5F8B0B" w14:textId="6FF83838" w:rsidR="00640E94" w:rsidRDefault="00F07A0C">
            <w:pPr>
              <w:pStyle w:val="BodyText"/>
              <w:spacing w:before="0"/>
              <w:rPr>
                <w:rFonts w:ascii="Arial" w:hAnsi="Arial"/>
              </w:rPr>
            </w:pPr>
            <w:r>
              <w:rPr>
                <w:rFonts w:ascii="Arial" w:hAnsi="Arial"/>
              </w:rPr>
              <w:t>mpillon@transcanna.com</w:t>
            </w:r>
          </w:p>
        </w:tc>
        <w:tc>
          <w:tcPr>
            <w:tcW w:w="5430" w:type="dxa"/>
            <w:gridSpan w:val="3"/>
            <w:tcBorders>
              <w:top w:val="single" w:sz="18" w:space="0" w:color="auto"/>
              <w:left w:val="single" w:sz="18" w:space="0" w:color="auto"/>
              <w:bottom w:val="single" w:sz="18" w:space="0" w:color="auto"/>
            </w:tcBorders>
          </w:tcPr>
          <w:p w14:paraId="7B6608A6" w14:textId="77777777" w:rsidR="00640E94" w:rsidRDefault="00640E94">
            <w:pPr>
              <w:pStyle w:val="BodyText"/>
              <w:spacing w:before="0"/>
              <w:rPr>
                <w:rFonts w:ascii="Arial" w:hAnsi="Arial"/>
              </w:rPr>
            </w:pPr>
            <w:r>
              <w:rPr>
                <w:rFonts w:ascii="Arial" w:hAnsi="Arial"/>
              </w:rPr>
              <w:t>Web Site Address</w:t>
            </w:r>
          </w:p>
          <w:p w14:paraId="1466B87A" w14:textId="0C3294E8" w:rsidR="00640E94" w:rsidRDefault="00F07A0C">
            <w:pPr>
              <w:pStyle w:val="BodyText"/>
              <w:spacing w:before="0"/>
              <w:rPr>
                <w:rFonts w:ascii="Arial" w:hAnsi="Arial"/>
              </w:rPr>
            </w:pPr>
            <w:r>
              <w:rPr>
                <w:rFonts w:ascii="Arial" w:hAnsi="Arial"/>
              </w:rPr>
              <w:t>www.transcanna.com</w:t>
            </w:r>
          </w:p>
        </w:tc>
      </w:tr>
    </w:tbl>
    <w:p w14:paraId="30B45037"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C5837" w14:textId="77777777" w:rsidR="00636CF1" w:rsidRDefault="00636CF1">
      <w:r>
        <w:separator/>
      </w:r>
    </w:p>
  </w:endnote>
  <w:endnote w:type="continuationSeparator" w:id="0">
    <w:p w14:paraId="025D5430" w14:textId="77777777" w:rsidR="00636CF1" w:rsidRDefault="0063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BD3F" w14:textId="77777777" w:rsidR="00640E94" w:rsidRDefault="00640E94">
    <w:pPr>
      <w:pStyle w:val="Footer"/>
      <w:tabs>
        <w:tab w:val="clear" w:pos="4320"/>
        <w:tab w:val="clear" w:pos="8640"/>
        <w:tab w:val="center" w:pos="4680"/>
        <w:tab w:val="right" w:pos="9360"/>
      </w:tabs>
      <w:rPr>
        <w:b/>
      </w:rPr>
    </w:pPr>
  </w:p>
  <w:p w14:paraId="554EF1C7"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34472EA" wp14:editId="63F9491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F377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09E3B9B"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1617AC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3FF5" w14:textId="77777777" w:rsidR="00640E94" w:rsidRDefault="00640E94">
    <w:pPr>
      <w:pStyle w:val="Footer"/>
      <w:tabs>
        <w:tab w:val="clear" w:pos="4320"/>
        <w:tab w:val="clear" w:pos="8640"/>
        <w:tab w:val="center" w:pos="4680"/>
        <w:tab w:val="right" w:pos="9360"/>
      </w:tabs>
      <w:rPr>
        <w:b/>
      </w:rPr>
    </w:pPr>
  </w:p>
  <w:p w14:paraId="5A7964B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D758ECE" wp14:editId="51F46F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2F9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7E19514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C4F6B8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FE402" w14:textId="77777777" w:rsidR="00636CF1" w:rsidRDefault="00636CF1">
      <w:r>
        <w:separator/>
      </w:r>
    </w:p>
  </w:footnote>
  <w:footnote w:type="continuationSeparator" w:id="0">
    <w:p w14:paraId="7FF9118F" w14:textId="77777777" w:rsidR="00636CF1" w:rsidRDefault="00636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334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92DFC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B97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yMDU2MjEyt7A0MTdV0lEKTi0uzszPAykwqgUAGuIsjCwAAAA="/>
  </w:docVars>
  <w:rsids>
    <w:rsidRoot w:val="00A47914"/>
    <w:rsid w:val="000A1AB1"/>
    <w:rsid w:val="002A756B"/>
    <w:rsid w:val="002C281E"/>
    <w:rsid w:val="002C4E89"/>
    <w:rsid w:val="002E2B69"/>
    <w:rsid w:val="002F00EB"/>
    <w:rsid w:val="003669A9"/>
    <w:rsid w:val="00371A64"/>
    <w:rsid w:val="00387FA8"/>
    <w:rsid w:val="003D2A65"/>
    <w:rsid w:val="005453C8"/>
    <w:rsid w:val="0055263D"/>
    <w:rsid w:val="005979BA"/>
    <w:rsid w:val="005F6D8F"/>
    <w:rsid w:val="00620E7F"/>
    <w:rsid w:val="00633ED3"/>
    <w:rsid w:val="00635E9A"/>
    <w:rsid w:val="00636CF1"/>
    <w:rsid w:val="00640E94"/>
    <w:rsid w:val="006513E3"/>
    <w:rsid w:val="006D1A06"/>
    <w:rsid w:val="00734FF6"/>
    <w:rsid w:val="00813056"/>
    <w:rsid w:val="00876A1A"/>
    <w:rsid w:val="008B588C"/>
    <w:rsid w:val="008B7E92"/>
    <w:rsid w:val="00922A46"/>
    <w:rsid w:val="0093204C"/>
    <w:rsid w:val="00A47914"/>
    <w:rsid w:val="00C27A18"/>
    <w:rsid w:val="00C6383E"/>
    <w:rsid w:val="00C84851"/>
    <w:rsid w:val="00CB597F"/>
    <w:rsid w:val="00E36141"/>
    <w:rsid w:val="00E57076"/>
    <w:rsid w:val="00E83E58"/>
    <w:rsid w:val="00F0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F01CDED"/>
  <w15:docId w15:val="{912EFBC1-ED94-4941-B309-AA02C83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Emily Davis</cp:lastModifiedBy>
  <cp:revision>2</cp:revision>
  <cp:lastPrinted>2019-12-09T23:53:00Z</cp:lastPrinted>
  <dcterms:created xsi:type="dcterms:W3CDTF">2019-12-10T00:06:00Z</dcterms:created>
  <dcterms:modified xsi:type="dcterms:W3CDTF">2019-12-10T00:06:00Z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