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D02ECB">
        <w:rPr>
          <w:rFonts w:ascii="Arial" w:hAnsi="Arial"/>
          <w:i/>
          <w:color w:val="000000"/>
        </w:rPr>
        <w:t>171,039,468</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185EC3">
        <w:rPr>
          <w:rFonts w:ascii="Arial" w:hAnsi="Arial"/>
          <w:i/>
          <w:color w:val="000000"/>
        </w:rPr>
        <w:t>October</w:t>
      </w:r>
      <w:r w:rsidR="00930B9E">
        <w:rPr>
          <w:rFonts w:ascii="Arial" w:hAnsi="Arial"/>
          <w:i/>
          <w:color w:val="000000"/>
        </w:rPr>
        <w:t xml:space="preserve"> </w:t>
      </w:r>
      <w:r w:rsidR="00185EC3">
        <w:rPr>
          <w:rFonts w:ascii="Arial" w:hAnsi="Arial"/>
          <w:i/>
          <w:color w:val="000000"/>
        </w:rPr>
        <w:t>7</w:t>
      </w:r>
      <w:r w:rsidR="00910E5D" w:rsidRPr="001B67EA">
        <w:rPr>
          <w:rFonts w:ascii="Arial" w:hAnsi="Arial"/>
          <w:i/>
          <w:color w:val="000000"/>
        </w:rPr>
        <w:t>,</w:t>
      </w:r>
      <w:r w:rsidR="008954FB">
        <w:rPr>
          <w:rFonts w:ascii="Arial" w:hAnsi="Arial"/>
          <w:i/>
          <w:color w:val="000000"/>
        </w:rPr>
        <w:t xml:space="preserve"> 2019</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B17AEE" w:rsidRDefault="00445648" w:rsidP="00245BA2">
      <w:pPr>
        <w:pStyle w:val="List"/>
        <w:spacing w:before="120"/>
        <w:ind w:left="720" w:firstLine="0"/>
        <w:jc w:val="both"/>
        <w:rPr>
          <w:rFonts w:ascii="Arial" w:hAnsi="Arial"/>
          <w:i/>
        </w:rPr>
      </w:pPr>
      <w:r>
        <w:rPr>
          <w:rFonts w:ascii="Arial" w:hAnsi="Arial"/>
          <w:i/>
        </w:rPr>
        <w:t>I</w:t>
      </w:r>
      <w:r w:rsidR="00D708C2">
        <w:rPr>
          <w:rFonts w:ascii="Arial" w:hAnsi="Arial"/>
          <w:i/>
        </w:rPr>
        <w:t>n September 2019,</w:t>
      </w:r>
      <w:r>
        <w:rPr>
          <w:rFonts w:ascii="Arial" w:hAnsi="Arial"/>
          <w:i/>
        </w:rPr>
        <w:t xml:space="preserve"> Pivot signed a letter of intent</w:t>
      </w:r>
      <w:r w:rsidR="00930B9E">
        <w:rPr>
          <w:rFonts w:ascii="Arial" w:hAnsi="Arial"/>
          <w:i/>
        </w:rPr>
        <w:t xml:space="preserve"> </w:t>
      </w:r>
      <w:r w:rsidR="00D708C2">
        <w:rPr>
          <w:rFonts w:ascii="Arial" w:hAnsi="Arial"/>
          <w:i/>
        </w:rPr>
        <w:t xml:space="preserve">to acquire 51% of </w:t>
      </w:r>
      <w:proofErr w:type="spellStart"/>
      <w:r w:rsidR="00D708C2" w:rsidRPr="00D708C2">
        <w:rPr>
          <w:rFonts w:ascii="Arial" w:hAnsi="Arial"/>
          <w:i/>
        </w:rPr>
        <w:t>iAmHealth</w:t>
      </w:r>
      <w:proofErr w:type="spellEnd"/>
      <w:r w:rsidR="00D708C2" w:rsidRPr="00D708C2">
        <w:rPr>
          <w:rFonts w:ascii="Arial" w:hAnsi="Arial"/>
          <w:i/>
        </w:rPr>
        <w:t>, an online nutraceutical distribution and sales platform serving the EU market</w:t>
      </w:r>
      <w:r w:rsidR="00D708C2">
        <w:rPr>
          <w:rFonts w:ascii="Arial" w:hAnsi="Arial"/>
          <w:i/>
        </w:rPr>
        <w:t xml:space="preserve"> and with execution of a definitive agreement no later than December 31, 2019.</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D708C2" w:rsidP="0014406D">
      <w:pPr>
        <w:pStyle w:val="List"/>
        <w:spacing w:before="120"/>
        <w:ind w:left="720" w:firstLine="0"/>
        <w:jc w:val="both"/>
        <w:rPr>
          <w:rFonts w:ascii="Arial" w:hAnsi="Arial"/>
          <w:i/>
        </w:rPr>
      </w:pPr>
      <w:r w:rsidRPr="00D861FE">
        <w:rPr>
          <w:rFonts w:ascii="Arial" w:hAnsi="Arial"/>
          <w:i/>
        </w:rPr>
        <w:t>Please see Item 1</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B17AEE"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E27E4F" w:rsidP="0040580F">
      <w:pPr>
        <w:pStyle w:val="List"/>
        <w:spacing w:before="120"/>
        <w:ind w:left="720" w:firstLine="0"/>
        <w:jc w:val="both"/>
        <w:rPr>
          <w:rFonts w:ascii="Arial" w:hAnsi="Arial"/>
          <w:i/>
        </w:rPr>
      </w:pPr>
      <w:r>
        <w:rPr>
          <w:rFonts w:ascii="Arial" w:hAnsi="Arial"/>
          <w:i/>
        </w:rPr>
        <w:t>N/A.</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4C07A1" w:rsidP="00BC51E5">
      <w:pPr>
        <w:pStyle w:val="List"/>
        <w:spacing w:before="120"/>
        <w:ind w:left="720" w:firstLine="0"/>
        <w:jc w:val="both"/>
        <w:rPr>
          <w:rFonts w:ascii="Arial" w:hAnsi="Arial"/>
          <w:i/>
        </w:rPr>
      </w:pPr>
      <w:r>
        <w:rPr>
          <w:rFonts w:ascii="Arial" w:hAnsi="Arial"/>
          <w:i/>
        </w:rPr>
        <w:t>N/A</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701F8" w:rsidRDefault="004C07A1" w:rsidP="00732D30">
      <w:pPr>
        <w:pStyle w:val="List"/>
        <w:spacing w:before="120"/>
        <w:ind w:left="720" w:firstLine="0"/>
        <w:jc w:val="both"/>
        <w:rPr>
          <w:rFonts w:ascii="Arial" w:hAnsi="Arial"/>
          <w:i/>
        </w:rPr>
      </w:pPr>
      <w:r>
        <w:rPr>
          <w:rFonts w:ascii="Arial" w:hAnsi="Arial"/>
          <w:i/>
        </w:rPr>
        <w:t xml:space="preserve">On September 30, 2019, </w:t>
      </w:r>
      <w:r w:rsidRPr="004C07A1">
        <w:rPr>
          <w:rFonts w:ascii="Arial" w:hAnsi="Arial"/>
          <w:i/>
        </w:rPr>
        <w:t>the Company was served with a claim from Green Stream Botanicals Corp. (“GSB”) for a finder’s fee in the amount of $600,000.  The Company believes no service was performed by GSB and intends to vigorously defend these claims</w:t>
      </w:r>
      <w:r w:rsidR="00D02EC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AA175B" w:rsidRDefault="00D708C2" w:rsidP="0014081F">
      <w:pPr>
        <w:pStyle w:val="List"/>
        <w:spacing w:before="120"/>
        <w:ind w:left="720" w:firstLine="0"/>
        <w:jc w:val="both"/>
        <w:rPr>
          <w:rFonts w:ascii="Arial" w:hAnsi="Arial"/>
          <w:i/>
        </w:rPr>
      </w:pPr>
      <w:r>
        <w:rPr>
          <w:rFonts w:ascii="Arial" w:hAnsi="Arial"/>
          <w:i/>
        </w:rPr>
        <w:t>N/A</w:t>
      </w:r>
      <w:r w:rsidR="00F90126">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07A1" w:rsidRDefault="004C07A1" w:rsidP="00AA175B">
      <w:pPr>
        <w:pStyle w:val="List"/>
        <w:keepNext/>
        <w:keepLines/>
        <w:spacing w:before="120"/>
        <w:ind w:left="720" w:firstLine="0"/>
        <w:jc w:val="both"/>
        <w:rPr>
          <w:rFonts w:ascii="Arial" w:hAnsi="Arial"/>
          <w:i/>
        </w:rPr>
      </w:pPr>
      <w:r>
        <w:rPr>
          <w:rFonts w:ascii="Arial" w:hAnsi="Arial"/>
          <w:i/>
        </w:rPr>
        <w:t>N/A</w:t>
      </w:r>
      <w:r w:rsidR="005B3DB7">
        <w:rPr>
          <w:rFonts w:ascii="Arial" w:hAnsi="Arial"/>
          <w:i/>
        </w:rPr>
        <w:t>.</w:t>
      </w:r>
    </w:p>
    <w:p w:rsidR="004C07A1" w:rsidRDefault="004C07A1">
      <w:pPr>
        <w:rPr>
          <w:rFonts w:ascii="Arial" w:hAnsi="Arial"/>
          <w:i/>
          <w:sz w:val="24"/>
          <w:lang w:val="en-GB"/>
        </w:rPr>
      </w:pPr>
      <w:r>
        <w:rPr>
          <w:rFonts w:ascii="Arial" w:hAnsi="Arial"/>
          <w:i/>
        </w:rPr>
        <w:br w:type="page"/>
      </w:r>
    </w:p>
    <w:p w:rsidR="0014406D" w:rsidRDefault="0014406D" w:rsidP="00AA175B">
      <w:pPr>
        <w:pStyle w:val="List"/>
        <w:keepNext/>
        <w:keepLines/>
        <w:spacing w:before="120"/>
        <w:ind w:left="720" w:firstLine="0"/>
        <w:jc w:val="both"/>
        <w:rPr>
          <w:rFonts w:ascii="Arial" w:hAnsi="Arial"/>
          <w:i/>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4C07A1" w:rsidP="0014406D">
      <w:pPr>
        <w:pStyle w:val="List"/>
        <w:spacing w:before="120"/>
        <w:ind w:left="720" w:firstLine="0"/>
        <w:jc w:val="both"/>
        <w:rPr>
          <w:rFonts w:ascii="Arial" w:hAnsi="Arial"/>
          <w:i/>
        </w:rPr>
      </w:pPr>
      <w:r>
        <w:rPr>
          <w:rFonts w:ascii="Arial" w:hAnsi="Arial"/>
          <w:i/>
        </w:rPr>
        <w:t>N/A</w:t>
      </w:r>
      <w:r w:rsidR="00D3256B">
        <w:rPr>
          <w:rFonts w:ascii="Arial" w:hAnsi="Arial"/>
          <w:i/>
        </w:rPr>
        <w:t>.</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C07A1">
        <w:rPr>
          <w:rFonts w:ascii="Arial" w:hAnsi="Arial"/>
        </w:rPr>
        <w:t>October 7</w:t>
      </w:r>
      <w:r w:rsidR="0047210C">
        <w:rPr>
          <w:rFonts w:ascii="Arial" w:hAnsi="Arial"/>
        </w:rPr>
        <w:t>, 2019</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8D270C" w:rsidRDefault="008D270C">
            <w:pPr>
              <w:pStyle w:val="BodyText"/>
              <w:spacing w:before="0"/>
              <w:rPr>
                <w:rFonts w:ascii="Arial" w:hAnsi="Arial"/>
              </w:rPr>
            </w:pPr>
          </w:p>
          <w:p w:rsidR="007736E2" w:rsidRDefault="004C07A1">
            <w:pPr>
              <w:pStyle w:val="BodyText"/>
              <w:spacing w:before="0"/>
              <w:rPr>
                <w:rFonts w:ascii="Arial" w:hAnsi="Arial"/>
              </w:rPr>
            </w:pPr>
            <w:r>
              <w:rPr>
                <w:rFonts w:ascii="Arial" w:hAnsi="Arial"/>
              </w:rPr>
              <w:t>September</w:t>
            </w:r>
            <w:r w:rsidR="008D270C">
              <w:rPr>
                <w:rFonts w:ascii="Arial" w:hAnsi="Arial"/>
              </w:rPr>
              <w:t xml:space="preserve"> 2019</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r w:rsidR="004A2915">
              <w:rPr>
                <w:rFonts w:ascii="Arial" w:hAnsi="Arial"/>
              </w:rPr>
              <w:t>D</w:t>
            </w:r>
          </w:p>
          <w:p w:rsidR="008D270C" w:rsidRDefault="008D270C" w:rsidP="004B3D99">
            <w:pPr>
              <w:pStyle w:val="BodyText"/>
              <w:spacing w:before="0"/>
              <w:rPr>
                <w:rFonts w:ascii="Arial" w:hAnsi="Arial"/>
              </w:rPr>
            </w:pPr>
          </w:p>
          <w:p w:rsidR="007736E2" w:rsidRDefault="0047210C" w:rsidP="00D708C2">
            <w:pPr>
              <w:pStyle w:val="BodyText"/>
              <w:spacing w:before="0"/>
              <w:rPr>
                <w:rFonts w:ascii="Arial" w:hAnsi="Arial"/>
              </w:rPr>
            </w:pPr>
            <w:r>
              <w:rPr>
                <w:rFonts w:ascii="Arial" w:hAnsi="Arial"/>
              </w:rPr>
              <w:t>2019/</w:t>
            </w:r>
            <w:r w:rsidR="004C07A1">
              <w:rPr>
                <w:rFonts w:ascii="Arial" w:hAnsi="Arial"/>
              </w:rPr>
              <w:t>10</w:t>
            </w:r>
            <w:r w:rsidR="00AA175B">
              <w:rPr>
                <w:rFonts w:ascii="Arial" w:hAnsi="Arial"/>
              </w:rPr>
              <w:t>/0</w:t>
            </w:r>
            <w:r w:rsidR="004C07A1">
              <w:rPr>
                <w:rFonts w:ascii="Arial" w:hAnsi="Arial"/>
              </w:rPr>
              <w:t>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3C02A4">
            <w:pPr>
              <w:pStyle w:val="BodyText"/>
              <w:spacing w:before="0"/>
              <w:rPr>
                <w:rFonts w:ascii="Arial" w:hAnsi="Arial"/>
              </w:rPr>
            </w:pPr>
            <w:r>
              <w:rPr>
                <w:rFonts w:ascii="Arial" w:hAnsi="Arial"/>
              </w:rPr>
              <w:t>604-551-5178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4C07A1">
      <w:pPr>
        <w:pStyle w:val="BodyText"/>
      </w:pPr>
      <w:bookmarkStart w:id="5" w:name="_GoBack"/>
      <w:bookmarkEnd w:id="5"/>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4B" w:rsidRDefault="00F1704B">
      <w:r>
        <w:separator/>
      </w:r>
    </w:p>
  </w:endnote>
  <w:endnote w:type="continuationSeparator" w:id="0">
    <w:p w:rsidR="00F1704B" w:rsidRDefault="00F1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FCE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Footer"/>
      <w:tabs>
        <w:tab w:val="clear" w:pos="4320"/>
        <w:tab w:val="clear" w:pos="8640"/>
        <w:tab w:val="center" w:pos="4680"/>
        <w:tab w:val="right" w:pos="9360"/>
      </w:tabs>
      <w:rPr>
        <w:b/>
      </w:rPr>
    </w:pPr>
  </w:p>
  <w:p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65F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4B" w:rsidRDefault="00F1704B">
      <w:r>
        <w:separator/>
      </w:r>
    </w:p>
  </w:footnote>
  <w:footnote w:type="continuationSeparator" w:id="0">
    <w:p w:rsidR="00F1704B" w:rsidRDefault="00F17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C51E5" w:rsidRDefault="00BC5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5810"/>
    <w:rsid w:val="00011246"/>
    <w:rsid w:val="00030265"/>
    <w:rsid w:val="00033ABE"/>
    <w:rsid w:val="000462DC"/>
    <w:rsid w:val="000620B8"/>
    <w:rsid w:val="000A1679"/>
    <w:rsid w:val="000A1AB1"/>
    <w:rsid w:val="000B1BCE"/>
    <w:rsid w:val="000B2461"/>
    <w:rsid w:val="000B5711"/>
    <w:rsid w:val="000C2C22"/>
    <w:rsid w:val="000C4603"/>
    <w:rsid w:val="0014081F"/>
    <w:rsid w:val="0014406D"/>
    <w:rsid w:val="00185EC3"/>
    <w:rsid w:val="001B28AF"/>
    <w:rsid w:val="001B67EA"/>
    <w:rsid w:val="00244B2C"/>
    <w:rsid w:val="00245BA2"/>
    <w:rsid w:val="00253AD3"/>
    <w:rsid w:val="0025435B"/>
    <w:rsid w:val="002601A7"/>
    <w:rsid w:val="00267035"/>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87FA8"/>
    <w:rsid w:val="003B7A52"/>
    <w:rsid w:val="003C02A4"/>
    <w:rsid w:val="003C15A9"/>
    <w:rsid w:val="003D3F52"/>
    <w:rsid w:val="004016FD"/>
    <w:rsid w:val="0040580F"/>
    <w:rsid w:val="0042595D"/>
    <w:rsid w:val="00445648"/>
    <w:rsid w:val="0047210C"/>
    <w:rsid w:val="004822FC"/>
    <w:rsid w:val="004A1C7B"/>
    <w:rsid w:val="004A2915"/>
    <w:rsid w:val="004A59B5"/>
    <w:rsid w:val="004B3D99"/>
    <w:rsid w:val="004C07A1"/>
    <w:rsid w:val="004F119A"/>
    <w:rsid w:val="004F66AB"/>
    <w:rsid w:val="00522B71"/>
    <w:rsid w:val="00545268"/>
    <w:rsid w:val="005453C8"/>
    <w:rsid w:val="005568F1"/>
    <w:rsid w:val="00576D3E"/>
    <w:rsid w:val="00584732"/>
    <w:rsid w:val="005A1DED"/>
    <w:rsid w:val="005B3DB7"/>
    <w:rsid w:val="005D11CD"/>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32D30"/>
    <w:rsid w:val="00732E24"/>
    <w:rsid w:val="0075799B"/>
    <w:rsid w:val="007613A6"/>
    <w:rsid w:val="007728D7"/>
    <w:rsid w:val="007736E2"/>
    <w:rsid w:val="00774A0A"/>
    <w:rsid w:val="007836A2"/>
    <w:rsid w:val="007A4D47"/>
    <w:rsid w:val="007D5D33"/>
    <w:rsid w:val="007D63AD"/>
    <w:rsid w:val="008024AE"/>
    <w:rsid w:val="0083066F"/>
    <w:rsid w:val="0084310F"/>
    <w:rsid w:val="00853E80"/>
    <w:rsid w:val="008734B8"/>
    <w:rsid w:val="00875113"/>
    <w:rsid w:val="0089367E"/>
    <w:rsid w:val="008954FB"/>
    <w:rsid w:val="008B2474"/>
    <w:rsid w:val="008B7E92"/>
    <w:rsid w:val="008D270C"/>
    <w:rsid w:val="008E3B35"/>
    <w:rsid w:val="008F19CC"/>
    <w:rsid w:val="008F30A1"/>
    <w:rsid w:val="00910E5D"/>
    <w:rsid w:val="00912C13"/>
    <w:rsid w:val="00922A46"/>
    <w:rsid w:val="00930B9E"/>
    <w:rsid w:val="009547B8"/>
    <w:rsid w:val="00972C40"/>
    <w:rsid w:val="0098583F"/>
    <w:rsid w:val="00994923"/>
    <w:rsid w:val="00997F6C"/>
    <w:rsid w:val="009A55A6"/>
    <w:rsid w:val="009E14BB"/>
    <w:rsid w:val="009E6418"/>
    <w:rsid w:val="00A0532E"/>
    <w:rsid w:val="00A2251A"/>
    <w:rsid w:val="00A47914"/>
    <w:rsid w:val="00A670A4"/>
    <w:rsid w:val="00A6779D"/>
    <w:rsid w:val="00A6786C"/>
    <w:rsid w:val="00A67EA2"/>
    <w:rsid w:val="00A73C0A"/>
    <w:rsid w:val="00A81B8A"/>
    <w:rsid w:val="00A87D08"/>
    <w:rsid w:val="00A96F89"/>
    <w:rsid w:val="00AA175B"/>
    <w:rsid w:val="00AB142B"/>
    <w:rsid w:val="00AE2CC4"/>
    <w:rsid w:val="00B00844"/>
    <w:rsid w:val="00B17AEE"/>
    <w:rsid w:val="00B24671"/>
    <w:rsid w:val="00B249ED"/>
    <w:rsid w:val="00B45744"/>
    <w:rsid w:val="00B61330"/>
    <w:rsid w:val="00B77573"/>
    <w:rsid w:val="00B926A7"/>
    <w:rsid w:val="00B97A23"/>
    <w:rsid w:val="00BA6077"/>
    <w:rsid w:val="00BC51E5"/>
    <w:rsid w:val="00BF1A4D"/>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23C7D"/>
    <w:rsid w:val="00D3256B"/>
    <w:rsid w:val="00D533D0"/>
    <w:rsid w:val="00D660D0"/>
    <w:rsid w:val="00D708C2"/>
    <w:rsid w:val="00D77E39"/>
    <w:rsid w:val="00D859EC"/>
    <w:rsid w:val="00D861FE"/>
    <w:rsid w:val="00DA25CF"/>
    <w:rsid w:val="00DF5F05"/>
    <w:rsid w:val="00E24ABB"/>
    <w:rsid w:val="00E27E4F"/>
    <w:rsid w:val="00E36141"/>
    <w:rsid w:val="00E3730E"/>
    <w:rsid w:val="00E63ACF"/>
    <w:rsid w:val="00E7727D"/>
    <w:rsid w:val="00E83E58"/>
    <w:rsid w:val="00E84EBC"/>
    <w:rsid w:val="00E965C9"/>
    <w:rsid w:val="00F1359E"/>
    <w:rsid w:val="00F1704B"/>
    <w:rsid w:val="00F411CB"/>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2764</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85</cp:revision>
  <cp:lastPrinted>2004-05-10T18:28:00Z</cp:lastPrinted>
  <dcterms:created xsi:type="dcterms:W3CDTF">2018-02-01T18:59:00Z</dcterms:created>
  <dcterms:modified xsi:type="dcterms:W3CDTF">2019-10-03T19:43:00Z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